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96" w:rsidRPr="003D411F" w:rsidRDefault="00317296" w:rsidP="00032080">
      <w:pPr>
        <w:spacing w:line="240" w:lineRule="auto"/>
        <w:jc w:val="center"/>
        <w:rPr>
          <w:rFonts w:ascii="Garamond" w:hAnsi="Garamond"/>
          <w:b/>
          <w:sz w:val="24"/>
          <w:szCs w:val="24"/>
        </w:rPr>
      </w:pPr>
      <w:r>
        <w:rPr>
          <w:noProof/>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6" type="#_x0000_t75" alt="http://4.bp.blogspot.com/_e4sDtqq6ZYo/TPTw7E-h-7I/AAAAAAAAAC0/gpBVkfv0hJs/S250/Logo%2BUchile%2BBN.jpg" style="position:absolute;left:0;text-align:left;margin-left:-9pt;margin-top:-45pt;width:43.5pt;height:87pt;z-index:251658240;visibility:visible">
            <v:imagedata r:id="rId7" o:title=""/>
          </v:shape>
        </w:pict>
      </w:r>
      <w:r w:rsidRPr="003D411F">
        <w:rPr>
          <w:rFonts w:ascii="Garamond" w:hAnsi="Garamond"/>
          <w:b/>
          <w:sz w:val="24"/>
          <w:szCs w:val="24"/>
        </w:rPr>
        <w:t>Universidad de Chile</w:t>
      </w:r>
    </w:p>
    <w:p w:rsidR="00317296" w:rsidRPr="003D411F" w:rsidRDefault="00317296" w:rsidP="00032080">
      <w:pPr>
        <w:spacing w:line="240" w:lineRule="auto"/>
        <w:jc w:val="center"/>
        <w:rPr>
          <w:rFonts w:ascii="Garamond" w:hAnsi="Garamond"/>
          <w:b/>
          <w:sz w:val="24"/>
          <w:szCs w:val="24"/>
        </w:rPr>
      </w:pPr>
      <w:r w:rsidRPr="003D411F">
        <w:rPr>
          <w:rFonts w:ascii="Garamond" w:hAnsi="Garamond"/>
          <w:b/>
          <w:sz w:val="24"/>
          <w:szCs w:val="24"/>
        </w:rPr>
        <w:t>Curso de Derecho Civil III, Obligaciones</w:t>
      </w:r>
    </w:p>
    <w:p w:rsidR="00317296" w:rsidRPr="003D411F" w:rsidRDefault="00317296" w:rsidP="00032080">
      <w:pPr>
        <w:spacing w:line="240" w:lineRule="auto"/>
        <w:jc w:val="center"/>
        <w:rPr>
          <w:rFonts w:ascii="Garamond" w:hAnsi="Garamond"/>
          <w:b/>
          <w:sz w:val="24"/>
          <w:szCs w:val="24"/>
        </w:rPr>
      </w:pPr>
      <w:r w:rsidRPr="003D411F">
        <w:rPr>
          <w:rFonts w:ascii="Garamond" w:hAnsi="Garamond"/>
          <w:b/>
          <w:sz w:val="24"/>
          <w:szCs w:val="24"/>
        </w:rPr>
        <w:t>Prof. Rodrigo Gil L.</w:t>
      </w:r>
    </w:p>
    <w:p w:rsidR="00317296" w:rsidRDefault="00317296" w:rsidP="00095A5F">
      <w:pPr>
        <w:spacing w:line="240" w:lineRule="auto"/>
        <w:jc w:val="center"/>
        <w:rPr>
          <w:rFonts w:ascii="Garamond" w:hAnsi="Garamond"/>
          <w:b/>
          <w:sz w:val="24"/>
          <w:szCs w:val="24"/>
        </w:rPr>
      </w:pPr>
    </w:p>
    <w:p w:rsidR="00317296" w:rsidRPr="003D411F" w:rsidRDefault="00317296" w:rsidP="00095A5F">
      <w:pPr>
        <w:spacing w:line="240" w:lineRule="auto"/>
        <w:jc w:val="center"/>
        <w:rPr>
          <w:rFonts w:ascii="Garamond" w:hAnsi="Garamond"/>
          <w:b/>
          <w:sz w:val="24"/>
          <w:szCs w:val="24"/>
        </w:rPr>
      </w:pPr>
      <w:r>
        <w:rPr>
          <w:rFonts w:ascii="Garamond" w:hAnsi="Garamond"/>
          <w:b/>
          <w:sz w:val="24"/>
          <w:szCs w:val="24"/>
        </w:rPr>
        <w:t>PAUTA DE CORRECCIÓN</w:t>
      </w:r>
    </w:p>
    <w:p w:rsidR="00317296" w:rsidRPr="003D411F" w:rsidRDefault="00317296" w:rsidP="006863F0">
      <w:pPr>
        <w:spacing w:after="0" w:line="240" w:lineRule="auto"/>
        <w:jc w:val="both"/>
        <w:rPr>
          <w:rFonts w:ascii="Garamond" w:hAnsi="Garamond"/>
          <w:sz w:val="24"/>
          <w:szCs w:val="24"/>
        </w:rPr>
      </w:pPr>
    </w:p>
    <w:p w:rsidR="00317296" w:rsidRPr="003D411F" w:rsidRDefault="00317296" w:rsidP="002D6AC4">
      <w:pPr>
        <w:spacing w:after="0" w:line="240" w:lineRule="auto"/>
        <w:jc w:val="both"/>
        <w:rPr>
          <w:rFonts w:ascii="Garamond" w:hAnsi="Garamond"/>
          <w:b/>
          <w:sz w:val="24"/>
          <w:szCs w:val="24"/>
        </w:rPr>
      </w:pPr>
      <w:r w:rsidRPr="003D411F">
        <w:rPr>
          <w:rFonts w:ascii="Garamond" w:hAnsi="Garamond"/>
          <w:b/>
          <w:sz w:val="24"/>
          <w:szCs w:val="24"/>
        </w:rPr>
        <w:t>1. ¿Qué entiende por cumplimiento ficto de la condición?</w:t>
      </w:r>
    </w:p>
    <w:p w:rsidR="00317296" w:rsidRPr="003D411F" w:rsidRDefault="00317296" w:rsidP="002D6AC4">
      <w:pPr>
        <w:spacing w:after="0" w:line="240" w:lineRule="auto"/>
        <w:jc w:val="both"/>
        <w:rPr>
          <w:rFonts w:ascii="Garamond" w:hAnsi="Garamond"/>
          <w:b/>
          <w:sz w:val="24"/>
          <w:szCs w:val="24"/>
        </w:rPr>
      </w:pPr>
    </w:p>
    <w:p w:rsidR="00317296" w:rsidRPr="003D411F" w:rsidRDefault="00317296" w:rsidP="00095A5F">
      <w:pPr>
        <w:spacing w:line="360" w:lineRule="auto"/>
        <w:ind w:firstLine="708"/>
        <w:jc w:val="both"/>
        <w:rPr>
          <w:rFonts w:ascii="Garamond" w:hAnsi="Garamond"/>
          <w:sz w:val="24"/>
          <w:szCs w:val="24"/>
        </w:rPr>
      </w:pPr>
      <w:r w:rsidRPr="003D411F">
        <w:rPr>
          <w:rFonts w:ascii="Garamond" w:hAnsi="Garamond"/>
          <w:sz w:val="24"/>
          <w:szCs w:val="24"/>
        </w:rPr>
        <w:t>Según el inciso segundo del artículo 1481 del Código Civil, el cumplimiento ficto de la condición es la ficción legal en virtud de la cual una condición se tiene por cumplida cuando el deudor condicional se vale de medios ilícitos para evitar su cumplimiento.</w:t>
      </w:r>
    </w:p>
    <w:p w:rsidR="00317296" w:rsidRDefault="00317296" w:rsidP="00E70999">
      <w:pPr>
        <w:spacing w:after="0" w:line="240" w:lineRule="auto"/>
        <w:jc w:val="both"/>
        <w:rPr>
          <w:rFonts w:ascii="Garamond" w:hAnsi="Garamond"/>
          <w:b/>
          <w:sz w:val="24"/>
          <w:szCs w:val="24"/>
        </w:rPr>
      </w:pPr>
    </w:p>
    <w:p w:rsidR="00317296" w:rsidRPr="003D411F" w:rsidRDefault="00317296" w:rsidP="00E70999">
      <w:pPr>
        <w:spacing w:after="0" w:line="240" w:lineRule="auto"/>
        <w:jc w:val="both"/>
        <w:rPr>
          <w:rFonts w:ascii="Garamond" w:hAnsi="Garamond"/>
          <w:b/>
          <w:sz w:val="24"/>
          <w:szCs w:val="24"/>
        </w:rPr>
      </w:pPr>
      <w:r w:rsidRPr="003D411F">
        <w:rPr>
          <w:rFonts w:ascii="Garamond" w:hAnsi="Garamond"/>
          <w:b/>
          <w:sz w:val="24"/>
          <w:szCs w:val="24"/>
        </w:rPr>
        <w:t>2. Concepto de Condición Resolutoria Ordinaria y Condición Resolutoria Tácita. Haga un paralelo dando cuenta de las principales diferencias entre ambas.</w:t>
      </w:r>
    </w:p>
    <w:p w:rsidR="00317296" w:rsidRPr="003D411F" w:rsidRDefault="00317296" w:rsidP="00E70999">
      <w:pPr>
        <w:spacing w:after="0" w:line="240" w:lineRule="auto"/>
        <w:jc w:val="both"/>
        <w:rPr>
          <w:rFonts w:ascii="Garamond" w:hAnsi="Garamond"/>
          <w:b/>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La </w:t>
      </w:r>
      <w:r w:rsidRPr="00095A5F">
        <w:rPr>
          <w:rFonts w:ascii="Garamond" w:hAnsi="Garamond"/>
          <w:sz w:val="24"/>
          <w:szCs w:val="24"/>
          <w:u w:val="single"/>
        </w:rPr>
        <w:t>Condición Resolutoria Ordinaria</w:t>
      </w:r>
      <w:r w:rsidRPr="003D411F">
        <w:rPr>
          <w:rFonts w:ascii="Garamond" w:hAnsi="Garamond"/>
          <w:sz w:val="24"/>
          <w:szCs w:val="24"/>
        </w:rPr>
        <w:t xml:space="preserve"> es el hecho futuro e incierto que no consiste en el incumplimiento de una obligación y cuyo acaecimiento tiene como consecuencia la extinción de un derecho y su obligación correlativa. La </w:t>
      </w:r>
      <w:r w:rsidRPr="00095A5F">
        <w:rPr>
          <w:rFonts w:ascii="Garamond" w:hAnsi="Garamond"/>
          <w:sz w:val="24"/>
          <w:szCs w:val="24"/>
          <w:u w:val="single"/>
        </w:rPr>
        <w:t>Condición Resolutoria</w:t>
      </w:r>
      <w:r w:rsidRPr="003D411F">
        <w:rPr>
          <w:rFonts w:ascii="Garamond" w:hAnsi="Garamond"/>
          <w:sz w:val="24"/>
          <w:szCs w:val="24"/>
        </w:rPr>
        <w:t xml:space="preserve"> Tácita en cambio consiste precisamente en el incumplimiento de la obligación contraída por una de las partes de un contrato bilateral, y su consecuencia es el derecho alternativo que surge para el contratante cumplidor de solicitar la resolución del contrato o su ejecución forzada, con indemnización de perjuicios. </w:t>
      </w:r>
    </w:p>
    <w:p w:rsidR="00317296" w:rsidRPr="003D411F" w:rsidRDefault="00317296" w:rsidP="00095A5F">
      <w:pPr>
        <w:spacing w:after="0" w:line="240" w:lineRule="auto"/>
        <w:jc w:val="center"/>
        <w:rPr>
          <w:rFonts w:ascii="Garamond" w:hAnsi="Garamond"/>
          <w:b/>
          <w:sz w:val="24"/>
          <w:szCs w:val="24"/>
        </w:rPr>
      </w:pPr>
      <w:r w:rsidRPr="006C000B">
        <w:rPr>
          <w:rFonts w:ascii="Garamond" w:hAnsi="Garamond"/>
          <w:b/>
          <w:sz w:val="24"/>
          <w:szCs w:val="24"/>
        </w:rPr>
        <w:pict>
          <v:shape id="_x0000_i1025" type="#_x0000_t75" style="width:321.75pt;height:272.25pt">
            <v:imagedata r:id="rId8" o:title=""/>
          </v:shape>
        </w:pict>
      </w:r>
    </w:p>
    <w:p w:rsidR="00317296" w:rsidRPr="003D411F" w:rsidRDefault="00317296" w:rsidP="00E70999">
      <w:pPr>
        <w:spacing w:after="0" w:line="240" w:lineRule="auto"/>
        <w:jc w:val="both"/>
        <w:rPr>
          <w:rFonts w:ascii="Garamond" w:hAnsi="Garamond"/>
          <w:b/>
          <w:sz w:val="24"/>
          <w:szCs w:val="24"/>
        </w:rPr>
      </w:pPr>
      <w:r w:rsidRPr="003D411F">
        <w:rPr>
          <w:rFonts w:ascii="Garamond" w:hAnsi="Garamond"/>
          <w:b/>
          <w:sz w:val="24"/>
          <w:szCs w:val="24"/>
        </w:rPr>
        <w:t>3. Requisitos para que opere la Condición Resolutoria Tácita. Explique cada uno de ellos.</w:t>
      </w:r>
    </w:p>
    <w:p w:rsidR="00317296" w:rsidRPr="003D411F" w:rsidRDefault="00317296" w:rsidP="000B5AD4">
      <w:pPr>
        <w:spacing w:after="0" w:line="24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1. </w:t>
      </w:r>
      <w:r w:rsidRPr="00095A5F">
        <w:rPr>
          <w:rFonts w:ascii="Garamond" w:hAnsi="Garamond"/>
          <w:sz w:val="24"/>
          <w:szCs w:val="24"/>
          <w:u w:val="single"/>
        </w:rPr>
        <w:t>Que exista un contrato bilateral</w:t>
      </w:r>
      <w:r w:rsidRPr="003D411F">
        <w:rPr>
          <w:rFonts w:ascii="Garamond" w:hAnsi="Garamond"/>
          <w:sz w:val="24"/>
          <w:szCs w:val="24"/>
        </w:rPr>
        <w:t>. Aunque se discute, la mayoría de la doctrina estima que la Condición Resolutoria Tácita solo procede respecto de los contratos bilaterales, ya que el fundamento de esta institución es la interdependencia de las prestaciones</w:t>
      </w:r>
      <w:r>
        <w:rPr>
          <w:rFonts w:ascii="Garamond" w:hAnsi="Garamond"/>
          <w:sz w:val="24"/>
          <w:szCs w:val="24"/>
        </w:rPr>
        <w:t>. Además, res</w:t>
      </w:r>
      <w:r w:rsidRPr="003D411F">
        <w:rPr>
          <w:rFonts w:ascii="Garamond" w:hAnsi="Garamond"/>
          <w:sz w:val="24"/>
          <w:szCs w:val="24"/>
        </w:rPr>
        <w:t xml:space="preserve">pecto de los contratos unilaterales el Código Civil entrega soluciones particulares caso a caso. </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2. </w:t>
      </w:r>
      <w:r w:rsidRPr="00095A5F">
        <w:rPr>
          <w:rFonts w:ascii="Garamond" w:hAnsi="Garamond"/>
          <w:sz w:val="24"/>
          <w:szCs w:val="24"/>
          <w:u w:val="single"/>
        </w:rPr>
        <w:t>Que exista un incumplimiento imputable a una de las partes</w:t>
      </w:r>
      <w:r>
        <w:rPr>
          <w:rFonts w:ascii="Garamond" w:hAnsi="Garamond"/>
          <w:sz w:val="24"/>
          <w:szCs w:val="24"/>
        </w:rPr>
        <w:t>.</w:t>
      </w:r>
      <w:r w:rsidRPr="003D411F">
        <w:rPr>
          <w:rFonts w:ascii="Garamond" w:hAnsi="Garamond"/>
          <w:sz w:val="24"/>
          <w:szCs w:val="24"/>
        </w:rPr>
        <w:t xml:space="preserve"> El incumplimiento debe ser imputable a dolo o culpa de una de las partes, pues uno de los requisitos para que opere la indemnización de perjuicios es la mora del deudor, y la mora requiere dolo o culpa.</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3. </w:t>
      </w:r>
      <w:r w:rsidRPr="00095A5F">
        <w:rPr>
          <w:rFonts w:ascii="Garamond" w:hAnsi="Garamond"/>
          <w:sz w:val="24"/>
          <w:szCs w:val="24"/>
          <w:u w:val="single"/>
        </w:rPr>
        <w:t>Que quien demanda los efectos de la Condición Resolutoria Tácita haya cumplido con su obligación o se encuentre llano a cumplirla</w:t>
      </w:r>
      <w:r w:rsidRPr="003D411F">
        <w:rPr>
          <w:rFonts w:ascii="Garamond" w:hAnsi="Garamond"/>
          <w:sz w:val="24"/>
          <w:szCs w:val="24"/>
        </w:rPr>
        <w:t>. Si no es así, el demandado podrá oponer la excepción de contrato no cumplido del artículo 1552 del Código Civil.</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4. </w:t>
      </w:r>
      <w:r w:rsidRPr="00095A5F">
        <w:rPr>
          <w:rFonts w:ascii="Garamond" w:hAnsi="Garamond"/>
          <w:sz w:val="24"/>
          <w:szCs w:val="24"/>
          <w:u w:val="single"/>
        </w:rPr>
        <w:t>Que se dicte una sentencia judicial que declare resuelto el contrato</w:t>
      </w:r>
      <w:r w:rsidRPr="003D411F">
        <w:rPr>
          <w:rFonts w:ascii="Garamond" w:hAnsi="Garamond"/>
          <w:sz w:val="24"/>
          <w:szCs w:val="24"/>
        </w:rPr>
        <w:t xml:space="preserve">. Para ejercer su opción, el acreedor debe entablar la acción correspondiente que será resuelta a través de una sentencia judicial. </w:t>
      </w:r>
    </w:p>
    <w:p w:rsidR="00317296" w:rsidRPr="003D411F" w:rsidRDefault="00317296" w:rsidP="00E70999">
      <w:pPr>
        <w:spacing w:after="0" w:line="240" w:lineRule="auto"/>
        <w:jc w:val="both"/>
        <w:rPr>
          <w:rFonts w:ascii="Garamond" w:hAnsi="Garamond"/>
          <w:sz w:val="24"/>
          <w:szCs w:val="24"/>
        </w:rPr>
      </w:pPr>
    </w:p>
    <w:p w:rsidR="00317296" w:rsidRPr="003D411F" w:rsidRDefault="00317296" w:rsidP="00E70999">
      <w:pPr>
        <w:spacing w:after="0" w:line="240" w:lineRule="auto"/>
        <w:jc w:val="both"/>
        <w:rPr>
          <w:rFonts w:ascii="Garamond" w:hAnsi="Garamond"/>
          <w:sz w:val="24"/>
          <w:szCs w:val="24"/>
        </w:rPr>
      </w:pPr>
    </w:p>
    <w:p w:rsidR="00317296" w:rsidRPr="003D411F" w:rsidRDefault="00317296" w:rsidP="00E70999">
      <w:pPr>
        <w:spacing w:after="0" w:line="240" w:lineRule="auto"/>
        <w:jc w:val="both"/>
        <w:rPr>
          <w:rFonts w:ascii="Garamond" w:hAnsi="Garamond"/>
          <w:b/>
          <w:sz w:val="24"/>
          <w:szCs w:val="24"/>
        </w:rPr>
      </w:pPr>
      <w:r w:rsidRPr="003D411F">
        <w:rPr>
          <w:rFonts w:ascii="Garamond" w:hAnsi="Garamond"/>
          <w:b/>
          <w:sz w:val="24"/>
          <w:szCs w:val="24"/>
        </w:rPr>
        <w:t>4. Concepto de Pacto Comisorio. Regulación legal en el Código Civil. Diferencia entre el Pacto Comisorio Simple y el Pacto Comisorio Calificado. ¿Cómo opera la resolución en ambos?, ¿Qué consecuencias prácticas existen entre el Pacto Comisorio Simple y la Condición Resolutoria Tácita?</w:t>
      </w:r>
    </w:p>
    <w:p w:rsidR="00317296" w:rsidRPr="003D411F" w:rsidRDefault="00317296" w:rsidP="00E70999">
      <w:pPr>
        <w:spacing w:after="0" w:line="24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El </w:t>
      </w:r>
      <w:r w:rsidRPr="00095A5F">
        <w:rPr>
          <w:rFonts w:ascii="Garamond" w:hAnsi="Garamond"/>
          <w:sz w:val="24"/>
          <w:szCs w:val="24"/>
          <w:u w:val="single"/>
        </w:rPr>
        <w:t xml:space="preserve">Pacto Comisorio </w:t>
      </w:r>
      <w:r w:rsidRPr="003D411F">
        <w:rPr>
          <w:rFonts w:ascii="Garamond" w:hAnsi="Garamond"/>
          <w:sz w:val="24"/>
          <w:szCs w:val="24"/>
        </w:rPr>
        <w:t>es la estipulación por medio de la cual las partes de un contrato convienen expresamente que éste se resolverá si una de ellas no cumple con sus obligaciones.</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Se encuentra </w:t>
      </w:r>
      <w:r w:rsidRPr="00095A5F">
        <w:rPr>
          <w:rFonts w:ascii="Garamond" w:hAnsi="Garamond"/>
          <w:sz w:val="24"/>
          <w:szCs w:val="24"/>
          <w:u w:val="single"/>
        </w:rPr>
        <w:t>regulado</w:t>
      </w:r>
      <w:r w:rsidRPr="003D411F">
        <w:rPr>
          <w:rFonts w:ascii="Garamond" w:hAnsi="Garamond"/>
          <w:sz w:val="24"/>
          <w:szCs w:val="24"/>
        </w:rPr>
        <w:t xml:space="preserve"> en los artículos 1877 a 1880 del Código Civil a propósito del contrato de Compraventa, específicamente respecto del incumplimiento de la obligación de pagar el precio. </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El </w:t>
      </w:r>
      <w:r w:rsidRPr="00095A5F">
        <w:rPr>
          <w:rFonts w:ascii="Garamond" w:hAnsi="Garamond"/>
          <w:sz w:val="24"/>
          <w:szCs w:val="24"/>
          <w:u w:val="single"/>
        </w:rPr>
        <w:t>Pacto Comisorio simple</w:t>
      </w:r>
      <w:r w:rsidRPr="003D411F">
        <w:rPr>
          <w:rFonts w:ascii="Garamond" w:hAnsi="Garamond"/>
          <w:sz w:val="24"/>
          <w:szCs w:val="24"/>
        </w:rPr>
        <w:t xml:space="preserve"> es la estipulación por las partes de la Condición Resolutoria Tácita, mientras que en el Pacto </w:t>
      </w:r>
      <w:r w:rsidRPr="00095A5F">
        <w:rPr>
          <w:rFonts w:ascii="Garamond" w:hAnsi="Garamond"/>
          <w:sz w:val="24"/>
          <w:szCs w:val="24"/>
          <w:u w:val="single"/>
        </w:rPr>
        <w:t>Comisorio Calificado</w:t>
      </w:r>
      <w:r w:rsidRPr="003D411F">
        <w:rPr>
          <w:rFonts w:ascii="Garamond" w:hAnsi="Garamond"/>
          <w:sz w:val="24"/>
          <w:szCs w:val="24"/>
        </w:rPr>
        <w:t xml:space="preserve"> las partes acuerdan que el contrato se resolverá “ipso facto” por el incumplimiento de las obligaciones contratadas. Dado que se discute en doctrina el hecho de que el Pacto Comisorio Calificado opere de pleno derecho, la única diferencia que existiría entre el Pacto Comisorio Simple y el Calificado es que en el Pacto Comisorio Calificado el deudor sólo puede impedir la resolución del contrato pagando dentro de las 24 horas siguientes a la notificación judicial de la demanda, mientras que en el Simple puede pagar hasta la citación a oír sentencia en primera instancia y hasta la vista de la causa en segunda.</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En el Pacto Comisorio Simple la resolución debe ser declarada judicialmente. En el Pacto Comisorio Calificado la resolución también debe ser declarada judicialmente, salvo en el caso que se estipule en la compraventa respecto de otra obligación que la de pagar el precio, o en otros contratos distintos de la compraventa, dónde la doctrina discute si opera de pleno derecho o requiere resolución judicial.</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La </w:t>
      </w:r>
      <w:r w:rsidRPr="00095A5F">
        <w:rPr>
          <w:rFonts w:ascii="Garamond" w:hAnsi="Garamond"/>
          <w:sz w:val="24"/>
          <w:szCs w:val="24"/>
          <w:u w:val="single"/>
        </w:rPr>
        <w:t>única diferencia práctica</w:t>
      </w:r>
      <w:r w:rsidRPr="003D411F">
        <w:rPr>
          <w:rFonts w:ascii="Garamond" w:hAnsi="Garamond"/>
          <w:sz w:val="24"/>
          <w:szCs w:val="24"/>
        </w:rPr>
        <w:t xml:space="preserve"> que existe entre el Pacto Comisorio Simple y la Condición Resolutoria Tácita es que mientras que las acciones emanadas de ésta prescriben en 5 años desde que la obligación se hace exigible, en el caso del Pacto Comisorio Simple por el no pago del precio en la compraventa las acciones prescriben en 4 años contados desde la fecha del contrato.</w:t>
      </w:r>
    </w:p>
    <w:p w:rsidR="00317296" w:rsidRPr="003D411F" w:rsidRDefault="00317296" w:rsidP="00E70999">
      <w:pPr>
        <w:spacing w:after="0" w:line="240" w:lineRule="auto"/>
        <w:jc w:val="both"/>
        <w:rPr>
          <w:rFonts w:ascii="Garamond" w:hAnsi="Garamond"/>
          <w:sz w:val="24"/>
          <w:szCs w:val="24"/>
        </w:rPr>
      </w:pPr>
    </w:p>
    <w:p w:rsidR="00317296" w:rsidRPr="003D411F" w:rsidRDefault="00317296" w:rsidP="00E70999">
      <w:pPr>
        <w:spacing w:after="0" w:line="240" w:lineRule="auto"/>
        <w:jc w:val="both"/>
        <w:rPr>
          <w:rFonts w:ascii="Garamond" w:hAnsi="Garamond"/>
          <w:b/>
          <w:sz w:val="24"/>
          <w:szCs w:val="24"/>
        </w:rPr>
      </w:pPr>
    </w:p>
    <w:p w:rsidR="00317296" w:rsidRPr="003D411F" w:rsidRDefault="00317296" w:rsidP="00FD1451">
      <w:pPr>
        <w:spacing w:after="0" w:line="240" w:lineRule="auto"/>
        <w:jc w:val="both"/>
        <w:rPr>
          <w:rFonts w:ascii="Garamond" w:hAnsi="Garamond"/>
          <w:sz w:val="24"/>
          <w:szCs w:val="24"/>
        </w:rPr>
      </w:pPr>
      <w:r w:rsidRPr="003D411F">
        <w:rPr>
          <w:rFonts w:ascii="Garamond" w:hAnsi="Garamond"/>
          <w:b/>
          <w:sz w:val="24"/>
          <w:szCs w:val="24"/>
        </w:rPr>
        <w:t>5. Explique la discusión y las críticas que doctrinariamente se han suscitado a propósito de los artículos 1490 y 1491 del Código Civil. Art. 1490: “Si el que debe una cosa mueble a plazo, o bajo condición suspensiva o resolutoria, la enajena, no habrá derecho de reivindicarla contra terceros poseedores de buena fe”. Art. 1491: “Si el que debe un inmueble bajo condición lo enajena, o lo grava con hipoteca, censo o servidumbre, no podrá resolverse la enajenación o gravamen, sino cuando la condición constaba en el título respectivo, inscrito u otorgado por escritura pública”.</w:t>
      </w:r>
    </w:p>
    <w:p w:rsidR="00317296" w:rsidRPr="003D411F" w:rsidRDefault="00317296" w:rsidP="00FD1451">
      <w:pPr>
        <w:spacing w:after="0" w:line="240" w:lineRule="auto"/>
        <w:jc w:val="both"/>
        <w:rPr>
          <w:rFonts w:ascii="Garamond" w:hAnsi="Garamond"/>
          <w:sz w:val="24"/>
          <w:szCs w:val="24"/>
        </w:rPr>
      </w:pPr>
    </w:p>
    <w:p w:rsidR="00317296" w:rsidRPr="00095A5F" w:rsidRDefault="00317296" w:rsidP="00095A5F">
      <w:pPr>
        <w:spacing w:after="0" w:line="360" w:lineRule="auto"/>
        <w:ind w:firstLine="708"/>
        <w:jc w:val="both"/>
        <w:rPr>
          <w:rFonts w:ascii="Garamond" w:hAnsi="Garamond"/>
          <w:sz w:val="24"/>
          <w:szCs w:val="24"/>
          <w:u w:val="single"/>
        </w:rPr>
      </w:pPr>
      <w:r w:rsidRPr="00095A5F">
        <w:rPr>
          <w:rFonts w:ascii="Garamond" w:hAnsi="Garamond"/>
          <w:sz w:val="24"/>
          <w:szCs w:val="24"/>
          <w:u w:val="single"/>
        </w:rPr>
        <w:t>1. El artículo 1490 ha sido objeto de los siguientes problemas interpretativos:</w:t>
      </w:r>
    </w:p>
    <w:p w:rsidR="00317296"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i. </w:t>
      </w:r>
      <w:r w:rsidRPr="00095A5F">
        <w:rPr>
          <w:rFonts w:ascii="Garamond" w:hAnsi="Garamond"/>
          <w:sz w:val="24"/>
          <w:szCs w:val="24"/>
          <w:u w:val="single"/>
        </w:rPr>
        <w:t>Aplicación a la condición suspensiva y al plazo</w:t>
      </w:r>
      <w:r w:rsidRPr="003D411F">
        <w:rPr>
          <w:rFonts w:ascii="Garamond" w:hAnsi="Garamond"/>
          <w:sz w:val="24"/>
          <w:szCs w:val="24"/>
        </w:rPr>
        <w:t>: A pesar de su tenor literal, el artículo 1490  no se aplica a obligaciones condicionales, pues el acreedor de una cosa mueble bajo condición suspensiva no llega a ser dueño de la cosa sino hasta que el deudor condicional se la transfiere. Si el deudor la enajena antes del cumplimiento de la condición, el acreedor –que no es dueño- no tiene la titularidad para reivindicar. Lo mismo sucede con las obligaciones sujetas a plazo suspensivo o extintivo: en las primeras, el acreedor nunca llega a ser dueño; en las segundas, no pasa de ser un mero tenedor.</w:t>
      </w: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ii. </w:t>
      </w:r>
      <w:r w:rsidRPr="00095A5F">
        <w:rPr>
          <w:rFonts w:ascii="Garamond" w:hAnsi="Garamond"/>
          <w:sz w:val="24"/>
          <w:szCs w:val="24"/>
          <w:u w:val="single"/>
        </w:rPr>
        <w:t>Situación del deudor condicional</w:t>
      </w:r>
      <w:r w:rsidRPr="003D411F">
        <w:rPr>
          <w:rFonts w:ascii="Garamond" w:hAnsi="Garamond"/>
          <w:sz w:val="24"/>
          <w:szCs w:val="24"/>
        </w:rPr>
        <w:t>: Para un sector de la doctrina, la norma incurre en una imprecisión al tratar la situación “del que debe”. En rigor, el artículo se refiere a la situación del dueño de un bien que está expuesto a perderlo por el cumplimiento de una condición, pero que mientras ésta no se cumpla no debe nada.</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iii. </w:t>
      </w:r>
      <w:r w:rsidRPr="00095A5F">
        <w:rPr>
          <w:rFonts w:ascii="Garamond" w:hAnsi="Garamond"/>
          <w:sz w:val="24"/>
          <w:szCs w:val="24"/>
          <w:u w:val="single"/>
        </w:rPr>
        <w:t>Extensión de la expresión “enajena”</w:t>
      </w:r>
      <w:r w:rsidRPr="003D411F">
        <w:rPr>
          <w:rFonts w:ascii="Garamond" w:hAnsi="Garamond"/>
          <w:sz w:val="24"/>
          <w:szCs w:val="24"/>
        </w:rPr>
        <w:t>: Se discute en la enajenación el artículo in</w:t>
      </w:r>
      <w:r>
        <w:rPr>
          <w:rFonts w:ascii="Garamond" w:hAnsi="Garamond"/>
          <w:sz w:val="24"/>
          <w:szCs w:val="24"/>
        </w:rPr>
        <w:t>cluye o no la constitución de</w:t>
      </w:r>
      <w:r w:rsidRPr="003D411F">
        <w:rPr>
          <w:rFonts w:ascii="Garamond" w:hAnsi="Garamond"/>
          <w:sz w:val="24"/>
          <w:szCs w:val="24"/>
        </w:rPr>
        <w:t xml:space="preserve"> gravámenes. </w:t>
      </w:r>
    </w:p>
    <w:p w:rsidR="00317296" w:rsidRPr="003D411F" w:rsidRDefault="00317296" w:rsidP="00095A5F">
      <w:pPr>
        <w:spacing w:after="0" w:line="360" w:lineRule="auto"/>
        <w:jc w:val="both"/>
        <w:rPr>
          <w:rFonts w:ascii="Garamond" w:hAnsi="Garamond"/>
          <w:sz w:val="24"/>
          <w:szCs w:val="24"/>
        </w:rPr>
      </w:pPr>
    </w:p>
    <w:p w:rsidR="00317296" w:rsidRPr="00095A5F" w:rsidRDefault="00317296" w:rsidP="00095A5F">
      <w:pPr>
        <w:spacing w:after="0" w:line="360" w:lineRule="auto"/>
        <w:ind w:firstLine="708"/>
        <w:jc w:val="both"/>
        <w:rPr>
          <w:rFonts w:ascii="Garamond" w:hAnsi="Garamond"/>
          <w:sz w:val="24"/>
          <w:szCs w:val="24"/>
          <w:u w:val="single"/>
        </w:rPr>
      </w:pPr>
      <w:r w:rsidRPr="00095A5F">
        <w:rPr>
          <w:rFonts w:ascii="Garamond" w:hAnsi="Garamond"/>
          <w:sz w:val="24"/>
          <w:szCs w:val="24"/>
          <w:u w:val="single"/>
        </w:rPr>
        <w:t>2. El artículo 1491 ha sido objeto de los siguientes problemas interpretativos:</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i. </w:t>
      </w:r>
      <w:r w:rsidRPr="00095A5F">
        <w:rPr>
          <w:rFonts w:ascii="Garamond" w:hAnsi="Garamond"/>
          <w:sz w:val="24"/>
          <w:szCs w:val="24"/>
          <w:u w:val="single"/>
        </w:rPr>
        <w:t>Relación entre la constancia de la condición y la mala fe del tercero adquirente</w:t>
      </w:r>
      <w:r w:rsidRPr="003D411F">
        <w:rPr>
          <w:rFonts w:ascii="Garamond" w:hAnsi="Garamond"/>
          <w:sz w:val="24"/>
          <w:szCs w:val="24"/>
        </w:rPr>
        <w:t>: Se discute si la sola constancia en el título es suficiente para presumir de derecho la mala fe del tercero adquirente o si, por el contrario, es posible que un tercero de buena fe que adquiere un bien cuya condición pendiente constaba en un título pueda adquirirlo de todas formas por prescripción adquisitiva ordinaria.</w:t>
      </w:r>
    </w:p>
    <w:p w:rsidR="00317296" w:rsidRPr="003D411F" w:rsidRDefault="00317296" w:rsidP="00095A5F">
      <w:pPr>
        <w:spacing w:after="0" w:line="360" w:lineRule="auto"/>
        <w:ind w:firstLine="708"/>
        <w:jc w:val="both"/>
        <w:rPr>
          <w:rFonts w:ascii="Garamond" w:hAnsi="Garamond"/>
          <w:sz w:val="24"/>
          <w:szCs w:val="24"/>
        </w:rPr>
      </w:pPr>
      <w:r w:rsidRPr="00095A5F">
        <w:rPr>
          <w:rFonts w:ascii="Garamond" w:hAnsi="Garamond"/>
          <w:sz w:val="24"/>
          <w:szCs w:val="24"/>
        </w:rPr>
        <w:t>ii.</w:t>
      </w:r>
      <w:r>
        <w:rPr>
          <w:rFonts w:ascii="Garamond" w:hAnsi="Garamond"/>
          <w:sz w:val="24"/>
          <w:szCs w:val="24"/>
        </w:rPr>
        <w:t xml:space="preserve"> </w:t>
      </w:r>
      <w:r w:rsidRPr="00095A5F">
        <w:rPr>
          <w:rFonts w:ascii="Garamond" w:hAnsi="Garamond"/>
          <w:sz w:val="24"/>
          <w:szCs w:val="24"/>
          <w:u w:val="single"/>
        </w:rPr>
        <w:t>Aplicación de la norma a la Condición Resolutoria Tácita</w:t>
      </w:r>
      <w:r w:rsidRPr="003D411F">
        <w:rPr>
          <w:rFonts w:ascii="Garamond" w:hAnsi="Garamond"/>
          <w:sz w:val="24"/>
          <w:szCs w:val="24"/>
        </w:rPr>
        <w:t>: Se discute si es posible sostener que esta condición “conste” en los términos exigidos por el artículo. Esta discusión está superada a favor de la postura que hace aplicable la disposición incluso en el caso de la Condición Resolutoria Tácita.</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iii. </w:t>
      </w:r>
      <w:r w:rsidRPr="00095A5F">
        <w:rPr>
          <w:rFonts w:ascii="Garamond" w:hAnsi="Garamond"/>
          <w:sz w:val="24"/>
          <w:szCs w:val="24"/>
          <w:u w:val="single"/>
        </w:rPr>
        <w:t>Identidad del título respectivo</w:t>
      </w:r>
      <w:r w:rsidRPr="003D411F">
        <w:rPr>
          <w:rFonts w:ascii="Garamond" w:hAnsi="Garamond"/>
          <w:sz w:val="24"/>
          <w:szCs w:val="24"/>
        </w:rPr>
        <w:t>: Se discute si el título en que debe constar la condición es el título primitivo otorgado por el acreedor al deudor o si es necesario que conste en los títulos sucesivos que puedan otorgarse con posterioridad.</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iv. </w:t>
      </w:r>
      <w:r w:rsidRPr="00095A5F">
        <w:rPr>
          <w:rFonts w:ascii="Garamond" w:hAnsi="Garamond"/>
          <w:sz w:val="24"/>
          <w:szCs w:val="24"/>
          <w:u w:val="single"/>
        </w:rPr>
        <w:t>Obligatoriedad de la reducción a escritura pública</w:t>
      </w:r>
      <w:r w:rsidRPr="003D411F">
        <w:rPr>
          <w:rFonts w:ascii="Garamond" w:hAnsi="Garamond"/>
          <w:sz w:val="24"/>
          <w:szCs w:val="24"/>
        </w:rPr>
        <w:t>: Se discute si el artículo exige que el título conste por escritura pública o si basta con la inscripción en el Registro del Conservador de Bienes Raíces.</w:t>
      </w:r>
    </w:p>
    <w:p w:rsidR="00317296" w:rsidRPr="003D411F" w:rsidRDefault="00317296" w:rsidP="00FD1451">
      <w:pPr>
        <w:spacing w:after="0" w:line="240" w:lineRule="auto"/>
        <w:jc w:val="both"/>
        <w:rPr>
          <w:rFonts w:ascii="Garamond" w:hAnsi="Garamond"/>
          <w:sz w:val="24"/>
          <w:szCs w:val="24"/>
        </w:rPr>
      </w:pPr>
    </w:p>
    <w:p w:rsidR="00317296" w:rsidRPr="003D411F" w:rsidRDefault="00317296" w:rsidP="00FD1451">
      <w:pPr>
        <w:spacing w:after="0" w:line="240" w:lineRule="auto"/>
        <w:jc w:val="both"/>
        <w:rPr>
          <w:rFonts w:ascii="Garamond" w:hAnsi="Garamond"/>
          <w:sz w:val="24"/>
          <w:szCs w:val="24"/>
        </w:rPr>
      </w:pPr>
    </w:p>
    <w:p w:rsidR="00317296" w:rsidRPr="003D411F" w:rsidRDefault="00317296" w:rsidP="00E70999">
      <w:pPr>
        <w:spacing w:after="0" w:line="240" w:lineRule="auto"/>
        <w:jc w:val="both"/>
        <w:rPr>
          <w:rFonts w:ascii="Garamond" w:hAnsi="Garamond"/>
          <w:b/>
          <w:sz w:val="24"/>
          <w:szCs w:val="24"/>
        </w:rPr>
      </w:pPr>
      <w:r w:rsidRPr="003D411F">
        <w:rPr>
          <w:rFonts w:ascii="Garamond" w:hAnsi="Garamond"/>
          <w:b/>
          <w:sz w:val="24"/>
          <w:szCs w:val="24"/>
        </w:rPr>
        <w:t>6. ¿A qué acciones judiciales da derecho el cumplimiento de la Condición Resolutoria Tácita?, ¿De qué modo operan?</w:t>
      </w:r>
    </w:p>
    <w:p w:rsidR="00317296" w:rsidRPr="003D411F" w:rsidRDefault="00317296" w:rsidP="00E70999">
      <w:pPr>
        <w:spacing w:after="0" w:line="240" w:lineRule="auto"/>
        <w:jc w:val="both"/>
        <w:rPr>
          <w:rFonts w:ascii="Garamond" w:hAnsi="Garamond"/>
          <w:b/>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La Condición Resolutoria Tácita confiere al contratante diligente la posibilidad de demandar el cumplimiento forzado del contrato o su resolución, en ambos casos con indemnización de perjuicios. </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Si se demanda el cumplimiento forzado, puede optarse por la vía ordinaria o por la vía ejecutiva, según la naturaleza del título. Si se demanda la resolución del contrato debe ser necesariamente a través de la vía ordinaria.</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Ambas acciones son incompatibles entre sí pero puede interponerse sucesivamente. La indemnización de perjuicios debe demandarse de manera accesoria al cumplimiento forzado o a la resolución.</w:t>
      </w:r>
    </w:p>
    <w:p w:rsidR="00317296" w:rsidRPr="003D411F" w:rsidRDefault="00317296" w:rsidP="000B5AD4">
      <w:pPr>
        <w:spacing w:after="0" w:line="240" w:lineRule="auto"/>
        <w:jc w:val="both"/>
        <w:rPr>
          <w:rFonts w:ascii="Garamond" w:hAnsi="Garamond"/>
          <w:sz w:val="24"/>
          <w:szCs w:val="24"/>
        </w:rPr>
      </w:pPr>
    </w:p>
    <w:p w:rsidR="00317296" w:rsidRPr="003D411F" w:rsidRDefault="00317296" w:rsidP="00E70999">
      <w:pPr>
        <w:spacing w:after="0" w:line="240" w:lineRule="auto"/>
        <w:jc w:val="both"/>
        <w:rPr>
          <w:rFonts w:ascii="Garamond" w:hAnsi="Garamond"/>
          <w:sz w:val="24"/>
          <w:szCs w:val="24"/>
        </w:rPr>
      </w:pPr>
    </w:p>
    <w:p w:rsidR="00317296" w:rsidRPr="003D411F" w:rsidRDefault="00317296" w:rsidP="00E70999">
      <w:pPr>
        <w:spacing w:after="0" w:line="240" w:lineRule="auto"/>
        <w:jc w:val="both"/>
        <w:rPr>
          <w:rFonts w:ascii="Garamond" w:hAnsi="Garamond"/>
          <w:b/>
          <w:sz w:val="24"/>
          <w:szCs w:val="24"/>
        </w:rPr>
      </w:pPr>
      <w:r w:rsidRPr="003D411F">
        <w:rPr>
          <w:rFonts w:ascii="Garamond" w:hAnsi="Garamond"/>
          <w:b/>
          <w:sz w:val="24"/>
          <w:szCs w:val="24"/>
        </w:rPr>
        <w:t>7. Explique la diferencia entre Resolución, Resciliación, Rescisión y Remisión.</w:t>
      </w:r>
    </w:p>
    <w:p w:rsidR="00317296" w:rsidRPr="003D411F" w:rsidRDefault="00317296" w:rsidP="000B5AD4">
      <w:pPr>
        <w:spacing w:after="0" w:line="24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1. </w:t>
      </w:r>
      <w:r w:rsidRPr="00095A5F">
        <w:rPr>
          <w:rFonts w:ascii="Garamond" w:hAnsi="Garamond"/>
          <w:sz w:val="24"/>
          <w:szCs w:val="24"/>
          <w:u w:val="single"/>
        </w:rPr>
        <w:t>Resolución</w:t>
      </w:r>
      <w:r>
        <w:rPr>
          <w:rFonts w:ascii="Garamond" w:hAnsi="Garamond"/>
          <w:sz w:val="24"/>
          <w:szCs w:val="24"/>
        </w:rPr>
        <w:t xml:space="preserve">: </w:t>
      </w:r>
      <w:r w:rsidRPr="003D411F">
        <w:rPr>
          <w:rFonts w:ascii="Garamond" w:hAnsi="Garamond"/>
          <w:sz w:val="24"/>
          <w:szCs w:val="24"/>
        </w:rPr>
        <w:t>Evento del cumplimiento de la condición resolutoria</w:t>
      </w:r>
      <w:r>
        <w:rPr>
          <w:rFonts w:ascii="Garamond" w:hAnsi="Garamond"/>
          <w:sz w:val="24"/>
          <w:szCs w:val="24"/>
        </w:rPr>
        <w:t>.</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69242C">
      <w:pPr>
        <w:spacing w:after="0" w:line="360" w:lineRule="auto"/>
        <w:ind w:left="708"/>
        <w:jc w:val="both"/>
        <w:rPr>
          <w:rFonts w:ascii="Garamond" w:hAnsi="Garamond"/>
          <w:sz w:val="24"/>
          <w:szCs w:val="24"/>
        </w:rPr>
      </w:pPr>
      <w:r w:rsidRPr="003D411F">
        <w:rPr>
          <w:rFonts w:ascii="Garamond" w:hAnsi="Garamond"/>
          <w:sz w:val="24"/>
          <w:szCs w:val="24"/>
        </w:rPr>
        <w:t xml:space="preserve">2. </w:t>
      </w:r>
      <w:r w:rsidRPr="00095A5F">
        <w:rPr>
          <w:rFonts w:ascii="Garamond" w:hAnsi="Garamond"/>
          <w:sz w:val="24"/>
          <w:szCs w:val="24"/>
          <w:u w:val="single"/>
        </w:rPr>
        <w:t>Resciliación</w:t>
      </w:r>
      <w:r>
        <w:rPr>
          <w:rFonts w:ascii="Garamond" w:hAnsi="Garamond"/>
          <w:sz w:val="24"/>
          <w:szCs w:val="24"/>
        </w:rPr>
        <w:t xml:space="preserve">: </w:t>
      </w:r>
      <w:r w:rsidRPr="003D411F">
        <w:rPr>
          <w:rFonts w:ascii="Garamond" w:hAnsi="Garamond"/>
          <w:sz w:val="24"/>
          <w:szCs w:val="24"/>
        </w:rPr>
        <w:t>es un modo de extinguir las obligaciones que se produce cuando las partes, siendo capaces de disponer libremente de lo suyo, y en virtud del principio de la autonomía de la voluntad, acuerdan dejar sin efecto el contrato de donde emana la obligación.</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3. </w:t>
      </w:r>
      <w:r w:rsidRPr="00095A5F">
        <w:rPr>
          <w:rFonts w:ascii="Garamond" w:hAnsi="Garamond"/>
          <w:sz w:val="24"/>
          <w:szCs w:val="24"/>
          <w:u w:val="single"/>
        </w:rPr>
        <w:t>Rescisión</w:t>
      </w:r>
      <w:r>
        <w:rPr>
          <w:rFonts w:ascii="Garamond" w:hAnsi="Garamond"/>
          <w:sz w:val="24"/>
          <w:szCs w:val="24"/>
        </w:rPr>
        <w:t xml:space="preserve">: </w:t>
      </w:r>
      <w:r w:rsidRPr="003D411F">
        <w:rPr>
          <w:rFonts w:ascii="Garamond" w:hAnsi="Garamond"/>
          <w:sz w:val="24"/>
          <w:szCs w:val="24"/>
        </w:rPr>
        <w:t>Nulidad relativa</w:t>
      </w:r>
      <w:r>
        <w:rPr>
          <w:rFonts w:ascii="Garamond" w:hAnsi="Garamond"/>
          <w:sz w:val="24"/>
          <w:szCs w:val="24"/>
        </w:rPr>
        <w:t>.</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69242C">
      <w:pPr>
        <w:spacing w:after="0" w:line="360" w:lineRule="auto"/>
        <w:ind w:left="708"/>
        <w:jc w:val="both"/>
        <w:rPr>
          <w:rFonts w:ascii="Garamond" w:hAnsi="Garamond"/>
          <w:sz w:val="24"/>
          <w:szCs w:val="24"/>
        </w:rPr>
      </w:pPr>
      <w:r w:rsidRPr="003D411F">
        <w:rPr>
          <w:rFonts w:ascii="Garamond" w:hAnsi="Garamond"/>
          <w:sz w:val="24"/>
          <w:szCs w:val="24"/>
        </w:rPr>
        <w:t xml:space="preserve">4. </w:t>
      </w:r>
      <w:r w:rsidRPr="00095A5F">
        <w:rPr>
          <w:rFonts w:ascii="Garamond" w:hAnsi="Garamond"/>
          <w:sz w:val="24"/>
          <w:szCs w:val="24"/>
          <w:u w:val="single"/>
        </w:rPr>
        <w:t>Remisión</w:t>
      </w:r>
      <w:r>
        <w:rPr>
          <w:rFonts w:ascii="Garamond" w:hAnsi="Garamond"/>
          <w:sz w:val="24"/>
          <w:szCs w:val="24"/>
        </w:rPr>
        <w:t xml:space="preserve">: </w:t>
      </w:r>
      <w:r w:rsidRPr="003D411F">
        <w:rPr>
          <w:rFonts w:ascii="Garamond" w:hAnsi="Garamond"/>
          <w:sz w:val="24"/>
          <w:szCs w:val="24"/>
        </w:rPr>
        <w:t>Modo de extinguir las obligaciones que consiste en el perdón que de la deuda le hace el acreedor al deudor.</w:t>
      </w:r>
    </w:p>
    <w:p w:rsidR="00317296" w:rsidRPr="003D411F" w:rsidRDefault="00317296" w:rsidP="00E70999">
      <w:pPr>
        <w:spacing w:after="0" w:line="240" w:lineRule="auto"/>
        <w:jc w:val="both"/>
        <w:rPr>
          <w:rFonts w:ascii="Garamond" w:hAnsi="Garamond"/>
          <w:b/>
          <w:sz w:val="24"/>
          <w:szCs w:val="24"/>
        </w:rPr>
      </w:pPr>
    </w:p>
    <w:p w:rsidR="00317296" w:rsidRPr="003D411F" w:rsidRDefault="00317296" w:rsidP="00E70999">
      <w:pPr>
        <w:spacing w:after="0" w:line="240" w:lineRule="auto"/>
        <w:jc w:val="both"/>
        <w:rPr>
          <w:rFonts w:ascii="Garamond" w:hAnsi="Garamond"/>
          <w:b/>
          <w:sz w:val="24"/>
          <w:szCs w:val="24"/>
        </w:rPr>
      </w:pPr>
    </w:p>
    <w:p w:rsidR="00317296" w:rsidRPr="003D411F" w:rsidRDefault="00317296" w:rsidP="00E70999">
      <w:pPr>
        <w:spacing w:after="0" w:line="240" w:lineRule="auto"/>
        <w:jc w:val="both"/>
        <w:rPr>
          <w:rFonts w:ascii="Garamond" w:hAnsi="Garamond"/>
          <w:b/>
          <w:sz w:val="24"/>
          <w:szCs w:val="24"/>
        </w:rPr>
      </w:pPr>
      <w:r w:rsidRPr="003D411F">
        <w:rPr>
          <w:rFonts w:ascii="Garamond" w:hAnsi="Garamond"/>
          <w:b/>
          <w:sz w:val="24"/>
          <w:szCs w:val="24"/>
        </w:rPr>
        <w:t>8. Concepto de Pago como modo de extinguir las obligaciones. Características del Pago. ¿A quién debe hacerse?, ¿Por quién?, ¿En qué época y lugar?</w:t>
      </w:r>
    </w:p>
    <w:p w:rsidR="00317296" w:rsidRPr="003D411F" w:rsidRDefault="00317296" w:rsidP="000B5AD4">
      <w:pPr>
        <w:spacing w:after="0" w:line="24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El Pago es un modo de </w:t>
      </w:r>
      <w:r>
        <w:rPr>
          <w:rFonts w:ascii="Garamond" w:hAnsi="Garamond"/>
          <w:sz w:val="24"/>
          <w:szCs w:val="24"/>
        </w:rPr>
        <w:t>extinguir cualquier obligación que</w:t>
      </w:r>
      <w:r w:rsidRPr="003D411F">
        <w:rPr>
          <w:rFonts w:ascii="Garamond" w:hAnsi="Garamond"/>
          <w:sz w:val="24"/>
          <w:szCs w:val="24"/>
        </w:rPr>
        <w:t xml:space="preserve"> consiste en la prestación de lo que se debe</w:t>
      </w:r>
      <w:r>
        <w:rPr>
          <w:rFonts w:ascii="Garamond" w:hAnsi="Garamond"/>
          <w:sz w:val="24"/>
          <w:szCs w:val="24"/>
        </w:rPr>
        <w:t>. Es</w:t>
      </w:r>
      <w:r w:rsidRPr="003D411F">
        <w:rPr>
          <w:rFonts w:ascii="Garamond" w:hAnsi="Garamond"/>
          <w:sz w:val="24"/>
          <w:szCs w:val="24"/>
        </w:rPr>
        <w:t xml:space="preserve"> el cumplimiento de una obligación en la forma en que ella se encuentra establecida.</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Las características del pago son:</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1. Debe ser completo: Comprende íntegramente lo debido, incluidos los accesorios.</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69242C">
      <w:pPr>
        <w:spacing w:after="0" w:line="360" w:lineRule="auto"/>
        <w:ind w:left="708"/>
        <w:jc w:val="both"/>
        <w:rPr>
          <w:rFonts w:ascii="Garamond" w:hAnsi="Garamond"/>
          <w:sz w:val="24"/>
          <w:szCs w:val="24"/>
        </w:rPr>
      </w:pPr>
      <w:r w:rsidRPr="003D411F">
        <w:rPr>
          <w:rFonts w:ascii="Garamond" w:hAnsi="Garamond"/>
          <w:sz w:val="24"/>
          <w:szCs w:val="24"/>
        </w:rPr>
        <w:t>2. Debe ser específico: Debe hacerse en conformidad con la obligación contratada por lo que el acreedor no puede ser obligado a recibir otra cosa que lo que se le deba.</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69242C">
      <w:pPr>
        <w:spacing w:after="0" w:line="360" w:lineRule="auto"/>
        <w:ind w:left="708"/>
        <w:jc w:val="both"/>
        <w:rPr>
          <w:rFonts w:ascii="Garamond" w:hAnsi="Garamond"/>
          <w:sz w:val="24"/>
          <w:szCs w:val="24"/>
        </w:rPr>
      </w:pPr>
      <w:r w:rsidRPr="003D411F">
        <w:rPr>
          <w:rFonts w:ascii="Garamond" w:hAnsi="Garamond"/>
          <w:sz w:val="24"/>
          <w:szCs w:val="24"/>
        </w:rPr>
        <w:t>3. Debe ser indivisible: El deudor no puede obligar al acreedor a recibir por partes lo que se le deba.</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De acuerdo al artículo 1576, el pago puede hacerse validamente al acreedor mismo o a sus herederos y cesionarios, a sus representantes y al poseedor el crédito.</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De acuerdo al artículo 1572 “puede pagar por el deudor cualquier persona a nombre del deudor, aun sin su conocimiento o contra su voluntad, y aun a pesar del acreedor.”</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El pago debe realizarse cuando la obligación se hace exigible (distinguir entre obligaciones puras y simple, a plazo y sujetas a condición) y en el lugar estipulado por las partes. Si las partes nada dicen, debe distinguirse entre obligaciones de cuerpo cierto –el pago debe hacerse en el lugar en que el cuerpo cierto existía al momento de constituirse la obligación- y otras obligaciones –el pago debe hacerse en el domicilio del deudor-.</w:t>
      </w:r>
    </w:p>
    <w:p w:rsidR="00317296" w:rsidRPr="003D411F" w:rsidRDefault="00317296" w:rsidP="000B5AD4">
      <w:pPr>
        <w:spacing w:after="0" w:line="240" w:lineRule="auto"/>
        <w:jc w:val="both"/>
        <w:rPr>
          <w:rFonts w:ascii="Garamond" w:hAnsi="Garamond"/>
          <w:sz w:val="24"/>
          <w:szCs w:val="24"/>
        </w:rPr>
      </w:pPr>
    </w:p>
    <w:p w:rsidR="00317296" w:rsidRPr="003D411F" w:rsidRDefault="00317296" w:rsidP="00E70999">
      <w:pPr>
        <w:spacing w:after="0" w:line="240" w:lineRule="auto"/>
        <w:jc w:val="both"/>
        <w:rPr>
          <w:rFonts w:ascii="Garamond" w:hAnsi="Garamond"/>
          <w:sz w:val="24"/>
          <w:szCs w:val="24"/>
        </w:rPr>
      </w:pPr>
    </w:p>
    <w:p w:rsidR="00317296" w:rsidRPr="003D411F" w:rsidRDefault="00317296" w:rsidP="00E70999">
      <w:pPr>
        <w:spacing w:after="0" w:line="240" w:lineRule="auto"/>
        <w:jc w:val="both"/>
        <w:rPr>
          <w:rFonts w:ascii="Garamond" w:hAnsi="Garamond"/>
          <w:b/>
          <w:sz w:val="24"/>
          <w:szCs w:val="24"/>
          <w:lang w:val="es-CL"/>
        </w:rPr>
      </w:pPr>
      <w:r w:rsidRPr="003D411F">
        <w:rPr>
          <w:rFonts w:ascii="Garamond" w:hAnsi="Garamond"/>
          <w:b/>
          <w:sz w:val="24"/>
          <w:szCs w:val="24"/>
          <w:lang w:val="es-CL"/>
        </w:rPr>
        <w:t>9. Efectos del Pago con Subrogación.</w:t>
      </w:r>
    </w:p>
    <w:p w:rsidR="00317296" w:rsidRPr="003D411F" w:rsidRDefault="00317296" w:rsidP="00E70999">
      <w:pPr>
        <w:spacing w:after="0" w:line="240" w:lineRule="auto"/>
        <w:jc w:val="both"/>
        <w:rPr>
          <w:rFonts w:ascii="Garamond" w:hAnsi="Garamond"/>
          <w:b/>
          <w:sz w:val="24"/>
          <w:szCs w:val="24"/>
        </w:rPr>
      </w:pP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Según el artículo 1612, “la subrogación tanto legal como convencional, traspasa al nuevo acreedor todos los derechos, acciones, privilegios, prendas e hipotecas del antiguo, así contra el deudor principal como contra cualquiera terceros, obligados solidaria o subsidiariamente a la deuda.”</w:t>
      </w:r>
    </w:p>
    <w:p w:rsidR="00317296" w:rsidRPr="003D411F" w:rsidRDefault="00317296" w:rsidP="00095A5F">
      <w:pPr>
        <w:spacing w:after="0" w:line="360" w:lineRule="auto"/>
        <w:jc w:val="both"/>
        <w:rPr>
          <w:rFonts w:ascii="Garamond" w:hAnsi="Garamond"/>
          <w:sz w:val="24"/>
          <w:szCs w:val="24"/>
        </w:rPr>
      </w:pPr>
    </w:p>
    <w:p w:rsidR="00317296" w:rsidRPr="003D411F" w:rsidRDefault="00317296" w:rsidP="0069242C">
      <w:pPr>
        <w:spacing w:after="0" w:line="360" w:lineRule="auto"/>
        <w:ind w:left="708"/>
        <w:jc w:val="both"/>
        <w:rPr>
          <w:rFonts w:ascii="Garamond" w:hAnsi="Garamond"/>
          <w:sz w:val="24"/>
          <w:szCs w:val="24"/>
        </w:rPr>
      </w:pPr>
      <w:r w:rsidRPr="003D411F">
        <w:rPr>
          <w:rFonts w:ascii="Garamond" w:hAnsi="Garamond"/>
          <w:sz w:val="24"/>
          <w:szCs w:val="24"/>
        </w:rPr>
        <w:t xml:space="preserve">1. Traspasa los derechos y acciones del </w:t>
      </w:r>
      <w:r w:rsidRPr="00307C02">
        <w:rPr>
          <w:rFonts w:ascii="Garamond" w:hAnsi="Garamond"/>
          <w:i/>
          <w:sz w:val="24"/>
          <w:szCs w:val="24"/>
        </w:rPr>
        <w:t>solvens</w:t>
      </w:r>
      <w:r w:rsidRPr="003D411F">
        <w:rPr>
          <w:rFonts w:ascii="Garamond" w:hAnsi="Garamond"/>
          <w:sz w:val="24"/>
          <w:szCs w:val="24"/>
        </w:rPr>
        <w:t xml:space="preserve"> existentes al tiempo de la subrogación.</w:t>
      </w: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2. Traspasa los privilegios de los que gozan los derechos y acciones del </w:t>
      </w:r>
      <w:r w:rsidRPr="00307C02">
        <w:rPr>
          <w:rFonts w:ascii="Garamond" w:hAnsi="Garamond"/>
          <w:i/>
          <w:sz w:val="24"/>
          <w:szCs w:val="24"/>
        </w:rPr>
        <w:t>solvens</w:t>
      </w:r>
      <w:r w:rsidRPr="003D411F">
        <w:rPr>
          <w:rFonts w:ascii="Garamond" w:hAnsi="Garamond"/>
          <w:sz w:val="24"/>
          <w:szCs w:val="24"/>
        </w:rPr>
        <w:t>.</w:t>
      </w:r>
    </w:p>
    <w:p w:rsidR="00317296" w:rsidRPr="003D411F" w:rsidRDefault="00317296" w:rsidP="00095A5F">
      <w:pPr>
        <w:spacing w:after="0" w:line="360" w:lineRule="auto"/>
        <w:ind w:firstLine="708"/>
        <w:jc w:val="both"/>
        <w:rPr>
          <w:rFonts w:ascii="Garamond" w:hAnsi="Garamond"/>
          <w:sz w:val="24"/>
          <w:szCs w:val="24"/>
        </w:rPr>
      </w:pPr>
      <w:r w:rsidRPr="003D411F">
        <w:rPr>
          <w:rFonts w:ascii="Garamond" w:hAnsi="Garamond"/>
          <w:sz w:val="24"/>
          <w:szCs w:val="24"/>
        </w:rPr>
        <w:t xml:space="preserve">3. Traspasa las cauciones a los que se encuentres sujetos los derechos del </w:t>
      </w:r>
      <w:r w:rsidRPr="00307C02">
        <w:rPr>
          <w:rFonts w:ascii="Garamond" w:hAnsi="Garamond"/>
          <w:i/>
          <w:sz w:val="24"/>
          <w:szCs w:val="24"/>
        </w:rPr>
        <w:t>solvens</w:t>
      </w:r>
      <w:r w:rsidRPr="003D411F">
        <w:rPr>
          <w:rFonts w:ascii="Garamond" w:hAnsi="Garamond"/>
          <w:sz w:val="24"/>
          <w:szCs w:val="24"/>
        </w:rPr>
        <w:t>.</w:t>
      </w:r>
    </w:p>
    <w:p w:rsidR="00317296" w:rsidRPr="003D411F" w:rsidRDefault="00317296" w:rsidP="0069242C">
      <w:pPr>
        <w:spacing w:after="0" w:line="360" w:lineRule="auto"/>
        <w:ind w:left="708"/>
        <w:jc w:val="both"/>
        <w:rPr>
          <w:rFonts w:ascii="Garamond" w:hAnsi="Garamond"/>
          <w:sz w:val="24"/>
          <w:szCs w:val="24"/>
        </w:rPr>
      </w:pPr>
      <w:r w:rsidRPr="003D411F">
        <w:rPr>
          <w:rFonts w:ascii="Garamond" w:hAnsi="Garamond"/>
          <w:sz w:val="24"/>
          <w:szCs w:val="24"/>
        </w:rPr>
        <w:t xml:space="preserve">4. No traspasa derechos personalísimos otorgados en consideración a la persona del </w:t>
      </w:r>
      <w:r w:rsidRPr="00307C02">
        <w:rPr>
          <w:rFonts w:ascii="Garamond" w:hAnsi="Garamond"/>
          <w:i/>
          <w:sz w:val="24"/>
          <w:szCs w:val="24"/>
        </w:rPr>
        <w:t>solvens</w:t>
      </w:r>
      <w:r w:rsidRPr="003D411F">
        <w:rPr>
          <w:rFonts w:ascii="Garamond" w:hAnsi="Garamond"/>
          <w:sz w:val="24"/>
          <w:szCs w:val="24"/>
        </w:rPr>
        <w:t xml:space="preserve">. </w:t>
      </w:r>
    </w:p>
    <w:p w:rsidR="00317296" w:rsidRPr="003D411F" w:rsidRDefault="00317296" w:rsidP="00E70999">
      <w:pPr>
        <w:spacing w:after="0" w:line="240" w:lineRule="auto"/>
        <w:jc w:val="both"/>
        <w:rPr>
          <w:rFonts w:ascii="Garamond" w:hAnsi="Garamond"/>
          <w:sz w:val="24"/>
          <w:szCs w:val="24"/>
        </w:rPr>
      </w:pPr>
    </w:p>
    <w:p w:rsidR="00317296" w:rsidRPr="003D411F" w:rsidRDefault="00317296" w:rsidP="00E70999">
      <w:pPr>
        <w:spacing w:after="0" w:line="240" w:lineRule="auto"/>
        <w:jc w:val="both"/>
        <w:rPr>
          <w:rFonts w:ascii="Garamond" w:hAnsi="Garamond"/>
          <w:sz w:val="24"/>
          <w:szCs w:val="24"/>
        </w:rPr>
      </w:pPr>
    </w:p>
    <w:p w:rsidR="00317296" w:rsidRPr="003D411F" w:rsidRDefault="00317296" w:rsidP="00E70999">
      <w:pPr>
        <w:spacing w:after="0" w:line="240" w:lineRule="auto"/>
        <w:jc w:val="both"/>
        <w:rPr>
          <w:rFonts w:ascii="Garamond" w:hAnsi="Garamond"/>
          <w:b/>
          <w:sz w:val="24"/>
          <w:szCs w:val="24"/>
          <w:lang w:val="es-CL"/>
        </w:rPr>
      </w:pPr>
      <w:r w:rsidRPr="003D411F">
        <w:rPr>
          <w:rFonts w:ascii="Garamond" w:hAnsi="Garamond"/>
          <w:b/>
          <w:sz w:val="24"/>
          <w:szCs w:val="24"/>
          <w:lang w:val="es-CL"/>
        </w:rPr>
        <w:t>10. Concepto y requisitos de la Dación en pago.</w:t>
      </w:r>
    </w:p>
    <w:p w:rsidR="00317296" w:rsidRPr="003D411F" w:rsidRDefault="00317296" w:rsidP="00E70999">
      <w:pPr>
        <w:spacing w:after="0" w:line="240" w:lineRule="auto"/>
        <w:jc w:val="both"/>
        <w:rPr>
          <w:rFonts w:ascii="Garamond" w:hAnsi="Garamond"/>
          <w:sz w:val="24"/>
          <w:szCs w:val="24"/>
        </w:rPr>
      </w:pPr>
    </w:p>
    <w:p w:rsidR="00317296" w:rsidRPr="003D411F" w:rsidRDefault="00317296" w:rsidP="0069242C">
      <w:pPr>
        <w:spacing w:after="0" w:line="360" w:lineRule="auto"/>
        <w:ind w:firstLine="708"/>
        <w:jc w:val="both"/>
        <w:rPr>
          <w:rFonts w:ascii="Garamond" w:hAnsi="Garamond"/>
          <w:sz w:val="24"/>
          <w:szCs w:val="24"/>
        </w:rPr>
      </w:pPr>
      <w:r w:rsidRPr="003D411F">
        <w:rPr>
          <w:rFonts w:ascii="Garamond" w:hAnsi="Garamond"/>
          <w:sz w:val="24"/>
          <w:szCs w:val="24"/>
        </w:rPr>
        <w:t xml:space="preserve">Es un modo de extinguir las obligaciones que se perfecciona por la entrega voluntaria que un deudor hace a título de pago a un acreedor, y con el consentimiento de éste, de una prestación </w:t>
      </w:r>
      <w:r>
        <w:rPr>
          <w:rFonts w:ascii="Garamond" w:hAnsi="Garamond"/>
          <w:sz w:val="24"/>
          <w:szCs w:val="24"/>
        </w:rPr>
        <w:t>u objeto distinto de lo debido.</w:t>
      </w:r>
    </w:p>
    <w:p w:rsidR="00317296" w:rsidRPr="003D411F" w:rsidRDefault="00317296" w:rsidP="0069242C">
      <w:pPr>
        <w:spacing w:after="0" w:line="360" w:lineRule="auto"/>
        <w:jc w:val="both"/>
        <w:rPr>
          <w:rFonts w:ascii="Garamond" w:hAnsi="Garamond"/>
          <w:sz w:val="24"/>
          <w:szCs w:val="24"/>
        </w:rPr>
      </w:pPr>
    </w:p>
    <w:p w:rsidR="00317296" w:rsidRPr="003D411F" w:rsidRDefault="00317296" w:rsidP="0069242C">
      <w:pPr>
        <w:spacing w:after="0" w:line="360" w:lineRule="auto"/>
        <w:jc w:val="both"/>
        <w:rPr>
          <w:rFonts w:ascii="Garamond" w:hAnsi="Garamond"/>
          <w:sz w:val="24"/>
          <w:szCs w:val="24"/>
        </w:rPr>
      </w:pPr>
      <w:r w:rsidRPr="003D411F">
        <w:rPr>
          <w:rFonts w:ascii="Garamond" w:hAnsi="Garamond"/>
          <w:sz w:val="24"/>
          <w:szCs w:val="24"/>
        </w:rPr>
        <w:t>Requisitos:</w:t>
      </w:r>
    </w:p>
    <w:p w:rsidR="00317296" w:rsidRPr="003D411F" w:rsidRDefault="00317296" w:rsidP="0069242C">
      <w:pPr>
        <w:spacing w:after="0" w:line="360" w:lineRule="auto"/>
        <w:ind w:left="708"/>
        <w:jc w:val="both"/>
        <w:rPr>
          <w:rFonts w:ascii="Garamond" w:hAnsi="Garamond"/>
          <w:sz w:val="24"/>
          <w:szCs w:val="24"/>
        </w:rPr>
      </w:pPr>
      <w:r w:rsidRPr="003D411F">
        <w:rPr>
          <w:rFonts w:ascii="Garamond" w:hAnsi="Garamond"/>
          <w:sz w:val="24"/>
          <w:szCs w:val="24"/>
        </w:rPr>
        <w:t>1. Existencia de una obligación primitiva. Puede ser de cualquier naturaleza, no existen limitaciones, basta que sea anterior a la dación.</w:t>
      </w:r>
    </w:p>
    <w:p w:rsidR="00317296" w:rsidRPr="003D411F" w:rsidRDefault="00317296" w:rsidP="0069242C">
      <w:pPr>
        <w:spacing w:after="0" w:line="360" w:lineRule="auto"/>
        <w:ind w:left="708"/>
        <w:jc w:val="both"/>
        <w:rPr>
          <w:rFonts w:ascii="Garamond" w:hAnsi="Garamond"/>
          <w:sz w:val="24"/>
          <w:szCs w:val="24"/>
        </w:rPr>
      </w:pPr>
      <w:r w:rsidRPr="003D411F">
        <w:rPr>
          <w:rFonts w:ascii="Garamond" w:hAnsi="Garamond"/>
          <w:sz w:val="24"/>
          <w:szCs w:val="24"/>
        </w:rPr>
        <w:t>2. Existencia de una prestación diferente a la establecida. Es necesario que en la prestación varíe un elemento esencial con respecto a lo anteriormente establecido.</w:t>
      </w:r>
    </w:p>
    <w:p w:rsidR="00317296" w:rsidRPr="003D411F" w:rsidRDefault="00317296" w:rsidP="0069242C">
      <w:pPr>
        <w:spacing w:after="0" w:line="360" w:lineRule="auto"/>
        <w:ind w:firstLine="708"/>
        <w:jc w:val="both"/>
        <w:rPr>
          <w:rFonts w:ascii="Garamond" w:hAnsi="Garamond"/>
          <w:sz w:val="24"/>
          <w:szCs w:val="24"/>
        </w:rPr>
      </w:pPr>
      <w:r w:rsidRPr="003D411F">
        <w:rPr>
          <w:rFonts w:ascii="Garamond" w:hAnsi="Garamond"/>
          <w:sz w:val="24"/>
          <w:szCs w:val="24"/>
        </w:rPr>
        <w:t xml:space="preserve">3. Consentimiento y capacidad de las partes. </w:t>
      </w:r>
    </w:p>
    <w:p w:rsidR="00317296" w:rsidRPr="003D411F" w:rsidRDefault="00317296" w:rsidP="0069242C">
      <w:pPr>
        <w:spacing w:after="0" w:line="360" w:lineRule="auto"/>
        <w:ind w:firstLine="708"/>
        <w:jc w:val="both"/>
        <w:rPr>
          <w:rFonts w:ascii="Garamond" w:hAnsi="Garamond"/>
          <w:sz w:val="24"/>
          <w:szCs w:val="24"/>
        </w:rPr>
      </w:pPr>
      <w:r w:rsidRPr="003D411F">
        <w:rPr>
          <w:rFonts w:ascii="Garamond" w:hAnsi="Garamond"/>
          <w:sz w:val="24"/>
          <w:szCs w:val="24"/>
        </w:rPr>
        <w:t xml:space="preserve">4. </w:t>
      </w:r>
      <w:r w:rsidRPr="00307C02">
        <w:rPr>
          <w:rFonts w:ascii="Garamond" w:hAnsi="Garamond"/>
          <w:i/>
          <w:sz w:val="24"/>
          <w:szCs w:val="24"/>
        </w:rPr>
        <w:t>Animus solvendi</w:t>
      </w:r>
      <w:r w:rsidRPr="003D411F">
        <w:rPr>
          <w:rFonts w:ascii="Garamond" w:hAnsi="Garamond"/>
          <w:sz w:val="24"/>
          <w:szCs w:val="24"/>
        </w:rPr>
        <w:t xml:space="preserve">. Es la intención de las partes de extinguir una obligación anterior. </w:t>
      </w:r>
    </w:p>
    <w:p w:rsidR="00317296" w:rsidRPr="003D411F" w:rsidRDefault="00317296" w:rsidP="0069242C">
      <w:pPr>
        <w:spacing w:after="0" w:line="360" w:lineRule="auto"/>
        <w:ind w:left="708"/>
        <w:jc w:val="both"/>
        <w:rPr>
          <w:rFonts w:ascii="Garamond" w:hAnsi="Garamond"/>
          <w:sz w:val="24"/>
          <w:szCs w:val="24"/>
        </w:rPr>
      </w:pPr>
      <w:r w:rsidRPr="003D411F">
        <w:rPr>
          <w:rFonts w:ascii="Garamond" w:hAnsi="Garamond"/>
          <w:sz w:val="24"/>
          <w:szCs w:val="24"/>
        </w:rPr>
        <w:t>5. Solemnidades legales. No tiene solemnidades como Modo de Extinguir las Obligaciones, pero al ser un título traslaticio de dominio deberá cumplir con las solemnidades del acto de que se trate.</w:t>
      </w:r>
    </w:p>
    <w:p w:rsidR="00317296" w:rsidRDefault="00317296" w:rsidP="00E70999">
      <w:pPr>
        <w:spacing w:after="0" w:line="240" w:lineRule="auto"/>
        <w:jc w:val="both"/>
        <w:rPr>
          <w:rFonts w:ascii="Garamond" w:hAnsi="Garamond"/>
          <w:b/>
          <w:sz w:val="24"/>
          <w:szCs w:val="24"/>
          <w:lang w:val="es-CL"/>
        </w:rPr>
      </w:pPr>
    </w:p>
    <w:p w:rsidR="00317296" w:rsidRPr="003D411F" w:rsidRDefault="00317296" w:rsidP="00E70999">
      <w:pPr>
        <w:spacing w:after="0" w:line="240" w:lineRule="auto"/>
        <w:jc w:val="both"/>
        <w:rPr>
          <w:rFonts w:ascii="Garamond" w:hAnsi="Garamond"/>
          <w:b/>
          <w:sz w:val="24"/>
          <w:szCs w:val="24"/>
          <w:lang w:val="es-CL"/>
        </w:rPr>
      </w:pPr>
      <w:r w:rsidRPr="003D411F">
        <w:rPr>
          <w:rFonts w:ascii="Garamond" w:hAnsi="Garamond"/>
          <w:b/>
          <w:sz w:val="24"/>
          <w:szCs w:val="24"/>
          <w:lang w:val="es-CL"/>
        </w:rPr>
        <w:t>11. Concepto de Novación.</w:t>
      </w:r>
    </w:p>
    <w:p w:rsidR="00317296" w:rsidRPr="003D411F" w:rsidRDefault="00317296" w:rsidP="00E70999">
      <w:pPr>
        <w:spacing w:after="0" w:line="240" w:lineRule="auto"/>
        <w:jc w:val="both"/>
        <w:rPr>
          <w:rFonts w:ascii="Garamond" w:hAnsi="Garamond"/>
          <w:sz w:val="24"/>
          <w:szCs w:val="24"/>
        </w:rPr>
      </w:pPr>
    </w:p>
    <w:p w:rsidR="00317296" w:rsidRPr="003D411F" w:rsidRDefault="00317296" w:rsidP="0069242C">
      <w:pPr>
        <w:spacing w:after="0" w:line="360" w:lineRule="auto"/>
        <w:ind w:firstLine="708"/>
        <w:jc w:val="both"/>
        <w:rPr>
          <w:rFonts w:ascii="Garamond" w:hAnsi="Garamond"/>
          <w:sz w:val="24"/>
          <w:szCs w:val="24"/>
        </w:rPr>
      </w:pPr>
      <w:r w:rsidRPr="003D411F">
        <w:rPr>
          <w:rFonts w:ascii="Garamond" w:hAnsi="Garamond"/>
          <w:sz w:val="24"/>
          <w:szCs w:val="24"/>
        </w:rPr>
        <w:t>Según el artículo 1628 “es la substitución de una nueva obligación a otra anterior, la cual queda por tanto extinguida”:</w:t>
      </w:r>
    </w:p>
    <w:p w:rsidR="00317296" w:rsidRPr="003D411F" w:rsidRDefault="00317296" w:rsidP="00E70999">
      <w:pPr>
        <w:spacing w:after="0" w:line="240" w:lineRule="auto"/>
        <w:jc w:val="both"/>
        <w:rPr>
          <w:rFonts w:ascii="Garamond" w:hAnsi="Garamond"/>
          <w:sz w:val="24"/>
          <w:szCs w:val="24"/>
        </w:rPr>
      </w:pPr>
    </w:p>
    <w:p w:rsidR="00317296" w:rsidRPr="003D411F" w:rsidRDefault="00317296" w:rsidP="00E70999">
      <w:pPr>
        <w:spacing w:after="0" w:line="240" w:lineRule="auto"/>
        <w:jc w:val="both"/>
        <w:rPr>
          <w:rFonts w:ascii="Garamond" w:hAnsi="Garamond"/>
          <w:b/>
          <w:sz w:val="24"/>
          <w:szCs w:val="24"/>
          <w:lang w:val="es-CL"/>
        </w:rPr>
      </w:pPr>
    </w:p>
    <w:p w:rsidR="00317296" w:rsidRPr="003D411F" w:rsidRDefault="00317296" w:rsidP="00E70999">
      <w:pPr>
        <w:spacing w:after="0" w:line="240" w:lineRule="auto"/>
        <w:jc w:val="both"/>
        <w:rPr>
          <w:rFonts w:ascii="Garamond" w:hAnsi="Garamond"/>
          <w:b/>
          <w:sz w:val="24"/>
          <w:szCs w:val="24"/>
          <w:lang w:val="es-CL"/>
        </w:rPr>
      </w:pPr>
      <w:r w:rsidRPr="003D411F">
        <w:rPr>
          <w:rFonts w:ascii="Garamond" w:hAnsi="Garamond"/>
          <w:b/>
          <w:sz w:val="24"/>
          <w:szCs w:val="24"/>
          <w:lang w:val="es-CL"/>
        </w:rPr>
        <w:t>12. Requisitos y efectos de la Compensación.</w:t>
      </w:r>
    </w:p>
    <w:p w:rsidR="00317296" w:rsidRPr="003D411F" w:rsidRDefault="00317296" w:rsidP="00E70999">
      <w:pPr>
        <w:spacing w:after="0" w:line="240" w:lineRule="auto"/>
        <w:jc w:val="both"/>
        <w:rPr>
          <w:rFonts w:ascii="Garamond" w:hAnsi="Garamond"/>
          <w:b/>
          <w:sz w:val="24"/>
          <w:szCs w:val="24"/>
          <w:lang w:val="es-CL"/>
        </w:rPr>
      </w:pPr>
    </w:p>
    <w:p w:rsidR="00317296" w:rsidRPr="003D411F" w:rsidRDefault="00317296" w:rsidP="0069242C">
      <w:pPr>
        <w:spacing w:after="0" w:line="360" w:lineRule="auto"/>
        <w:jc w:val="both"/>
        <w:rPr>
          <w:rFonts w:ascii="Garamond" w:hAnsi="Garamond"/>
          <w:sz w:val="24"/>
          <w:szCs w:val="24"/>
          <w:lang w:val="es-CL"/>
        </w:rPr>
      </w:pPr>
      <w:r w:rsidRPr="003D411F">
        <w:rPr>
          <w:rFonts w:ascii="Garamond" w:hAnsi="Garamond"/>
          <w:sz w:val="24"/>
          <w:szCs w:val="24"/>
          <w:lang w:val="es-CL"/>
        </w:rPr>
        <w:t>Para que opere la Compensación es preciso:</w:t>
      </w:r>
    </w:p>
    <w:p w:rsidR="00317296" w:rsidRPr="003D411F" w:rsidRDefault="00317296" w:rsidP="0069242C">
      <w:pPr>
        <w:spacing w:after="0" w:line="360" w:lineRule="auto"/>
        <w:ind w:left="708"/>
        <w:jc w:val="both"/>
        <w:rPr>
          <w:rFonts w:ascii="Garamond" w:hAnsi="Garamond"/>
          <w:sz w:val="24"/>
          <w:szCs w:val="24"/>
          <w:lang w:val="es-CL"/>
        </w:rPr>
      </w:pPr>
      <w:r w:rsidRPr="003D411F">
        <w:rPr>
          <w:rFonts w:ascii="Garamond" w:hAnsi="Garamond"/>
          <w:sz w:val="24"/>
          <w:szCs w:val="24"/>
          <w:lang w:val="es-CL"/>
        </w:rPr>
        <w:t>1. Que ambas deudas sean de dinero o de cosas fungibles o indeterminadas de igual género y calidad.</w:t>
      </w:r>
    </w:p>
    <w:p w:rsidR="00317296" w:rsidRPr="003D411F" w:rsidRDefault="00317296" w:rsidP="0069242C">
      <w:pPr>
        <w:spacing w:after="0" w:line="360" w:lineRule="auto"/>
        <w:ind w:firstLine="708"/>
        <w:jc w:val="both"/>
        <w:rPr>
          <w:rFonts w:ascii="Garamond" w:hAnsi="Garamond"/>
          <w:sz w:val="24"/>
          <w:szCs w:val="24"/>
          <w:lang w:val="es-CL"/>
        </w:rPr>
      </w:pPr>
      <w:r w:rsidRPr="003D411F">
        <w:rPr>
          <w:rFonts w:ascii="Garamond" w:hAnsi="Garamond"/>
          <w:sz w:val="24"/>
          <w:szCs w:val="24"/>
          <w:lang w:val="es-CL"/>
        </w:rPr>
        <w:t>2. Que las dos partes sena personal y recíprocamente deudoras y acreedoras.</w:t>
      </w:r>
    </w:p>
    <w:p w:rsidR="00317296" w:rsidRPr="003D411F" w:rsidRDefault="00317296" w:rsidP="0069242C">
      <w:pPr>
        <w:spacing w:after="0" w:line="360" w:lineRule="auto"/>
        <w:ind w:firstLine="708"/>
        <w:jc w:val="both"/>
        <w:rPr>
          <w:rFonts w:ascii="Garamond" w:hAnsi="Garamond"/>
          <w:sz w:val="24"/>
          <w:szCs w:val="24"/>
          <w:lang w:val="es-CL"/>
        </w:rPr>
      </w:pPr>
      <w:r w:rsidRPr="003D411F">
        <w:rPr>
          <w:rFonts w:ascii="Garamond" w:hAnsi="Garamond"/>
          <w:sz w:val="24"/>
          <w:szCs w:val="24"/>
          <w:lang w:val="es-CL"/>
        </w:rPr>
        <w:t>3. Que ambas deudas sean líquidas y actualmente exigibles.</w:t>
      </w:r>
    </w:p>
    <w:p w:rsidR="00317296" w:rsidRPr="003D411F" w:rsidRDefault="00317296" w:rsidP="0069242C">
      <w:pPr>
        <w:spacing w:after="0" w:line="360" w:lineRule="auto"/>
        <w:ind w:firstLine="708"/>
        <w:jc w:val="both"/>
        <w:rPr>
          <w:rFonts w:ascii="Garamond" w:hAnsi="Garamond"/>
          <w:sz w:val="24"/>
          <w:szCs w:val="24"/>
          <w:lang w:val="es-CL"/>
        </w:rPr>
      </w:pPr>
      <w:r w:rsidRPr="003D411F">
        <w:rPr>
          <w:rFonts w:ascii="Garamond" w:hAnsi="Garamond"/>
          <w:sz w:val="24"/>
          <w:szCs w:val="24"/>
          <w:lang w:val="es-CL"/>
        </w:rPr>
        <w:t xml:space="preserve">4. Que ambas deudas sean pagaderas en un mismo lugar. </w:t>
      </w:r>
    </w:p>
    <w:p w:rsidR="00317296" w:rsidRPr="003D411F" w:rsidRDefault="00317296" w:rsidP="0069242C">
      <w:pPr>
        <w:spacing w:after="0" w:line="360" w:lineRule="auto"/>
        <w:ind w:firstLine="708"/>
        <w:jc w:val="both"/>
        <w:rPr>
          <w:rFonts w:ascii="Garamond" w:hAnsi="Garamond"/>
          <w:sz w:val="24"/>
          <w:szCs w:val="24"/>
          <w:lang w:val="es-CL"/>
        </w:rPr>
      </w:pPr>
      <w:r w:rsidRPr="003D411F">
        <w:rPr>
          <w:rFonts w:ascii="Garamond" w:hAnsi="Garamond"/>
          <w:sz w:val="24"/>
          <w:szCs w:val="24"/>
          <w:lang w:val="es-CL"/>
        </w:rPr>
        <w:t>5. Que ambos créditos sean embargables.</w:t>
      </w:r>
    </w:p>
    <w:p w:rsidR="00317296" w:rsidRPr="003D411F" w:rsidRDefault="00317296" w:rsidP="0069242C">
      <w:pPr>
        <w:spacing w:after="0" w:line="360" w:lineRule="auto"/>
        <w:ind w:firstLine="708"/>
        <w:jc w:val="both"/>
        <w:rPr>
          <w:rFonts w:ascii="Garamond" w:hAnsi="Garamond"/>
          <w:sz w:val="24"/>
          <w:szCs w:val="24"/>
          <w:lang w:val="es-CL"/>
        </w:rPr>
      </w:pPr>
      <w:r w:rsidRPr="003D411F">
        <w:rPr>
          <w:rFonts w:ascii="Garamond" w:hAnsi="Garamond"/>
          <w:sz w:val="24"/>
          <w:szCs w:val="24"/>
          <w:lang w:val="es-CL"/>
        </w:rPr>
        <w:t>6. Que la compensación no se haga en perjuicio de terceros.</w:t>
      </w:r>
    </w:p>
    <w:p w:rsidR="00317296" w:rsidRPr="003D411F" w:rsidRDefault="00317296" w:rsidP="0069242C">
      <w:pPr>
        <w:spacing w:after="0" w:line="360" w:lineRule="auto"/>
        <w:jc w:val="both"/>
        <w:rPr>
          <w:rFonts w:ascii="Garamond" w:hAnsi="Garamond"/>
          <w:sz w:val="24"/>
          <w:szCs w:val="24"/>
          <w:lang w:val="es-CL"/>
        </w:rPr>
      </w:pPr>
      <w:r w:rsidRPr="003D411F">
        <w:rPr>
          <w:rFonts w:ascii="Garamond" w:hAnsi="Garamond"/>
          <w:sz w:val="24"/>
          <w:szCs w:val="24"/>
          <w:lang w:val="es-CL"/>
        </w:rPr>
        <w:t xml:space="preserve">Los efectos de la Compensación son los siguientes: </w:t>
      </w:r>
    </w:p>
    <w:p w:rsidR="00317296" w:rsidRPr="003D411F" w:rsidRDefault="00317296" w:rsidP="0069242C">
      <w:pPr>
        <w:tabs>
          <w:tab w:val="num" w:pos="720"/>
          <w:tab w:val="num" w:pos="2160"/>
        </w:tabs>
        <w:spacing w:after="0" w:line="360" w:lineRule="auto"/>
        <w:jc w:val="both"/>
        <w:rPr>
          <w:rFonts w:ascii="Garamond" w:hAnsi="Garamond"/>
          <w:sz w:val="24"/>
          <w:szCs w:val="24"/>
          <w:lang w:val="es-CL"/>
        </w:rPr>
      </w:pPr>
      <w:r>
        <w:rPr>
          <w:rFonts w:ascii="Garamond" w:hAnsi="Garamond"/>
          <w:sz w:val="24"/>
          <w:szCs w:val="24"/>
          <w:lang w:val="es-CL"/>
        </w:rPr>
        <w:tab/>
      </w:r>
      <w:r w:rsidRPr="003D411F">
        <w:rPr>
          <w:rFonts w:ascii="Garamond" w:hAnsi="Garamond"/>
          <w:sz w:val="24"/>
          <w:szCs w:val="24"/>
          <w:lang w:val="es-CL"/>
        </w:rPr>
        <w:t>1. Opera de pleno derecho.</w:t>
      </w:r>
    </w:p>
    <w:p w:rsidR="00317296" w:rsidRPr="003D411F" w:rsidRDefault="00317296" w:rsidP="0069242C">
      <w:pPr>
        <w:tabs>
          <w:tab w:val="num" w:pos="720"/>
          <w:tab w:val="num" w:pos="2160"/>
        </w:tabs>
        <w:spacing w:after="0" w:line="360" w:lineRule="auto"/>
        <w:jc w:val="both"/>
        <w:rPr>
          <w:rFonts w:ascii="Garamond" w:hAnsi="Garamond"/>
          <w:sz w:val="24"/>
          <w:szCs w:val="24"/>
          <w:lang w:val="es-CL"/>
        </w:rPr>
      </w:pPr>
      <w:r>
        <w:rPr>
          <w:rFonts w:ascii="Garamond" w:hAnsi="Garamond"/>
          <w:sz w:val="24"/>
          <w:szCs w:val="24"/>
          <w:lang w:val="es-CL"/>
        </w:rPr>
        <w:tab/>
      </w:r>
      <w:r w:rsidRPr="003D411F">
        <w:rPr>
          <w:rFonts w:ascii="Garamond" w:hAnsi="Garamond"/>
          <w:sz w:val="24"/>
          <w:szCs w:val="24"/>
          <w:lang w:val="es-CL"/>
        </w:rPr>
        <w:t>2. Debe ser alegada.</w:t>
      </w:r>
    </w:p>
    <w:p w:rsidR="00317296" w:rsidRPr="003D411F" w:rsidRDefault="00317296" w:rsidP="0069242C">
      <w:pPr>
        <w:numPr>
          <w:ilvl w:val="0"/>
          <w:numId w:val="14"/>
        </w:numPr>
        <w:tabs>
          <w:tab w:val="num" w:pos="900"/>
        </w:tabs>
        <w:spacing w:after="0" w:line="360" w:lineRule="auto"/>
        <w:jc w:val="both"/>
        <w:rPr>
          <w:rFonts w:ascii="Garamond" w:hAnsi="Garamond"/>
          <w:sz w:val="24"/>
          <w:szCs w:val="24"/>
          <w:lang w:val="es-CL"/>
        </w:rPr>
      </w:pPr>
      <w:r w:rsidRPr="003D411F">
        <w:rPr>
          <w:rFonts w:ascii="Garamond" w:hAnsi="Garamond"/>
          <w:sz w:val="24"/>
          <w:szCs w:val="24"/>
          <w:lang w:val="es-CL"/>
        </w:rPr>
        <w:t>El deudor demandado puede renunciarla, lo que ocurre si no la alega.</w:t>
      </w:r>
    </w:p>
    <w:p w:rsidR="00317296" w:rsidRPr="003D411F" w:rsidRDefault="00317296" w:rsidP="0069242C">
      <w:pPr>
        <w:spacing w:after="0" w:line="360" w:lineRule="auto"/>
        <w:ind w:left="2124" w:hanging="708"/>
        <w:jc w:val="both"/>
        <w:rPr>
          <w:rFonts w:ascii="Garamond" w:hAnsi="Garamond"/>
          <w:sz w:val="24"/>
          <w:szCs w:val="24"/>
          <w:lang w:val="es-CL"/>
        </w:rPr>
      </w:pPr>
      <w:r>
        <w:rPr>
          <w:rFonts w:ascii="Garamond" w:hAnsi="Garamond"/>
          <w:sz w:val="24"/>
          <w:szCs w:val="24"/>
          <w:lang w:val="es-CL"/>
        </w:rPr>
        <w:t xml:space="preserve">ii. </w:t>
      </w:r>
      <w:r>
        <w:rPr>
          <w:rFonts w:ascii="Garamond" w:hAnsi="Garamond"/>
          <w:sz w:val="24"/>
          <w:szCs w:val="24"/>
          <w:lang w:val="es-CL"/>
        </w:rPr>
        <w:tab/>
      </w:r>
      <w:r w:rsidRPr="003D411F">
        <w:rPr>
          <w:rFonts w:ascii="Garamond" w:hAnsi="Garamond"/>
          <w:sz w:val="24"/>
          <w:szCs w:val="24"/>
          <w:lang w:val="es-CL"/>
        </w:rPr>
        <w:t>Junto con alegarla, el que opone la compensación debe probar que se cumplen los requisitos.</w:t>
      </w:r>
    </w:p>
    <w:p w:rsidR="00317296" w:rsidRPr="003D411F" w:rsidRDefault="00317296" w:rsidP="0069242C">
      <w:pPr>
        <w:spacing w:after="0" w:line="360" w:lineRule="auto"/>
        <w:ind w:left="2124" w:hanging="708"/>
        <w:jc w:val="both"/>
        <w:rPr>
          <w:rFonts w:ascii="Garamond" w:hAnsi="Garamond"/>
          <w:sz w:val="24"/>
          <w:szCs w:val="24"/>
          <w:lang w:val="es-CL"/>
        </w:rPr>
      </w:pPr>
      <w:r w:rsidRPr="003D411F">
        <w:rPr>
          <w:rFonts w:ascii="Garamond" w:hAnsi="Garamond"/>
          <w:sz w:val="24"/>
          <w:szCs w:val="24"/>
          <w:lang w:val="es-CL"/>
        </w:rPr>
        <w:t xml:space="preserve">iii. </w:t>
      </w:r>
      <w:r>
        <w:rPr>
          <w:rFonts w:ascii="Garamond" w:hAnsi="Garamond"/>
          <w:sz w:val="24"/>
          <w:szCs w:val="24"/>
          <w:lang w:val="es-CL"/>
        </w:rPr>
        <w:tab/>
      </w:r>
      <w:r w:rsidRPr="003D411F">
        <w:rPr>
          <w:rFonts w:ascii="Garamond" w:hAnsi="Garamond"/>
          <w:sz w:val="24"/>
          <w:szCs w:val="24"/>
          <w:lang w:val="es-CL"/>
        </w:rPr>
        <w:t>La compensación no nace con la sentencia, que sólo se limita a declarar su existencia.</w:t>
      </w:r>
    </w:p>
    <w:p w:rsidR="00317296" w:rsidRPr="003D411F" w:rsidRDefault="00317296" w:rsidP="0069242C">
      <w:pPr>
        <w:tabs>
          <w:tab w:val="num" w:pos="720"/>
          <w:tab w:val="num" w:pos="2160"/>
        </w:tabs>
        <w:spacing w:after="0" w:line="360" w:lineRule="auto"/>
        <w:ind w:left="708"/>
        <w:jc w:val="both"/>
        <w:rPr>
          <w:rFonts w:ascii="Garamond" w:hAnsi="Garamond"/>
          <w:sz w:val="24"/>
          <w:szCs w:val="24"/>
          <w:lang w:val="es-CL"/>
        </w:rPr>
      </w:pPr>
      <w:r>
        <w:rPr>
          <w:rFonts w:ascii="Garamond" w:hAnsi="Garamond"/>
          <w:sz w:val="24"/>
          <w:szCs w:val="24"/>
          <w:lang w:val="es-CL"/>
        </w:rPr>
        <w:tab/>
      </w:r>
      <w:r w:rsidRPr="003D411F">
        <w:rPr>
          <w:rFonts w:ascii="Garamond" w:hAnsi="Garamond"/>
          <w:sz w:val="24"/>
          <w:szCs w:val="24"/>
          <w:lang w:val="es-CL"/>
        </w:rPr>
        <w:t>3. Extingue ambos créditos hasta el monto del de menor valor. Es el efecto principal, y lo producen todas las compensaciones.</w:t>
      </w:r>
    </w:p>
    <w:p w:rsidR="00317296" w:rsidRDefault="00317296" w:rsidP="0069242C">
      <w:pPr>
        <w:spacing w:after="0" w:line="360" w:lineRule="auto"/>
        <w:jc w:val="both"/>
        <w:rPr>
          <w:rFonts w:ascii="Garamond" w:hAnsi="Garamond"/>
          <w:b/>
          <w:sz w:val="24"/>
          <w:szCs w:val="24"/>
          <w:lang w:val="es-CL"/>
        </w:rPr>
      </w:pPr>
    </w:p>
    <w:p w:rsidR="00317296" w:rsidRPr="003D411F" w:rsidRDefault="00317296" w:rsidP="0069242C">
      <w:pPr>
        <w:spacing w:after="0" w:line="360" w:lineRule="auto"/>
        <w:jc w:val="both"/>
        <w:rPr>
          <w:rFonts w:ascii="Garamond" w:hAnsi="Garamond"/>
          <w:b/>
          <w:sz w:val="24"/>
          <w:szCs w:val="24"/>
          <w:lang w:val="es-CL"/>
        </w:rPr>
      </w:pPr>
      <w:r w:rsidRPr="003D411F">
        <w:rPr>
          <w:rFonts w:ascii="Garamond" w:hAnsi="Garamond"/>
          <w:b/>
          <w:sz w:val="24"/>
          <w:szCs w:val="24"/>
          <w:lang w:val="es-CL"/>
        </w:rPr>
        <w:t>13. Causas que dan origen a la Confusión.</w:t>
      </w:r>
    </w:p>
    <w:p w:rsidR="00317296" w:rsidRPr="003D411F" w:rsidRDefault="00317296" w:rsidP="0069242C">
      <w:pPr>
        <w:spacing w:after="0" w:line="360" w:lineRule="auto"/>
        <w:jc w:val="both"/>
        <w:rPr>
          <w:rFonts w:ascii="Garamond" w:hAnsi="Garamond"/>
          <w:b/>
          <w:sz w:val="24"/>
          <w:szCs w:val="24"/>
          <w:lang w:val="es-CL"/>
        </w:rPr>
      </w:pPr>
    </w:p>
    <w:p w:rsidR="00317296" w:rsidRPr="003D411F" w:rsidRDefault="00317296" w:rsidP="0069242C">
      <w:pPr>
        <w:spacing w:after="0" w:line="360" w:lineRule="auto"/>
        <w:ind w:firstLine="708"/>
        <w:jc w:val="both"/>
        <w:rPr>
          <w:rFonts w:ascii="Garamond" w:hAnsi="Garamond"/>
          <w:sz w:val="24"/>
          <w:szCs w:val="24"/>
          <w:lang w:val="es-CL"/>
        </w:rPr>
      </w:pPr>
      <w:r w:rsidRPr="003D411F">
        <w:rPr>
          <w:rFonts w:ascii="Garamond" w:hAnsi="Garamond"/>
          <w:sz w:val="24"/>
          <w:szCs w:val="24"/>
          <w:lang w:val="es-CL"/>
        </w:rPr>
        <w:t>La confusión es un modo de extinguir la</w:t>
      </w:r>
      <w:r>
        <w:rPr>
          <w:rFonts w:ascii="Garamond" w:hAnsi="Garamond"/>
          <w:sz w:val="24"/>
          <w:szCs w:val="24"/>
          <w:lang w:val="es-CL"/>
        </w:rPr>
        <w:t>s</w:t>
      </w:r>
      <w:r w:rsidRPr="003D411F">
        <w:rPr>
          <w:rFonts w:ascii="Garamond" w:hAnsi="Garamond"/>
          <w:sz w:val="24"/>
          <w:szCs w:val="24"/>
          <w:lang w:val="es-CL"/>
        </w:rPr>
        <w:t xml:space="preserve"> obligaciones que tiene lugar cuando las calidades de acreedor y deudor se reúnen en una sola persona. Esta situación puede generarse por dos causas:</w:t>
      </w:r>
    </w:p>
    <w:p w:rsidR="00317296" w:rsidRPr="003D411F" w:rsidRDefault="00317296" w:rsidP="0069242C">
      <w:pPr>
        <w:spacing w:after="0" w:line="360" w:lineRule="auto"/>
        <w:ind w:firstLine="708"/>
        <w:jc w:val="both"/>
        <w:rPr>
          <w:rFonts w:ascii="Garamond" w:hAnsi="Garamond"/>
          <w:sz w:val="24"/>
          <w:szCs w:val="24"/>
          <w:lang w:val="es-CL"/>
        </w:rPr>
      </w:pPr>
      <w:r w:rsidRPr="003D411F">
        <w:rPr>
          <w:rFonts w:ascii="Garamond" w:hAnsi="Garamond"/>
          <w:sz w:val="24"/>
          <w:szCs w:val="24"/>
          <w:lang w:val="es-CL"/>
        </w:rPr>
        <w:t>1. Sucesión por causa de muerte.</w:t>
      </w:r>
    </w:p>
    <w:p w:rsidR="00317296" w:rsidRPr="003D411F" w:rsidRDefault="00317296" w:rsidP="0069242C">
      <w:pPr>
        <w:spacing w:after="0" w:line="360" w:lineRule="auto"/>
        <w:ind w:left="708"/>
        <w:jc w:val="both"/>
        <w:rPr>
          <w:rFonts w:ascii="Garamond" w:hAnsi="Garamond"/>
          <w:sz w:val="24"/>
          <w:szCs w:val="24"/>
          <w:lang w:val="es-CL"/>
        </w:rPr>
      </w:pPr>
      <w:r w:rsidRPr="003D411F">
        <w:rPr>
          <w:rFonts w:ascii="Garamond" w:hAnsi="Garamond"/>
          <w:sz w:val="24"/>
          <w:szCs w:val="24"/>
          <w:lang w:val="es-CL"/>
        </w:rPr>
        <w:t xml:space="preserve">2. Celebración de un acto entre vivos en que el deudor adquiere el crédito en su contra. </w:t>
      </w:r>
    </w:p>
    <w:sectPr w:rsidR="00317296" w:rsidRPr="003D411F" w:rsidSect="0004001C">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296" w:rsidRDefault="00317296" w:rsidP="00FD1451">
      <w:pPr>
        <w:spacing w:after="0" w:line="240" w:lineRule="auto"/>
      </w:pPr>
      <w:r>
        <w:separator/>
      </w:r>
    </w:p>
  </w:endnote>
  <w:endnote w:type="continuationSeparator" w:id="0">
    <w:p w:rsidR="00317296" w:rsidRDefault="00317296" w:rsidP="00FD1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96" w:rsidRDefault="00317296">
    <w:pPr>
      <w:pStyle w:val="Footer"/>
      <w:jc w:val="right"/>
    </w:pPr>
    <w:fldSimple w:instr=" PAGE   \* MERGEFORMAT ">
      <w:r>
        <w:rPr>
          <w:noProof/>
        </w:rPr>
        <w:t>1</w:t>
      </w:r>
    </w:fldSimple>
  </w:p>
  <w:p w:rsidR="00317296" w:rsidRDefault="003172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296" w:rsidRDefault="00317296" w:rsidP="00FD1451">
      <w:pPr>
        <w:spacing w:after="0" w:line="240" w:lineRule="auto"/>
      </w:pPr>
      <w:r>
        <w:separator/>
      </w:r>
    </w:p>
  </w:footnote>
  <w:footnote w:type="continuationSeparator" w:id="0">
    <w:p w:rsidR="00317296" w:rsidRDefault="00317296" w:rsidP="00FD14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105B"/>
    <w:multiLevelType w:val="hybridMultilevel"/>
    <w:tmpl w:val="A288B66A"/>
    <w:lvl w:ilvl="0" w:tplc="59882696">
      <w:start w:val="1"/>
      <w:numFmt w:val="lowerRoman"/>
      <w:lvlText w:val="%1."/>
      <w:lvlJc w:val="left"/>
      <w:pPr>
        <w:tabs>
          <w:tab w:val="num" w:pos="1080"/>
        </w:tabs>
        <w:ind w:left="1080" w:hanging="72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
    <w:nsid w:val="2375700F"/>
    <w:multiLevelType w:val="hybridMultilevel"/>
    <w:tmpl w:val="BC1CF960"/>
    <w:lvl w:ilvl="0" w:tplc="C312090E">
      <w:start w:val="2"/>
      <w:numFmt w:val="decimal"/>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2">
    <w:nsid w:val="28503838"/>
    <w:multiLevelType w:val="hybridMultilevel"/>
    <w:tmpl w:val="3A58A064"/>
    <w:lvl w:ilvl="0" w:tplc="C312090E">
      <w:start w:val="2"/>
      <w:numFmt w:val="decimal"/>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3">
    <w:nsid w:val="365C2FD9"/>
    <w:multiLevelType w:val="hybridMultilevel"/>
    <w:tmpl w:val="2CB2F64E"/>
    <w:lvl w:ilvl="0" w:tplc="725E201C">
      <w:start w:val="1"/>
      <w:numFmt w:val="lowerRoman"/>
      <w:lvlText w:val="%1."/>
      <w:lvlJc w:val="left"/>
      <w:pPr>
        <w:tabs>
          <w:tab w:val="num" w:pos="2136"/>
        </w:tabs>
        <w:ind w:left="2136" w:hanging="720"/>
      </w:pPr>
      <w:rPr>
        <w:rFonts w:cs="Times New Roman" w:hint="default"/>
      </w:rPr>
    </w:lvl>
    <w:lvl w:ilvl="1" w:tplc="340A0019" w:tentative="1">
      <w:start w:val="1"/>
      <w:numFmt w:val="lowerLetter"/>
      <w:lvlText w:val="%2."/>
      <w:lvlJc w:val="left"/>
      <w:pPr>
        <w:tabs>
          <w:tab w:val="num" w:pos="2496"/>
        </w:tabs>
        <w:ind w:left="2496" w:hanging="360"/>
      </w:pPr>
      <w:rPr>
        <w:rFonts w:cs="Times New Roman"/>
      </w:rPr>
    </w:lvl>
    <w:lvl w:ilvl="2" w:tplc="340A001B" w:tentative="1">
      <w:start w:val="1"/>
      <w:numFmt w:val="lowerRoman"/>
      <w:lvlText w:val="%3."/>
      <w:lvlJc w:val="right"/>
      <w:pPr>
        <w:tabs>
          <w:tab w:val="num" w:pos="3216"/>
        </w:tabs>
        <w:ind w:left="3216" w:hanging="180"/>
      </w:pPr>
      <w:rPr>
        <w:rFonts w:cs="Times New Roman"/>
      </w:rPr>
    </w:lvl>
    <w:lvl w:ilvl="3" w:tplc="340A000F" w:tentative="1">
      <w:start w:val="1"/>
      <w:numFmt w:val="decimal"/>
      <w:lvlText w:val="%4."/>
      <w:lvlJc w:val="left"/>
      <w:pPr>
        <w:tabs>
          <w:tab w:val="num" w:pos="3936"/>
        </w:tabs>
        <w:ind w:left="3936" w:hanging="360"/>
      </w:pPr>
      <w:rPr>
        <w:rFonts w:cs="Times New Roman"/>
      </w:rPr>
    </w:lvl>
    <w:lvl w:ilvl="4" w:tplc="340A0019" w:tentative="1">
      <w:start w:val="1"/>
      <w:numFmt w:val="lowerLetter"/>
      <w:lvlText w:val="%5."/>
      <w:lvlJc w:val="left"/>
      <w:pPr>
        <w:tabs>
          <w:tab w:val="num" w:pos="4656"/>
        </w:tabs>
        <w:ind w:left="4656" w:hanging="360"/>
      </w:pPr>
      <w:rPr>
        <w:rFonts w:cs="Times New Roman"/>
      </w:rPr>
    </w:lvl>
    <w:lvl w:ilvl="5" w:tplc="340A001B" w:tentative="1">
      <w:start w:val="1"/>
      <w:numFmt w:val="lowerRoman"/>
      <w:lvlText w:val="%6."/>
      <w:lvlJc w:val="right"/>
      <w:pPr>
        <w:tabs>
          <w:tab w:val="num" w:pos="5376"/>
        </w:tabs>
        <w:ind w:left="5376" w:hanging="180"/>
      </w:pPr>
      <w:rPr>
        <w:rFonts w:cs="Times New Roman"/>
      </w:rPr>
    </w:lvl>
    <w:lvl w:ilvl="6" w:tplc="340A000F" w:tentative="1">
      <w:start w:val="1"/>
      <w:numFmt w:val="decimal"/>
      <w:lvlText w:val="%7."/>
      <w:lvlJc w:val="left"/>
      <w:pPr>
        <w:tabs>
          <w:tab w:val="num" w:pos="6096"/>
        </w:tabs>
        <w:ind w:left="6096" w:hanging="360"/>
      </w:pPr>
      <w:rPr>
        <w:rFonts w:cs="Times New Roman"/>
      </w:rPr>
    </w:lvl>
    <w:lvl w:ilvl="7" w:tplc="340A0019" w:tentative="1">
      <w:start w:val="1"/>
      <w:numFmt w:val="lowerLetter"/>
      <w:lvlText w:val="%8."/>
      <w:lvlJc w:val="left"/>
      <w:pPr>
        <w:tabs>
          <w:tab w:val="num" w:pos="6816"/>
        </w:tabs>
        <w:ind w:left="6816" w:hanging="360"/>
      </w:pPr>
      <w:rPr>
        <w:rFonts w:cs="Times New Roman"/>
      </w:rPr>
    </w:lvl>
    <w:lvl w:ilvl="8" w:tplc="340A001B" w:tentative="1">
      <w:start w:val="1"/>
      <w:numFmt w:val="lowerRoman"/>
      <w:lvlText w:val="%9."/>
      <w:lvlJc w:val="right"/>
      <w:pPr>
        <w:tabs>
          <w:tab w:val="num" w:pos="7536"/>
        </w:tabs>
        <w:ind w:left="7536" w:hanging="180"/>
      </w:pPr>
      <w:rPr>
        <w:rFonts w:cs="Times New Roman"/>
      </w:rPr>
    </w:lvl>
  </w:abstractNum>
  <w:abstractNum w:abstractNumId="4">
    <w:nsid w:val="41BF6B61"/>
    <w:multiLevelType w:val="hybridMultilevel"/>
    <w:tmpl w:val="75325C9A"/>
    <w:lvl w:ilvl="0" w:tplc="57FCE2C0">
      <w:start w:val="1"/>
      <w:numFmt w:val="decimal"/>
      <w:lvlText w:val="%1."/>
      <w:lvlJc w:val="left"/>
      <w:pPr>
        <w:tabs>
          <w:tab w:val="num" w:pos="720"/>
        </w:tabs>
        <w:ind w:left="720" w:hanging="360"/>
      </w:pPr>
      <w:rPr>
        <w:rFonts w:cs="Times New Roman" w:hint="default"/>
      </w:rPr>
    </w:lvl>
    <w:lvl w:ilvl="1" w:tplc="409AB036">
      <w:start w:val="1"/>
      <w:numFmt w:val="upperLetter"/>
      <w:lvlText w:val="%2)"/>
      <w:lvlJc w:val="left"/>
      <w:pPr>
        <w:tabs>
          <w:tab w:val="num" w:pos="1440"/>
        </w:tabs>
        <w:ind w:left="1440" w:hanging="360"/>
      </w:pPr>
      <w:rPr>
        <w:rFonts w:cs="Times New Roman" w:hint="default"/>
      </w:rPr>
    </w:lvl>
    <w:lvl w:ilvl="2" w:tplc="246EE2A8">
      <w:start w:val="1"/>
      <w:numFmt w:val="lowerLetter"/>
      <w:lvlText w:val="%3)"/>
      <w:lvlJc w:val="left"/>
      <w:pPr>
        <w:tabs>
          <w:tab w:val="num" w:pos="2340"/>
        </w:tabs>
        <w:ind w:left="2340" w:hanging="360"/>
      </w:pPr>
      <w:rPr>
        <w:rFonts w:cs="Times New Roman" w:hint="default"/>
      </w:rPr>
    </w:lvl>
    <w:lvl w:ilvl="3" w:tplc="1AE89360">
      <w:start w:val="1"/>
      <w:numFmt w:val="lowerLetter"/>
      <w:lvlText w:val="%4)"/>
      <w:lvlJc w:val="left"/>
      <w:pPr>
        <w:tabs>
          <w:tab w:val="num" w:pos="2880"/>
        </w:tabs>
        <w:ind w:left="2880" w:hanging="360"/>
      </w:pPr>
      <w:rPr>
        <w:rFonts w:cs="Times New Roman" w:hint="default"/>
      </w:rPr>
    </w:lvl>
    <w:lvl w:ilvl="4" w:tplc="0E7AB9CA">
      <w:start w:val="1"/>
      <w:numFmt w:val="decimal"/>
      <w:lvlText w:val="%5)"/>
      <w:lvlJc w:val="left"/>
      <w:pPr>
        <w:tabs>
          <w:tab w:val="num" w:pos="3600"/>
        </w:tabs>
        <w:ind w:left="3600" w:hanging="360"/>
      </w:pPr>
      <w:rPr>
        <w:rFonts w:cs="Times New Roman" w:hint="default"/>
        <w:b w:val="0"/>
      </w:rPr>
    </w:lvl>
    <w:lvl w:ilvl="5" w:tplc="0C0A001B">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4641618D"/>
    <w:multiLevelType w:val="hybridMultilevel"/>
    <w:tmpl w:val="DF624B76"/>
    <w:lvl w:ilvl="0" w:tplc="C312090E">
      <w:start w:val="1"/>
      <w:numFmt w:val="decimal"/>
      <w:lvlText w:val="%1."/>
      <w:lvlJc w:val="left"/>
      <w:pPr>
        <w:tabs>
          <w:tab w:val="num" w:pos="360"/>
        </w:tabs>
        <w:ind w:left="360" w:hanging="360"/>
      </w:pPr>
      <w:rPr>
        <w:rFonts w:cs="Times New Roman" w:hint="default"/>
      </w:rPr>
    </w:lvl>
    <w:lvl w:ilvl="1" w:tplc="340A0019" w:tentative="1">
      <w:start w:val="1"/>
      <w:numFmt w:val="lowerLetter"/>
      <w:lvlText w:val="%2."/>
      <w:lvlJc w:val="left"/>
      <w:pPr>
        <w:tabs>
          <w:tab w:val="num" w:pos="1080"/>
        </w:tabs>
        <w:ind w:left="1080" w:hanging="360"/>
      </w:pPr>
      <w:rPr>
        <w:rFonts w:cs="Times New Roman"/>
      </w:rPr>
    </w:lvl>
    <w:lvl w:ilvl="2" w:tplc="340A001B" w:tentative="1">
      <w:start w:val="1"/>
      <w:numFmt w:val="lowerRoman"/>
      <w:lvlText w:val="%3."/>
      <w:lvlJc w:val="right"/>
      <w:pPr>
        <w:tabs>
          <w:tab w:val="num" w:pos="1800"/>
        </w:tabs>
        <w:ind w:left="1800" w:hanging="180"/>
      </w:pPr>
      <w:rPr>
        <w:rFonts w:cs="Times New Roman"/>
      </w:rPr>
    </w:lvl>
    <w:lvl w:ilvl="3" w:tplc="340A000F" w:tentative="1">
      <w:start w:val="1"/>
      <w:numFmt w:val="decimal"/>
      <w:lvlText w:val="%4."/>
      <w:lvlJc w:val="left"/>
      <w:pPr>
        <w:tabs>
          <w:tab w:val="num" w:pos="2520"/>
        </w:tabs>
        <w:ind w:left="2520" w:hanging="360"/>
      </w:pPr>
      <w:rPr>
        <w:rFonts w:cs="Times New Roman"/>
      </w:rPr>
    </w:lvl>
    <w:lvl w:ilvl="4" w:tplc="340A0019" w:tentative="1">
      <w:start w:val="1"/>
      <w:numFmt w:val="lowerLetter"/>
      <w:lvlText w:val="%5."/>
      <w:lvlJc w:val="left"/>
      <w:pPr>
        <w:tabs>
          <w:tab w:val="num" w:pos="3240"/>
        </w:tabs>
        <w:ind w:left="3240" w:hanging="360"/>
      </w:pPr>
      <w:rPr>
        <w:rFonts w:cs="Times New Roman"/>
      </w:rPr>
    </w:lvl>
    <w:lvl w:ilvl="5" w:tplc="340A001B" w:tentative="1">
      <w:start w:val="1"/>
      <w:numFmt w:val="lowerRoman"/>
      <w:lvlText w:val="%6."/>
      <w:lvlJc w:val="right"/>
      <w:pPr>
        <w:tabs>
          <w:tab w:val="num" w:pos="3960"/>
        </w:tabs>
        <w:ind w:left="3960" w:hanging="180"/>
      </w:pPr>
      <w:rPr>
        <w:rFonts w:cs="Times New Roman"/>
      </w:rPr>
    </w:lvl>
    <w:lvl w:ilvl="6" w:tplc="340A000F" w:tentative="1">
      <w:start w:val="1"/>
      <w:numFmt w:val="decimal"/>
      <w:lvlText w:val="%7."/>
      <w:lvlJc w:val="left"/>
      <w:pPr>
        <w:tabs>
          <w:tab w:val="num" w:pos="4680"/>
        </w:tabs>
        <w:ind w:left="4680" w:hanging="360"/>
      </w:pPr>
      <w:rPr>
        <w:rFonts w:cs="Times New Roman"/>
      </w:rPr>
    </w:lvl>
    <w:lvl w:ilvl="7" w:tplc="340A0019" w:tentative="1">
      <w:start w:val="1"/>
      <w:numFmt w:val="lowerLetter"/>
      <w:lvlText w:val="%8."/>
      <w:lvlJc w:val="left"/>
      <w:pPr>
        <w:tabs>
          <w:tab w:val="num" w:pos="5400"/>
        </w:tabs>
        <w:ind w:left="5400" w:hanging="360"/>
      </w:pPr>
      <w:rPr>
        <w:rFonts w:cs="Times New Roman"/>
      </w:rPr>
    </w:lvl>
    <w:lvl w:ilvl="8" w:tplc="340A001B" w:tentative="1">
      <w:start w:val="1"/>
      <w:numFmt w:val="lowerRoman"/>
      <w:lvlText w:val="%9."/>
      <w:lvlJc w:val="right"/>
      <w:pPr>
        <w:tabs>
          <w:tab w:val="num" w:pos="6120"/>
        </w:tabs>
        <w:ind w:left="6120" w:hanging="180"/>
      </w:pPr>
      <w:rPr>
        <w:rFonts w:cs="Times New Roman"/>
      </w:rPr>
    </w:lvl>
  </w:abstractNum>
  <w:abstractNum w:abstractNumId="6">
    <w:nsid w:val="465A1D07"/>
    <w:multiLevelType w:val="hybridMultilevel"/>
    <w:tmpl w:val="886409FE"/>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4D381E1B"/>
    <w:multiLevelType w:val="hybridMultilevel"/>
    <w:tmpl w:val="E68AD644"/>
    <w:lvl w:ilvl="0" w:tplc="59882696">
      <w:start w:val="1"/>
      <w:numFmt w:val="lowerRoman"/>
      <w:lvlText w:val="%1."/>
      <w:lvlJc w:val="left"/>
      <w:pPr>
        <w:tabs>
          <w:tab w:val="num" w:pos="1080"/>
        </w:tabs>
        <w:ind w:left="1080" w:hanging="72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8">
    <w:nsid w:val="600E3232"/>
    <w:multiLevelType w:val="hybridMultilevel"/>
    <w:tmpl w:val="062280F2"/>
    <w:lvl w:ilvl="0" w:tplc="C312090E">
      <w:start w:val="2"/>
      <w:numFmt w:val="decimal"/>
      <w:lvlText w:val="%1."/>
      <w:lvlJc w:val="left"/>
      <w:pPr>
        <w:tabs>
          <w:tab w:val="num" w:pos="360"/>
        </w:tabs>
        <w:ind w:left="360" w:hanging="360"/>
      </w:pPr>
      <w:rPr>
        <w:rFonts w:cs="Times New Roman" w:hint="default"/>
      </w:rPr>
    </w:lvl>
    <w:lvl w:ilvl="1" w:tplc="340A0019" w:tentative="1">
      <w:start w:val="1"/>
      <w:numFmt w:val="lowerLetter"/>
      <w:lvlText w:val="%2."/>
      <w:lvlJc w:val="left"/>
      <w:pPr>
        <w:tabs>
          <w:tab w:val="num" w:pos="1080"/>
        </w:tabs>
        <w:ind w:left="1080" w:hanging="360"/>
      </w:pPr>
      <w:rPr>
        <w:rFonts w:cs="Times New Roman"/>
      </w:rPr>
    </w:lvl>
    <w:lvl w:ilvl="2" w:tplc="340A001B" w:tentative="1">
      <w:start w:val="1"/>
      <w:numFmt w:val="lowerRoman"/>
      <w:lvlText w:val="%3."/>
      <w:lvlJc w:val="right"/>
      <w:pPr>
        <w:tabs>
          <w:tab w:val="num" w:pos="1800"/>
        </w:tabs>
        <w:ind w:left="1800" w:hanging="180"/>
      </w:pPr>
      <w:rPr>
        <w:rFonts w:cs="Times New Roman"/>
      </w:rPr>
    </w:lvl>
    <w:lvl w:ilvl="3" w:tplc="340A000F" w:tentative="1">
      <w:start w:val="1"/>
      <w:numFmt w:val="decimal"/>
      <w:lvlText w:val="%4."/>
      <w:lvlJc w:val="left"/>
      <w:pPr>
        <w:tabs>
          <w:tab w:val="num" w:pos="2520"/>
        </w:tabs>
        <w:ind w:left="2520" w:hanging="360"/>
      </w:pPr>
      <w:rPr>
        <w:rFonts w:cs="Times New Roman"/>
      </w:rPr>
    </w:lvl>
    <w:lvl w:ilvl="4" w:tplc="340A0019" w:tentative="1">
      <w:start w:val="1"/>
      <w:numFmt w:val="lowerLetter"/>
      <w:lvlText w:val="%5."/>
      <w:lvlJc w:val="left"/>
      <w:pPr>
        <w:tabs>
          <w:tab w:val="num" w:pos="3240"/>
        </w:tabs>
        <w:ind w:left="3240" w:hanging="360"/>
      </w:pPr>
      <w:rPr>
        <w:rFonts w:cs="Times New Roman"/>
      </w:rPr>
    </w:lvl>
    <w:lvl w:ilvl="5" w:tplc="340A001B" w:tentative="1">
      <w:start w:val="1"/>
      <w:numFmt w:val="lowerRoman"/>
      <w:lvlText w:val="%6."/>
      <w:lvlJc w:val="right"/>
      <w:pPr>
        <w:tabs>
          <w:tab w:val="num" w:pos="3960"/>
        </w:tabs>
        <w:ind w:left="3960" w:hanging="180"/>
      </w:pPr>
      <w:rPr>
        <w:rFonts w:cs="Times New Roman"/>
      </w:rPr>
    </w:lvl>
    <w:lvl w:ilvl="6" w:tplc="340A000F" w:tentative="1">
      <w:start w:val="1"/>
      <w:numFmt w:val="decimal"/>
      <w:lvlText w:val="%7."/>
      <w:lvlJc w:val="left"/>
      <w:pPr>
        <w:tabs>
          <w:tab w:val="num" w:pos="4680"/>
        </w:tabs>
        <w:ind w:left="4680" w:hanging="360"/>
      </w:pPr>
      <w:rPr>
        <w:rFonts w:cs="Times New Roman"/>
      </w:rPr>
    </w:lvl>
    <w:lvl w:ilvl="7" w:tplc="340A0019" w:tentative="1">
      <w:start w:val="1"/>
      <w:numFmt w:val="lowerLetter"/>
      <w:lvlText w:val="%8."/>
      <w:lvlJc w:val="left"/>
      <w:pPr>
        <w:tabs>
          <w:tab w:val="num" w:pos="5400"/>
        </w:tabs>
        <w:ind w:left="5400" w:hanging="360"/>
      </w:pPr>
      <w:rPr>
        <w:rFonts w:cs="Times New Roman"/>
      </w:rPr>
    </w:lvl>
    <w:lvl w:ilvl="8" w:tplc="340A001B" w:tentative="1">
      <w:start w:val="1"/>
      <w:numFmt w:val="lowerRoman"/>
      <w:lvlText w:val="%9."/>
      <w:lvlJc w:val="right"/>
      <w:pPr>
        <w:tabs>
          <w:tab w:val="num" w:pos="6120"/>
        </w:tabs>
        <w:ind w:left="6120" w:hanging="180"/>
      </w:pPr>
      <w:rPr>
        <w:rFonts w:cs="Times New Roman"/>
      </w:rPr>
    </w:lvl>
  </w:abstractNum>
  <w:abstractNum w:abstractNumId="9">
    <w:nsid w:val="61217971"/>
    <w:multiLevelType w:val="hybridMultilevel"/>
    <w:tmpl w:val="8BACC12C"/>
    <w:lvl w:ilvl="0" w:tplc="C312090E">
      <w:start w:val="1"/>
      <w:numFmt w:val="decimal"/>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0">
    <w:nsid w:val="648342E1"/>
    <w:multiLevelType w:val="hybridMultilevel"/>
    <w:tmpl w:val="1CF06D7C"/>
    <w:lvl w:ilvl="0" w:tplc="C312090E">
      <w:start w:val="1"/>
      <w:numFmt w:val="decimal"/>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1">
    <w:nsid w:val="69CD2CFB"/>
    <w:multiLevelType w:val="hybridMultilevel"/>
    <w:tmpl w:val="B9348594"/>
    <w:lvl w:ilvl="0" w:tplc="59882696">
      <w:start w:val="1"/>
      <w:numFmt w:val="lowerRoman"/>
      <w:lvlText w:val="%1."/>
      <w:lvlJc w:val="left"/>
      <w:pPr>
        <w:tabs>
          <w:tab w:val="num" w:pos="1080"/>
        </w:tabs>
        <w:ind w:left="1080" w:hanging="72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2">
    <w:nsid w:val="6BD92ED8"/>
    <w:multiLevelType w:val="multilevel"/>
    <w:tmpl w:val="DF624B7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7BB52AE9"/>
    <w:multiLevelType w:val="hybridMultilevel"/>
    <w:tmpl w:val="BC5C93BC"/>
    <w:lvl w:ilvl="0" w:tplc="DDC09EB2">
      <w:start w:val="1"/>
      <w:numFmt w:val="lowerRoman"/>
      <w:lvlText w:val="%1."/>
      <w:lvlJc w:val="left"/>
      <w:pPr>
        <w:tabs>
          <w:tab w:val="num" w:pos="1428"/>
        </w:tabs>
        <w:ind w:left="1428" w:hanging="720"/>
      </w:pPr>
      <w:rPr>
        <w:rFonts w:cs="Times New Roman" w:hint="default"/>
      </w:rPr>
    </w:lvl>
    <w:lvl w:ilvl="1" w:tplc="340A0019" w:tentative="1">
      <w:start w:val="1"/>
      <w:numFmt w:val="lowerLetter"/>
      <w:lvlText w:val="%2."/>
      <w:lvlJc w:val="left"/>
      <w:pPr>
        <w:tabs>
          <w:tab w:val="num" w:pos="1788"/>
        </w:tabs>
        <w:ind w:left="1788" w:hanging="360"/>
      </w:pPr>
      <w:rPr>
        <w:rFonts w:cs="Times New Roman"/>
      </w:rPr>
    </w:lvl>
    <w:lvl w:ilvl="2" w:tplc="340A001B" w:tentative="1">
      <w:start w:val="1"/>
      <w:numFmt w:val="lowerRoman"/>
      <w:lvlText w:val="%3."/>
      <w:lvlJc w:val="right"/>
      <w:pPr>
        <w:tabs>
          <w:tab w:val="num" w:pos="2508"/>
        </w:tabs>
        <w:ind w:left="2508" w:hanging="180"/>
      </w:pPr>
      <w:rPr>
        <w:rFonts w:cs="Times New Roman"/>
      </w:rPr>
    </w:lvl>
    <w:lvl w:ilvl="3" w:tplc="340A000F" w:tentative="1">
      <w:start w:val="1"/>
      <w:numFmt w:val="decimal"/>
      <w:lvlText w:val="%4."/>
      <w:lvlJc w:val="left"/>
      <w:pPr>
        <w:tabs>
          <w:tab w:val="num" w:pos="3228"/>
        </w:tabs>
        <w:ind w:left="3228" w:hanging="360"/>
      </w:pPr>
      <w:rPr>
        <w:rFonts w:cs="Times New Roman"/>
      </w:rPr>
    </w:lvl>
    <w:lvl w:ilvl="4" w:tplc="340A0019" w:tentative="1">
      <w:start w:val="1"/>
      <w:numFmt w:val="lowerLetter"/>
      <w:lvlText w:val="%5."/>
      <w:lvlJc w:val="left"/>
      <w:pPr>
        <w:tabs>
          <w:tab w:val="num" w:pos="3948"/>
        </w:tabs>
        <w:ind w:left="3948" w:hanging="360"/>
      </w:pPr>
      <w:rPr>
        <w:rFonts w:cs="Times New Roman"/>
      </w:rPr>
    </w:lvl>
    <w:lvl w:ilvl="5" w:tplc="340A001B" w:tentative="1">
      <w:start w:val="1"/>
      <w:numFmt w:val="lowerRoman"/>
      <w:lvlText w:val="%6."/>
      <w:lvlJc w:val="right"/>
      <w:pPr>
        <w:tabs>
          <w:tab w:val="num" w:pos="4668"/>
        </w:tabs>
        <w:ind w:left="4668" w:hanging="180"/>
      </w:pPr>
      <w:rPr>
        <w:rFonts w:cs="Times New Roman"/>
      </w:rPr>
    </w:lvl>
    <w:lvl w:ilvl="6" w:tplc="340A000F" w:tentative="1">
      <w:start w:val="1"/>
      <w:numFmt w:val="decimal"/>
      <w:lvlText w:val="%7."/>
      <w:lvlJc w:val="left"/>
      <w:pPr>
        <w:tabs>
          <w:tab w:val="num" w:pos="5388"/>
        </w:tabs>
        <w:ind w:left="5388" w:hanging="360"/>
      </w:pPr>
      <w:rPr>
        <w:rFonts w:cs="Times New Roman"/>
      </w:rPr>
    </w:lvl>
    <w:lvl w:ilvl="7" w:tplc="340A0019" w:tentative="1">
      <w:start w:val="1"/>
      <w:numFmt w:val="lowerLetter"/>
      <w:lvlText w:val="%8."/>
      <w:lvlJc w:val="left"/>
      <w:pPr>
        <w:tabs>
          <w:tab w:val="num" w:pos="6108"/>
        </w:tabs>
        <w:ind w:left="6108" w:hanging="360"/>
      </w:pPr>
      <w:rPr>
        <w:rFonts w:cs="Times New Roman"/>
      </w:rPr>
    </w:lvl>
    <w:lvl w:ilvl="8" w:tplc="340A001B" w:tentative="1">
      <w:start w:val="1"/>
      <w:numFmt w:val="lowerRoman"/>
      <w:lvlText w:val="%9."/>
      <w:lvlJc w:val="right"/>
      <w:pPr>
        <w:tabs>
          <w:tab w:val="num" w:pos="6828"/>
        </w:tabs>
        <w:ind w:left="6828" w:hanging="180"/>
      </w:pPr>
      <w:rPr>
        <w:rFonts w:cs="Times New Roman"/>
      </w:rPr>
    </w:lvl>
  </w:abstractNum>
  <w:num w:numId="1">
    <w:abstractNumId w:val="6"/>
  </w:num>
  <w:num w:numId="2">
    <w:abstractNumId w:val="10"/>
  </w:num>
  <w:num w:numId="3">
    <w:abstractNumId w:val="7"/>
  </w:num>
  <w:num w:numId="4">
    <w:abstractNumId w:val="11"/>
  </w:num>
  <w:num w:numId="5">
    <w:abstractNumId w:val="0"/>
  </w:num>
  <w:num w:numId="6">
    <w:abstractNumId w:val="4"/>
  </w:num>
  <w:num w:numId="7">
    <w:abstractNumId w:val="2"/>
  </w:num>
  <w:num w:numId="8">
    <w:abstractNumId w:val="8"/>
  </w:num>
  <w:num w:numId="9">
    <w:abstractNumId w:val="1"/>
  </w:num>
  <w:num w:numId="10">
    <w:abstractNumId w:val="13"/>
  </w:num>
  <w:num w:numId="11">
    <w:abstractNumId w:val="5"/>
  </w:num>
  <w:num w:numId="12">
    <w:abstractNumId w:val="12"/>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1F4"/>
    <w:rsid w:val="00012693"/>
    <w:rsid w:val="000315FD"/>
    <w:rsid w:val="00032080"/>
    <w:rsid w:val="0004001C"/>
    <w:rsid w:val="0005624F"/>
    <w:rsid w:val="00067863"/>
    <w:rsid w:val="00095A5F"/>
    <w:rsid w:val="000B0EC9"/>
    <w:rsid w:val="000B5AD4"/>
    <w:rsid w:val="00110591"/>
    <w:rsid w:val="00110ED0"/>
    <w:rsid w:val="002149E4"/>
    <w:rsid w:val="00233F02"/>
    <w:rsid w:val="00240BC4"/>
    <w:rsid w:val="00261E94"/>
    <w:rsid w:val="00267955"/>
    <w:rsid w:val="002D10F7"/>
    <w:rsid w:val="002D6AC4"/>
    <w:rsid w:val="002D6AE5"/>
    <w:rsid w:val="00307C02"/>
    <w:rsid w:val="00307CCC"/>
    <w:rsid w:val="00311AC5"/>
    <w:rsid w:val="00314B1F"/>
    <w:rsid w:val="00317296"/>
    <w:rsid w:val="00342013"/>
    <w:rsid w:val="00371356"/>
    <w:rsid w:val="003728B4"/>
    <w:rsid w:val="003D2E17"/>
    <w:rsid w:val="003D411F"/>
    <w:rsid w:val="003E16F4"/>
    <w:rsid w:val="003E7122"/>
    <w:rsid w:val="003E7CA4"/>
    <w:rsid w:val="00424CF3"/>
    <w:rsid w:val="00464FB1"/>
    <w:rsid w:val="00490B75"/>
    <w:rsid w:val="00493404"/>
    <w:rsid w:val="004B27EF"/>
    <w:rsid w:val="004E0A01"/>
    <w:rsid w:val="00505106"/>
    <w:rsid w:val="0054181B"/>
    <w:rsid w:val="005524CA"/>
    <w:rsid w:val="005A137C"/>
    <w:rsid w:val="005D7563"/>
    <w:rsid w:val="0060505F"/>
    <w:rsid w:val="00630882"/>
    <w:rsid w:val="0068407F"/>
    <w:rsid w:val="006863F0"/>
    <w:rsid w:val="0069242C"/>
    <w:rsid w:val="00693C77"/>
    <w:rsid w:val="006C000B"/>
    <w:rsid w:val="006D11F4"/>
    <w:rsid w:val="006D79AE"/>
    <w:rsid w:val="00703816"/>
    <w:rsid w:val="007330A7"/>
    <w:rsid w:val="00740080"/>
    <w:rsid w:val="007B75BE"/>
    <w:rsid w:val="007D30D1"/>
    <w:rsid w:val="007F28C1"/>
    <w:rsid w:val="00805E3F"/>
    <w:rsid w:val="00807215"/>
    <w:rsid w:val="008246AC"/>
    <w:rsid w:val="00857145"/>
    <w:rsid w:val="00880AE7"/>
    <w:rsid w:val="008A1A46"/>
    <w:rsid w:val="008B6B0B"/>
    <w:rsid w:val="008D63DC"/>
    <w:rsid w:val="008E66E8"/>
    <w:rsid w:val="00942C8D"/>
    <w:rsid w:val="00946174"/>
    <w:rsid w:val="00993177"/>
    <w:rsid w:val="00993F1D"/>
    <w:rsid w:val="00996AE7"/>
    <w:rsid w:val="009E1AC0"/>
    <w:rsid w:val="00A03117"/>
    <w:rsid w:val="00A073E2"/>
    <w:rsid w:val="00A24EDD"/>
    <w:rsid w:val="00AD1DBE"/>
    <w:rsid w:val="00AE66FC"/>
    <w:rsid w:val="00B03414"/>
    <w:rsid w:val="00B46BAE"/>
    <w:rsid w:val="00B500E7"/>
    <w:rsid w:val="00B561EF"/>
    <w:rsid w:val="00B56412"/>
    <w:rsid w:val="00BE70D0"/>
    <w:rsid w:val="00BF40AC"/>
    <w:rsid w:val="00C0486E"/>
    <w:rsid w:val="00C35069"/>
    <w:rsid w:val="00CD720F"/>
    <w:rsid w:val="00CE763F"/>
    <w:rsid w:val="00CF4ABB"/>
    <w:rsid w:val="00D02ECE"/>
    <w:rsid w:val="00D45966"/>
    <w:rsid w:val="00D56443"/>
    <w:rsid w:val="00D56B71"/>
    <w:rsid w:val="00D575D5"/>
    <w:rsid w:val="00DA3DEB"/>
    <w:rsid w:val="00DA5ACF"/>
    <w:rsid w:val="00E17047"/>
    <w:rsid w:val="00E34D88"/>
    <w:rsid w:val="00E70999"/>
    <w:rsid w:val="00EE2AE6"/>
    <w:rsid w:val="00F71C39"/>
    <w:rsid w:val="00F741B2"/>
    <w:rsid w:val="00F8725D"/>
    <w:rsid w:val="00F874BC"/>
    <w:rsid w:val="00FD1451"/>
    <w:rsid w:val="00FF4BCB"/>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F4"/>
    <w:pPr>
      <w:spacing w:after="200" w:line="276" w:lineRule="auto"/>
    </w:pPr>
    <w:rPr>
      <w:rFonts w:ascii="Calibri" w:hAnsi="Calibri"/>
      <w:lang w:val="es-ES_tradnl" w:eastAsia="es-ES_tradnl"/>
    </w:rPr>
  </w:style>
  <w:style w:type="paragraph" w:styleId="Heading1">
    <w:name w:val="heading 1"/>
    <w:basedOn w:val="Normal"/>
    <w:next w:val="Normal"/>
    <w:link w:val="Heading1Char"/>
    <w:uiPriority w:val="99"/>
    <w:qFormat/>
    <w:locked/>
    <w:rsid w:val="0049340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4934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locked/>
    <w:rsid w:val="00493404"/>
    <w:pPr>
      <w:keepNext/>
      <w:widowControl w:val="0"/>
      <w:spacing w:before="360" w:after="60" w:line="240" w:lineRule="auto"/>
      <w:ind w:firstLine="425"/>
      <w:jc w:val="center"/>
      <w:outlineLvl w:val="2"/>
    </w:pPr>
    <w:rPr>
      <w:rFonts w:ascii="Garamond" w:hAnsi="Garamond"/>
      <w:b/>
      <w:shadow/>
      <w:lang w:val="es-ES" w:eastAsia="es-ES"/>
    </w:rPr>
  </w:style>
  <w:style w:type="paragraph" w:styleId="Heading4">
    <w:name w:val="heading 4"/>
    <w:basedOn w:val="Normal"/>
    <w:next w:val="Normal"/>
    <w:link w:val="Heading4Char"/>
    <w:uiPriority w:val="99"/>
    <w:qFormat/>
    <w:locked/>
    <w:rsid w:val="00493404"/>
    <w:pPr>
      <w:keepNext/>
      <w:spacing w:before="180" w:after="180" w:line="240" w:lineRule="auto"/>
      <w:ind w:firstLine="425"/>
      <w:jc w:val="center"/>
      <w:outlineLvl w:val="3"/>
    </w:pPr>
    <w:rPr>
      <w:rFonts w:ascii="Garamond" w:hAnsi="Garamond"/>
      <w:b/>
      <w:bCs/>
      <w:shadow/>
      <w:szCs w:val="28"/>
      <w:lang w:val="es-ES" w:eastAsia="es-ES"/>
    </w:rPr>
  </w:style>
  <w:style w:type="paragraph" w:styleId="Heading5">
    <w:name w:val="heading 5"/>
    <w:basedOn w:val="Heading1"/>
    <w:next w:val="Normal"/>
    <w:link w:val="Heading5Char"/>
    <w:uiPriority w:val="99"/>
    <w:qFormat/>
    <w:locked/>
    <w:rsid w:val="00493404"/>
    <w:pPr>
      <w:widowControl w:val="0"/>
      <w:spacing w:before="360" w:line="240" w:lineRule="auto"/>
      <w:ind w:firstLine="425"/>
      <w:jc w:val="center"/>
      <w:outlineLvl w:val="4"/>
    </w:pPr>
    <w:rPr>
      <w:rFonts w:ascii="Garamond" w:hAnsi="Garamond" w:cs="Times New Roman"/>
      <w:i/>
      <w:shadow/>
      <w:kern w:val="0"/>
      <w:sz w:val="22"/>
      <w:szCs w:val="26"/>
      <w:lang w:val="es-ES" w:eastAsia="es-ES"/>
    </w:rPr>
  </w:style>
  <w:style w:type="paragraph" w:styleId="Heading6">
    <w:name w:val="heading 6"/>
    <w:basedOn w:val="Heading2"/>
    <w:next w:val="Normal"/>
    <w:link w:val="Heading6Char"/>
    <w:uiPriority w:val="99"/>
    <w:qFormat/>
    <w:locked/>
    <w:rsid w:val="00493404"/>
    <w:pPr>
      <w:widowControl w:val="0"/>
      <w:spacing w:before="180" w:after="180" w:line="240" w:lineRule="auto"/>
      <w:ind w:firstLine="425"/>
      <w:jc w:val="center"/>
      <w:outlineLvl w:val="5"/>
    </w:pPr>
    <w:rPr>
      <w:rFonts w:ascii="Garamond" w:hAnsi="Garamond" w:cs="Times New Roman"/>
      <w:i w:val="0"/>
      <w:iCs w:val="0"/>
      <w:caps/>
      <w:shadow/>
      <w:sz w:val="22"/>
      <w:szCs w:val="22"/>
      <w:lang w:val="es-ES" w:eastAsia="es-ES"/>
    </w:rPr>
  </w:style>
  <w:style w:type="paragraph" w:styleId="Heading7">
    <w:name w:val="heading 7"/>
    <w:basedOn w:val="Normal"/>
    <w:next w:val="Normal"/>
    <w:link w:val="Heading7Char"/>
    <w:uiPriority w:val="99"/>
    <w:qFormat/>
    <w:locked/>
    <w:rsid w:val="00493404"/>
    <w:pPr>
      <w:keepNext/>
      <w:spacing w:before="180" w:after="60" w:line="240" w:lineRule="auto"/>
      <w:ind w:firstLine="425"/>
      <w:jc w:val="both"/>
      <w:outlineLvl w:val="6"/>
    </w:pPr>
    <w:rPr>
      <w:rFonts w:ascii="Garamond" w:hAnsi="Garamond"/>
      <w:b/>
      <w:i/>
      <w:iCs/>
      <w:shadow/>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70D0"/>
    <w:rPr>
      <w:rFonts w:ascii="Cambria" w:hAnsi="Cambria" w:cs="Times New Roman"/>
      <w:b/>
      <w:bCs/>
      <w:kern w:val="32"/>
      <w:sz w:val="32"/>
      <w:szCs w:val="32"/>
      <w:lang w:val="es-ES_tradnl" w:eastAsia="es-ES_tradnl"/>
    </w:rPr>
  </w:style>
  <w:style w:type="character" w:customStyle="1" w:styleId="Heading2Char">
    <w:name w:val="Heading 2 Char"/>
    <w:basedOn w:val="DefaultParagraphFont"/>
    <w:link w:val="Heading2"/>
    <w:uiPriority w:val="99"/>
    <w:semiHidden/>
    <w:locked/>
    <w:rsid w:val="00BE70D0"/>
    <w:rPr>
      <w:rFonts w:ascii="Cambria" w:hAnsi="Cambria" w:cs="Times New Roman"/>
      <w:b/>
      <w:bCs/>
      <w:i/>
      <w:iCs/>
      <w:sz w:val="28"/>
      <w:szCs w:val="28"/>
      <w:lang w:val="es-ES_tradnl" w:eastAsia="es-ES_tradnl"/>
    </w:rPr>
  </w:style>
  <w:style w:type="character" w:customStyle="1" w:styleId="Heading3Char">
    <w:name w:val="Heading 3 Char"/>
    <w:basedOn w:val="DefaultParagraphFont"/>
    <w:link w:val="Heading3"/>
    <w:uiPriority w:val="99"/>
    <w:semiHidden/>
    <w:locked/>
    <w:rsid w:val="00BE70D0"/>
    <w:rPr>
      <w:rFonts w:ascii="Cambria" w:hAnsi="Cambria" w:cs="Times New Roman"/>
      <w:b/>
      <w:bCs/>
      <w:sz w:val="26"/>
      <w:szCs w:val="26"/>
      <w:lang w:val="es-ES_tradnl" w:eastAsia="es-ES_tradnl"/>
    </w:rPr>
  </w:style>
  <w:style w:type="character" w:customStyle="1" w:styleId="Heading4Char">
    <w:name w:val="Heading 4 Char"/>
    <w:basedOn w:val="DefaultParagraphFont"/>
    <w:link w:val="Heading4"/>
    <w:uiPriority w:val="99"/>
    <w:semiHidden/>
    <w:locked/>
    <w:rsid w:val="00BE70D0"/>
    <w:rPr>
      <w:rFonts w:ascii="Calibri" w:hAnsi="Calibri" w:cs="Times New Roman"/>
      <w:b/>
      <w:bCs/>
      <w:sz w:val="28"/>
      <w:szCs w:val="28"/>
      <w:lang w:val="es-ES_tradnl" w:eastAsia="es-ES_tradnl"/>
    </w:rPr>
  </w:style>
  <w:style w:type="character" w:customStyle="1" w:styleId="Heading5Char">
    <w:name w:val="Heading 5 Char"/>
    <w:basedOn w:val="DefaultParagraphFont"/>
    <w:link w:val="Heading5"/>
    <w:uiPriority w:val="99"/>
    <w:semiHidden/>
    <w:locked/>
    <w:rsid w:val="00BE70D0"/>
    <w:rPr>
      <w:rFonts w:ascii="Calibri" w:hAnsi="Calibri" w:cs="Times New Roman"/>
      <w:b/>
      <w:bCs/>
      <w:i/>
      <w:iCs/>
      <w:sz w:val="26"/>
      <w:szCs w:val="26"/>
      <w:lang w:val="es-ES_tradnl" w:eastAsia="es-ES_tradnl"/>
    </w:rPr>
  </w:style>
  <w:style w:type="character" w:customStyle="1" w:styleId="Heading6Char">
    <w:name w:val="Heading 6 Char"/>
    <w:basedOn w:val="DefaultParagraphFont"/>
    <w:link w:val="Heading6"/>
    <w:uiPriority w:val="99"/>
    <w:semiHidden/>
    <w:locked/>
    <w:rsid w:val="00BE70D0"/>
    <w:rPr>
      <w:rFonts w:ascii="Calibri" w:hAnsi="Calibri" w:cs="Times New Roman"/>
      <w:b/>
      <w:bCs/>
      <w:lang w:val="es-ES_tradnl" w:eastAsia="es-ES_tradnl"/>
    </w:rPr>
  </w:style>
  <w:style w:type="character" w:customStyle="1" w:styleId="Heading7Char">
    <w:name w:val="Heading 7 Char"/>
    <w:basedOn w:val="DefaultParagraphFont"/>
    <w:link w:val="Heading7"/>
    <w:uiPriority w:val="99"/>
    <w:semiHidden/>
    <w:locked/>
    <w:rsid w:val="00BE70D0"/>
    <w:rPr>
      <w:rFonts w:ascii="Calibri" w:hAnsi="Calibri" w:cs="Times New Roman"/>
      <w:sz w:val="24"/>
      <w:szCs w:val="24"/>
      <w:lang w:val="es-ES_tradnl" w:eastAsia="es-ES_tradnl"/>
    </w:rPr>
  </w:style>
  <w:style w:type="character" w:customStyle="1" w:styleId="apple-converted-space">
    <w:name w:val="apple-converted-space"/>
    <w:basedOn w:val="DefaultParagraphFont"/>
    <w:uiPriority w:val="99"/>
    <w:rsid w:val="00805E3F"/>
    <w:rPr>
      <w:rFonts w:cs="Times New Roman"/>
    </w:rPr>
  </w:style>
  <w:style w:type="paragraph" w:styleId="ListParagraph">
    <w:name w:val="List Paragraph"/>
    <w:basedOn w:val="Normal"/>
    <w:uiPriority w:val="99"/>
    <w:qFormat/>
    <w:rsid w:val="00E70999"/>
    <w:pPr>
      <w:ind w:left="720"/>
      <w:contextualSpacing/>
    </w:pPr>
  </w:style>
  <w:style w:type="paragraph" w:styleId="Header">
    <w:name w:val="header"/>
    <w:basedOn w:val="Normal"/>
    <w:link w:val="HeaderChar"/>
    <w:uiPriority w:val="99"/>
    <w:rsid w:val="00FD1451"/>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FD1451"/>
    <w:rPr>
      <w:rFonts w:ascii="Calibri" w:hAnsi="Calibri" w:cs="Times New Roman"/>
      <w:sz w:val="22"/>
      <w:szCs w:val="22"/>
      <w:lang w:val="es-ES_tradnl" w:eastAsia="es-ES_tradnl"/>
    </w:rPr>
  </w:style>
  <w:style w:type="paragraph" w:styleId="Footer">
    <w:name w:val="footer"/>
    <w:basedOn w:val="Normal"/>
    <w:link w:val="FooterChar"/>
    <w:uiPriority w:val="99"/>
    <w:rsid w:val="00FD1451"/>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FD1451"/>
    <w:rPr>
      <w:rFonts w:ascii="Calibri" w:hAnsi="Calibri" w:cs="Times New Roman"/>
      <w:sz w:val="22"/>
      <w:szCs w:val="22"/>
      <w:lang w:val="es-ES_tradnl" w:eastAsia="es-ES_tradnl"/>
    </w:rPr>
  </w:style>
  <w:style w:type="paragraph" w:styleId="FootnoteText">
    <w:name w:val="footnote text"/>
    <w:basedOn w:val="Normal"/>
    <w:link w:val="FootnoteTextChar"/>
    <w:uiPriority w:val="99"/>
    <w:semiHidden/>
    <w:rsid w:val="00493404"/>
    <w:pPr>
      <w:spacing w:after="0" w:line="240" w:lineRule="auto"/>
      <w:ind w:firstLine="284"/>
      <w:jc w:val="both"/>
    </w:pPr>
    <w:rPr>
      <w:rFonts w:ascii="Garamond" w:hAnsi="Garamond"/>
      <w:shadow/>
      <w:sz w:val="18"/>
      <w:szCs w:val="18"/>
      <w:lang w:val="es-ES" w:eastAsia="es-ES"/>
    </w:rPr>
  </w:style>
  <w:style w:type="character" w:customStyle="1" w:styleId="FootnoteTextChar">
    <w:name w:val="Footnote Text Char"/>
    <w:basedOn w:val="DefaultParagraphFont"/>
    <w:link w:val="FootnoteText"/>
    <w:uiPriority w:val="99"/>
    <w:semiHidden/>
    <w:locked/>
    <w:rsid w:val="00BE70D0"/>
    <w:rPr>
      <w:rFonts w:ascii="Calibri" w:hAnsi="Calibri" w:cs="Times New Roman"/>
      <w:sz w:val="20"/>
      <w:szCs w:val="20"/>
      <w:lang w:val="es-ES_tradnl" w:eastAsia="es-ES_tradnl"/>
    </w:rPr>
  </w:style>
  <w:style w:type="character" w:styleId="FootnoteReference">
    <w:name w:val="footnote reference"/>
    <w:basedOn w:val="DefaultParagraphFont"/>
    <w:uiPriority w:val="99"/>
    <w:semiHidden/>
    <w:rsid w:val="00493404"/>
    <w:rPr>
      <w:rFonts w:ascii="Garamond" w:hAnsi="Garamond" w:cs="Times New Roman"/>
      <w:shadow/>
      <w:vertAlign w:val="superscript"/>
    </w:rPr>
  </w:style>
  <w:style w:type="paragraph" w:styleId="Subtitle">
    <w:name w:val="Subtitle"/>
    <w:basedOn w:val="Normal"/>
    <w:link w:val="SubtitleChar"/>
    <w:uiPriority w:val="99"/>
    <w:qFormat/>
    <w:locked/>
    <w:rsid w:val="00493404"/>
    <w:pPr>
      <w:spacing w:before="180" w:after="240" w:line="240" w:lineRule="auto"/>
      <w:ind w:firstLine="425"/>
      <w:jc w:val="center"/>
      <w:outlineLvl w:val="1"/>
    </w:pPr>
    <w:rPr>
      <w:rFonts w:ascii="Garamond" w:hAnsi="Garamond" w:cs="Arial"/>
      <w:b/>
      <w:caps/>
      <w:shadow/>
      <w:sz w:val="32"/>
      <w:lang w:val="es-ES" w:eastAsia="es-ES"/>
    </w:rPr>
  </w:style>
  <w:style w:type="character" w:customStyle="1" w:styleId="SubtitleChar">
    <w:name w:val="Subtitle Char"/>
    <w:basedOn w:val="DefaultParagraphFont"/>
    <w:link w:val="Subtitle"/>
    <w:uiPriority w:val="99"/>
    <w:locked/>
    <w:rsid w:val="00BE70D0"/>
    <w:rPr>
      <w:rFonts w:ascii="Cambria" w:hAnsi="Cambria" w:cs="Times New Roman"/>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1799638588">
      <w:marLeft w:val="0"/>
      <w:marRight w:val="0"/>
      <w:marTop w:val="0"/>
      <w:marBottom w:val="0"/>
      <w:divBdr>
        <w:top w:val="none" w:sz="0" w:space="0" w:color="auto"/>
        <w:left w:val="none" w:sz="0" w:space="0" w:color="auto"/>
        <w:bottom w:val="none" w:sz="0" w:space="0" w:color="auto"/>
        <w:right w:val="none" w:sz="0" w:space="0" w:color="auto"/>
      </w:divBdr>
      <w:divsChild>
        <w:div w:id="1799638579">
          <w:marLeft w:val="0"/>
          <w:marRight w:val="0"/>
          <w:marTop w:val="0"/>
          <w:marBottom w:val="0"/>
          <w:divBdr>
            <w:top w:val="none" w:sz="0" w:space="0" w:color="auto"/>
            <w:left w:val="none" w:sz="0" w:space="0" w:color="auto"/>
            <w:bottom w:val="none" w:sz="0" w:space="0" w:color="auto"/>
            <w:right w:val="none" w:sz="0" w:space="0" w:color="auto"/>
          </w:divBdr>
        </w:div>
        <w:div w:id="1799638580">
          <w:marLeft w:val="0"/>
          <w:marRight w:val="0"/>
          <w:marTop w:val="0"/>
          <w:marBottom w:val="0"/>
          <w:divBdr>
            <w:top w:val="none" w:sz="0" w:space="0" w:color="auto"/>
            <w:left w:val="none" w:sz="0" w:space="0" w:color="auto"/>
            <w:bottom w:val="none" w:sz="0" w:space="0" w:color="auto"/>
            <w:right w:val="none" w:sz="0" w:space="0" w:color="auto"/>
          </w:divBdr>
        </w:div>
        <w:div w:id="1799638581">
          <w:marLeft w:val="0"/>
          <w:marRight w:val="0"/>
          <w:marTop w:val="0"/>
          <w:marBottom w:val="0"/>
          <w:divBdr>
            <w:top w:val="none" w:sz="0" w:space="0" w:color="auto"/>
            <w:left w:val="none" w:sz="0" w:space="0" w:color="auto"/>
            <w:bottom w:val="none" w:sz="0" w:space="0" w:color="auto"/>
            <w:right w:val="none" w:sz="0" w:space="0" w:color="auto"/>
          </w:divBdr>
        </w:div>
        <w:div w:id="1799638583">
          <w:marLeft w:val="0"/>
          <w:marRight w:val="0"/>
          <w:marTop w:val="0"/>
          <w:marBottom w:val="0"/>
          <w:divBdr>
            <w:top w:val="none" w:sz="0" w:space="0" w:color="auto"/>
            <w:left w:val="none" w:sz="0" w:space="0" w:color="auto"/>
            <w:bottom w:val="none" w:sz="0" w:space="0" w:color="auto"/>
            <w:right w:val="none" w:sz="0" w:space="0" w:color="auto"/>
          </w:divBdr>
        </w:div>
        <w:div w:id="1799638586">
          <w:marLeft w:val="0"/>
          <w:marRight w:val="0"/>
          <w:marTop w:val="0"/>
          <w:marBottom w:val="0"/>
          <w:divBdr>
            <w:top w:val="none" w:sz="0" w:space="0" w:color="auto"/>
            <w:left w:val="none" w:sz="0" w:space="0" w:color="auto"/>
            <w:bottom w:val="none" w:sz="0" w:space="0" w:color="auto"/>
            <w:right w:val="none" w:sz="0" w:space="0" w:color="auto"/>
          </w:divBdr>
        </w:div>
        <w:div w:id="1799638587">
          <w:marLeft w:val="0"/>
          <w:marRight w:val="0"/>
          <w:marTop w:val="0"/>
          <w:marBottom w:val="0"/>
          <w:divBdr>
            <w:top w:val="none" w:sz="0" w:space="0" w:color="auto"/>
            <w:left w:val="none" w:sz="0" w:space="0" w:color="auto"/>
            <w:bottom w:val="none" w:sz="0" w:space="0" w:color="auto"/>
            <w:right w:val="none" w:sz="0" w:space="0" w:color="auto"/>
          </w:divBdr>
        </w:div>
      </w:divsChild>
    </w:div>
    <w:div w:id="1799638589">
      <w:marLeft w:val="0"/>
      <w:marRight w:val="0"/>
      <w:marTop w:val="0"/>
      <w:marBottom w:val="0"/>
      <w:divBdr>
        <w:top w:val="none" w:sz="0" w:space="0" w:color="auto"/>
        <w:left w:val="none" w:sz="0" w:space="0" w:color="auto"/>
        <w:bottom w:val="none" w:sz="0" w:space="0" w:color="auto"/>
        <w:right w:val="none" w:sz="0" w:space="0" w:color="auto"/>
      </w:divBdr>
      <w:divsChild>
        <w:div w:id="1799638577">
          <w:marLeft w:val="0"/>
          <w:marRight w:val="0"/>
          <w:marTop w:val="0"/>
          <w:marBottom w:val="0"/>
          <w:divBdr>
            <w:top w:val="none" w:sz="0" w:space="0" w:color="auto"/>
            <w:left w:val="none" w:sz="0" w:space="0" w:color="auto"/>
            <w:bottom w:val="none" w:sz="0" w:space="0" w:color="auto"/>
            <w:right w:val="none" w:sz="0" w:space="0" w:color="auto"/>
          </w:divBdr>
        </w:div>
        <w:div w:id="1799638578">
          <w:marLeft w:val="0"/>
          <w:marRight w:val="0"/>
          <w:marTop w:val="0"/>
          <w:marBottom w:val="0"/>
          <w:divBdr>
            <w:top w:val="none" w:sz="0" w:space="0" w:color="auto"/>
            <w:left w:val="none" w:sz="0" w:space="0" w:color="auto"/>
            <w:bottom w:val="none" w:sz="0" w:space="0" w:color="auto"/>
            <w:right w:val="none" w:sz="0" w:space="0" w:color="auto"/>
          </w:divBdr>
        </w:div>
        <w:div w:id="1799638582">
          <w:marLeft w:val="0"/>
          <w:marRight w:val="0"/>
          <w:marTop w:val="0"/>
          <w:marBottom w:val="0"/>
          <w:divBdr>
            <w:top w:val="none" w:sz="0" w:space="0" w:color="auto"/>
            <w:left w:val="none" w:sz="0" w:space="0" w:color="auto"/>
            <w:bottom w:val="none" w:sz="0" w:space="0" w:color="auto"/>
            <w:right w:val="none" w:sz="0" w:space="0" w:color="auto"/>
          </w:divBdr>
        </w:div>
        <w:div w:id="1799638584">
          <w:marLeft w:val="0"/>
          <w:marRight w:val="0"/>
          <w:marTop w:val="0"/>
          <w:marBottom w:val="0"/>
          <w:divBdr>
            <w:top w:val="none" w:sz="0" w:space="0" w:color="auto"/>
            <w:left w:val="none" w:sz="0" w:space="0" w:color="auto"/>
            <w:bottom w:val="none" w:sz="0" w:space="0" w:color="auto"/>
            <w:right w:val="none" w:sz="0" w:space="0" w:color="auto"/>
          </w:divBdr>
        </w:div>
        <w:div w:id="1799638585">
          <w:marLeft w:val="0"/>
          <w:marRight w:val="0"/>
          <w:marTop w:val="0"/>
          <w:marBottom w:val="0"/>
          <w:divBdr>
            <w:top w:val="none" w:sz="0" w:space="0" w:color="auto"/>
            <w:left w:val="none" w:sz="0" w:space="0" w:color="auto"/>
            <w:bottom w:val="none" w:sz="0" w:space="0" w:color="auto"/>
            <w:right w:val="none" w:sz="0" w:space="0" w:color="auto"/>
          </w:divBdr>
        </w:div>
        <w:div w:id="179963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2060</Words>
  <Characters>11333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subject/>
  <dc:creator>Carmen Gajewski</dc:creator>
  <cp:keywords/>
  <dc:description/>
  <cp:lastModifiedBy>gchahuan</cp:lastModifiedBy>
  <cp:revision>4</cp:revision>
  <dcterms:created xsi:type="dcterms:W3CDTF">2012-02-03T12:43:00Z</dcterms:created>
  <dcterms:modified xsi:type="dcterms:W3CDTF">2012-02-03T12:44:00Z</dcterms:modified>
</cp:coreProperties>
</file>