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67" w:rsidRPr="002F4FF7" w:rsidRDefault="001A4F67" w:rsidP="001A4F67">
      <w:pPr>
        <w:spacing w:after="0" w:line="240" w:lineRule="auto"/>
        <w:rPr>
          <w:rFonts w:ascii="Times New Roman" w:hAnsi="Times New Roman" w:cs="Times New Roman"/>
          <w:sz w:val="16"/>
          <w:szCs w:val="16"/>
        </w:rPr>
      </w:pPr>
      <w:r w:rsidRPr="002F4FF7">
        <w:rPr>
          <w:rFonts w:ascii="Times New Roman" w:hAnsi="Times New Roman" w:cs="Times New Roman"/>
          <w:sz w:val="16"/>
          <w:szCs w:val="16"/>
        </w:rPr>
        <w:t>Universidad de Chile</w:t>
      </w:r>
    </w:p>
    <w:p w:rsidR="001A4F67" w:rsidRPr="002F4FF7" w:rsidRDefault="001A4F67" w:rsidP="001A4F67">
      <w:pPr>
        <w:spacing w:after="0" w:line="240" w:lineRule="auto"/>
        <w:rPr>
          <w:rFonts w:ascii="Times New Roman" w:hAnsi="Times New Roman" w:cs="Times New Roman"/>
          <w:sz w:val="16"/>
          <w:szCs w:val="16"/>
        </w:rPr>
      </w:pPr>
      <w:r w:rsidRPr="002F4FF7">
        <w:rPr>
          <w:rFonts w:ascii="Times New Roman" w:hAnsi="Times New Roman" w:cs="Times New Roman"/>
          <w:sz w:val="16"/>
          <w:szCs w:val="16"/>
        </w:rPr>
        <w:t>Facultad de Derecho</w:t>
      </w:r>
    </w:p>
    <w:p w:rsidR="001A4F67" w:rsidRPr="002F4FF7" w:rsidRDefault="001A4F67" w:rsidP="001A4F67">
      <w:pPr>
        <w:spacing w:after="0" w:line="240" w:lineRule="auto"/>
        <w:rPr>
          <w:rFonts w:ascii="Times New Roman" w:hAnsi="Times New Roman" w:cs="Times New Roman"/>
          <w:sz w:val="16"/>
          <w:szCs w:val="16"/>
        </w:rPr>
      </w:pPr>
      <w:r w:rsidRPr="002F4FF7">
        <w:rPr>
          <w:rFonts w:ascii="Times New Roman" w:hAnsi="Times New Roman" w:cs="Times New Roman"/>
          <w:sz w:val="16"/>
          <w:szCs w:val="16"/>
        </w:rPr>
        <w:t>Derecho Civil VII</w:t>
      </w:r>
    </w:p>
    <w:p w:rsidR="001A4F67" w:rsidRPr="002F4FF7" w:rsidRDefault="001A4F67" w:rsidP="001A4F67">
      <w:pPr>
        <w:spacing w:after="0" w:line="240" w:lineRule="auto"/>
        <w:rPr>
          <w:rFonts w:ascii="Times New Roman" w:hAnsi="Times New Roman" w:cs="Times New Roman"/>
          <w:sz w:val="16"/>
          <w:szCs w:val="16"/>
        </w:rPr>
      </w:pPr>
      <w:r w:rsidRPr="002F4FF7">
        <w:rPr>
          <w:rFonts w:ascii="Times New Roman" w:hAnsi="Times New Roman" w:cs="Times New Roman"/>
          <w:sz w:val="16"/>
          <w:szCs w:val="16"/>
        </w:rPr>
        <w:t>Prof. Francisco González Hoch</w:t>
      </w:r>
    </w:p>
    <w:p w:rsidR="001A4F67" w:rsidRPr="00AE1585" w:rsidRDefault="001A4F67" w:rsidP="001A4F67">
      <w:pPr>
        <w:spacing w:after="0" w:line="240" w:lineRule="auto"/>
        <w:rPr>
          <w:rFonts w:ascii="Times New Roman" w:hAnsi="Times New Roman" w:cs="Times New Roman"/>
          <w:sz w:val="20"/>
          <w:szCs w:val="20"/>
        </w:rPr>
      </w:pPr>
    </w:p>
    <w:p w:rsidR="001A4F67" w:rsidRPr="00395551" w:rsidRDefault="00395551" w:rsidP="00395551">
      <w:pPr>
        <w:tabs>
          <w:tab w:val="left" w:pos="2815"/>
          <w:tab w:val="center" w:pos="4702"/>
        </w:tabs>
        <w:rPr>
          <w:rFonts w:ascii="Times New Roman" w:hAnsi="Times New Roman" w:cs="Times New Roman"/>
          <w:b/>
          <w:smallCaps/>
          <w:u w:val="single"/>
        </w:rPr>
      </w:pPr>
      <w:r w:rsidRPr="00395551">
        <w:rPr>
          <w:rFonts w:ascii="Times New Roman" w:hAnsi="Times New Roman" w:cs="Times New Roman"/>
          <w:b/>
          <w:smallCaps/>
        </w:rPr>
        <w:tab/>
      </w:r>
      <w:r w:rsidRPr="00395551">
        <w:rPr>
          <w:rFonts w:ascii="Times New Roman" w:hAnsi="Times New Roman" w:cs="Times New Roman"/>
          <w:b/>
          <w:smallCaps/>
        </w:rPr>
        <w:tab/>
      </w:r>
      <w:r w:rsidR="001A4F67" w:rsidRPr="00395551">
        <w:rPr>
          <w:rFonts w:ascii="Times New Roman" w:hAnsi="Times New Roman" w:cs="Times New Roman"/>
          <w:b/>
          <w:smallCaps/>
          <w:u w:val="single"/>
        </w:rPr>
        <w:t>Contrato de Prenda</w:t>
      </w:r>
      <w:r w:rsidR="002F4FF7">
        <w:rPr>
          <w:rStyle w:val="Refdenotaalpie"/>
          <w:rFonts w:ascii="Times New Roman" w:hAnsi="Times New Roman" w:cs="Times New Roman"/>
          <w:b/>
          <w:smallCaps/>
          <w:u w:val="single"/>
        </w:rPr>
        <w:footnoteReference w:id="1"/>
      </w:r>
    </w:p>
    <w:p w:rsidR="00AE1585" w:rsidRPr="00395551" w:rsidRDefault="00AE1585" w:rsidP="00AE1585">
      <w:pPr>
        <w:pStyle w:val="Prrafodelista"/>
        <w:numPr>
          <w:ilvl w:val="0"/>
          <w:numId w:val="2"/>
        </w:numPr>
        <w:jc w:val="both"/>
        <w:rPr>
          <w:rFonts w:ascii="Times New Roman" w:hAnsi="Times New Roman" w:cs="Times New Roman"/>
          <w:b/>
          <w:u w:val="single"/>
        </w:rPr>
      </w:pPr>
      <w:r w:rsidRPr="00395551">
        <w:rPr>
          <w:rFonts w:ascii="Times New Roman" w:hAnsi="Times New Roman" w:cs="Times New Roman"/>
          <w:b/>
          <w:u w:val="single"/>
        </w:rPr>
        <w:t xml:space="preserve">Introducción. </w:t>
      </w:r>
    </w:p>
    <w:p w:rsidR="00AE1585" w:rsidRPr="00395551" w:rsidRDefault="00AE1585" w:rsidP="001A4F67">
      <w:pPr>
        <w:jc w:val="both"/>
        <w:rPr>
          <w:rFonts w:ascii="Times New Roman" w:hAnsi="Times New Roman" w:cs="Times New Roman"/>
        </w:rPr>
      </w:pPr>
      <w:r w:rsidRPr="00395551">
        <w:rPr>
          <w:rFonts w:ascii="Times New Roman" w:hAnsi="Times New Roman" w:cs="Times New Roman"/>
        </w:rPr>
        <w:t>El concepto de prenda más general que conoce nuestro Derecho Civil es el comprendido en el artículo 2465 del Código Civil, denominado como “Derecho de Prenda General de los Acreedores”</w:t>
      </w:r>
      <w:r w:rsidRPr="00395551">
        <w:rPr>
          <w:rStyle w:val="Refdenotaalpie"/>
          <w:rFonts w:ascii="Times New Roman" w:hAnsi="Times New Roman" w:cs="Times New Roman"/>
        </w:rPr>
        <w:footnoteReference w:id="2"/>
      </w:r>
      <w:r w:rsidRPr="00395551">
        <w:rPr>
          <w:rFonts w:ascii="Times New Roman" w:hAnsi="Times New Roman" w:cs="Times New Roman"/>
        </w:rPr>
        <w:t xml:space="preserve"> </w:t>
      </w:r>
    </w:p>
    <w:p w:rsidR="00AE1585" w:rsidRPr="00395551" w:rsidRDefault="00AE1585" w:rsidP="001A4F67">
      <w:pPr>
        <w:jc w:val="both"/>
        <w:rPr>
          <w:rFonts w:ascii="Times New Roman" w:hAnsi="Times New Roman" w:cs="Times New Roman"/>
        </w:rPr>
      </w:pPr>
      <w:r w:rsidRPr="00395551">
        <w:rPr>
          <w:rFonts w:ascii="Times New Roman" w:hAnsi="Times New Roman" w:cs="Times New Roman"/>
        </w:rPr>
        <w:t>El concepto de prenda utilizado en referencia a este artículo no tiene que ver con el contrato de prenda, sino que se utiliza como sinónimo de “Garantía”</w:t>
      </w:r>
      <w:r w:rsidR="00923360" w:rsidRPr="00395551">
        <w:rPr>
          <w:rFonts w:ascii="Times New Roman" w:hAnsi="Times New Roman" w:cs="Times New Roman"/>
        </w:rPr>
        <w:t xml:space="preserve"> en términos amplios. </w:t>
      </w:r>
    </w:p>
    <w:p w:rsidR="00AE1585" w:rsidRPr="00395551" w:rsidRDefault="00923360" w:rsidP="00923360">
      <w:pPr>
        <w:pStyle w:val="Prrafodelista"/>
        <w:numPr>
          <w:ilvl w:val="0"/>
          <w:numId w:val="2"/>
        </w:numPr>
        <w:jc w:val="both"/>
        <w:rPr>
          <w:rFonts w:ascii="Times New Roman" w:hAnsi="Times New Roman" w:cs="Times New Roman"/>
          <w:b/>
          <w:smallCaps/>
        </w:rPr>
      </w:pPr>
      <w:r w:rsidRPr="00395551">
        <w:rPr>
          <w:rFonts w:ascii="Times New Roman" w:hAnsi="Times New Roman" w:cs="Times New Roman"/>
          <w:b/>
          <w:u w:val="single"/>
        </w:rPr>
        <w:t>Conceptos.</w:t>
      </w:r>
    </w:p>
    <w:p w:rsidR="00923360" w:rsidRPr="00395551" w:rsidRDefault="00923360" w:rsidP="00923360">
      <w:pPr>
        <w:jc w:val="both"/>
        <w:rPr>
          <w:rFonts w:ascii="Times New Roman" w:hAnsi="Times New Roman" w:cs="Times New Roman"/>
        </w:rPr>
      </w:pPr>
      <w:r w:rsidRPr="00395551">
        <w:rPr>
          <w:rFonts w:ascii="Times New Roman" w:hAnsi="Times New Roman" w:cs="Times New Roman"/>
        </w:rPr>
        <w:t>Cuando hablamos de prenda en Derecho Civil nos referimos,</w:t>
      </w:r>
      <w:r w:rsidR="00C638C7" w:rsidRPr="00395551">
        <w:rPr>
          <w:rFonts w:ascii="Times New Roman" w:hAnsi="Times New Roman" w:cs="Times New Roman"/>
        </w:rPr>
        <w:t xml:space="preserve"> al menos, a la</w:t>
      </w:r>
      <w:r w:rsidRPr="00395551">
        <w:rPr>
          <w:rFonts w:ascii="Times New Roman" w:hAnsi="Times New Roman" w:cs="Times New Roman"/>
        </w:rPr>
        <w:t>s siguientes instituciones:</w:t>
      </w:r>
    </w:p>
    <w:p w:rsidR="00114199" w:rsidRPr="00395551" w:rsidRDefault="00C638C7" w:rsidP="00114199">
      <w:pPr>
        <w:pStyle w:val="Prrafodelista"/>
        <w:numPr>
          <w:ilvl w:val="0"/>
          <w:numId w:val="3"/>
        </w:numPr>
        <w:ind w:left="567" w:right="616"/>
        <w:jc w:val="both"/>
        <w:rPr>
          <w:rFonts w:ascii="Times New Roman" w:hAnsi="Times New Roman" w:cs="Times New Roman"/>
          <w:i/>
        </w:rPr>
      </w:pPr>
      <w:r w:rsidRPr="00395551">
        <w:rPr>
          <w:rFonts w:ascii="Times New Roman" w:hAnsi="Times New Roman" w:cs="Times New Roman"/>
          <w:u w:val="single"/>
        </w:rPr>
        <w:t>Contrato de prenda:</w:t>
      </w:r>
      <w:r w:rsidRPr="00395551">
        <w:rPr>
          <w:rFonts w:ascii="Times New Roman" w:hAnsi="Times New Roman" w:cs="Times New Roman"/>
        </w:rPr>
        <w:t xml:space="preserve"> </w:t>
      </w:r>
      <w:r w:rsidR="00114199" w:rsidRPr="00395551">
        <w:rPr>
          <w:rFonts w:ascii="Times New Roman" w:hAnsi="Times New Roman" w:cs="Times New Roman"/>
        </w:rPr>
        <w:t>Actualmente no es posible definir de forma unívoca al contrato de prenda. Esto, en razón de la incorporación del contrato de prenda sin desplazamiento, regulada en la ley 20.190 (MK2) que presenta sustanciales diferencias.</w:t>
      </w:r>
    </w:p>
    <w:p w:rsidR="00114199" w:rsidRPr="00395551" w:rsidRDefault="00114199" w:rsidP="00114199">
      <w:pPr>
        <w:pStyle w:val="Prrafodelista"/>
        <w:ind w:left="567" w:right="616"/>
        <w:jc w:val="both"/>
        <w:rPr>
          <w:rFonts w:ascii="Times New Roman" w:hAnsi="Times New Roman" w:cs="Times New Roman"/>
        </w:rPr>
      </w:pPr>
      <w:r w:rsidRPr="00395551">
        <w:rPr>
          <w:rFonts w:ascii="Times New Roman" w:hAnsi="Times New Roman" w:cs="Times New Roman"/>
        </w:rPr>
        <w:t xml:space="preserve">En su dimensión clásica, </w:t>
      </w:r>
      <w:r w:rsidR="00C638C7" w:rsidRPr="00395551">
        <w:rPr>
          <w:rFonts w:ascii="Times New Roman" w:hAnsi="Times New Roman" w:cs="Times New Roman"/>
        </w:rPr>
        <w:t xml:space="preserve">el </w:t>
      </w:r>
      <w:r w:rsidRPr="00395551">
        <w:rPr>
          <w:rFonts w:ascii="Times New Roman" w:hAnsi="Times New Roman" w:cs="Times New Roman"/>
        </w:rPr>
        <w:t>ar</w:t>
      </w:r>
      <w:r w:rsidR="00C638C7" w:rsidRPr="00395551">
        <w:rPr>
          <w:rFonts w:ascii="Times New Roman" w:hAnsi="Times New Roman" w:cs="Times New Roman"/>
        </w:rPr>
        <w:t xml:space="preserve">tículo 2348 del Código Civil </w:t>
      </w:r>
      <w:r w:rsidRPr="00395551">
        <w:rPr>
          <w:rFonts w:ascii="Times New Roman" w:hAnsi="Times New Roman" w:cs="Times New Roman"/>
        </w:rPr>
        <w:t xml:space="preserve">la define </w:t>
      </w:r>
      <w:r w:rsidR="00C638C7" w:rsidRPr="00395551">
        <w:rPr>
          <w:rFonts w:ascii="Times New Roman" w:hAnsi="Times New Roman" w:cs="Times New Roman"/>
        </w:rPr>
        <w:t xml:space="preserve">de la siguiente forma; </w:t>
      </w:r>
      <w:r w:rsidR="00C638C7" w:rsidRPr="00395551">
        <w:rPr>
          <w:rFonts w:ascii="Times New Roman" w:hAnsi="Times New Roman" w:cs="Times New Roman"/>
          <w:i/>
        </w:rPr>
        <w:t>“[</w:t>
      </w:r>
      <w:r w:rsidR="001A4F67" w:rsidRPr="00395551">
        <w:rPr>
          <w:rFonts w:ascii="Times New Roman" w:hAnsi="Times New Roman" w:cs="Times New Roman"/>
          <w:i/>
        </w:rPr>
        <w:t>P</w:t>
      </w:r>
      <w:r w:rsidR="00C638C7" w:rsidRPr="00395551">
        <w:rPr>
          <w:rFonts w:ascii="Times New Roman" w:hAnsi="Times New Roman" w:cs="Times New Roman"/>
          <w:i/>
        </w:rPr>
        <w:t>]</w:t>
      </w:r>
      <w:proofErr w:type="spellStart"/>
      <w:r w:rsidR="001A4F67" w:rsidRPr="00395551">
        <w:rPr>
          <w:rFonts w:ascii="Times New Roman" w:hAnsi="Times New Roman" w:cs="Times New Roman"/>
          <w:i/>
        </w:rPr>
        <w:t>or</w:t>
      </w:r>
      <w:proofErr w:type="spellEnd"/>
      <w:r w:rsidR="001A4F67" w:rsidRPr="00395551">
        <w:rPr>
          <w:rFonts w:ascii="Times New Roman" w:hAnsi="Times New Roman" w:cs="Times New Roman"/>
          <w:i/>
        </w:rPr>
        <w:t xml:space="preserve"> el contrato de empeño o prenda se entrega una cosa mueble a un acreedor para la seguridad de su crédito</w:t>
      </w:r>
      <w:r w:rsidR="00C638C7" w:rsidRPr="00395551">
        <w:rPr>
          <w:rFonts w:ascii="Times New Roman" w:hAnsi="Times New Roman" w:cs="Times New Roman"/>
          <w:i/>
        </w:rPr>
        <w:t>”</w:t>
      </w:r>
      <w:r w:rsidR="001A4F67" w:rsidRPr="00395551">
        <w:rPr>
          <w:rFonts w:ascii="Times New Roman" w:hAnsi="Times New Roman" w:cs="Times New Roman"/>
          <w:i/>
        </w:rPr>
        <w:t>.</w:t>
      </w:r>
      <w:r w:rsidR="00A31C85" w:rsidRPr="00395551">
        <w:rPr>
          <w:rFonts w:ascii="Times New Roman" w:hAnsi="Times New Roman" w:cs="Times New Roman"/>
          <w:i/>
        </w:rPr>
        <w:t xml:space="preserve"> </w:t>
      </w:r>
      <w:r w:rsidRPr="00395551">
        <w:rPr>
          <w:rFonts w:ascii="Times New Roman" w:hAnsi="Times New Roman" w:cs="Times New Roman"/>
        </w:rPr>
        <w:t xml:space="preserve">La entrega de la cosa perfecciona el contrato, por eso se conoce como “prenda con desplazamiento”. </w:t>
      </w:r>
    </w:p>
    <w:p w:rsidR="00114199" w:rsidRPr="00395551" w:rsidRDefault="00114199" w:rsidP="00114199">
      <w:pPr>
        <w:pStyle w:val="Prrafodelista"/>
        <w:ind w:left="567" w:right="616"/>
        <w:jc w:val="both"/>
        <w:rPr>
          <w:rFonts w:ascii="Times New Roman" w:hAnsi="Times New Roman" w:cs="Times New Roman"/>
        </w:rPr>
      </w:pPr>
      <w:r w:rsidRPr="00395551">
        <w:rPr>
          <w:rFonts w:ascii="Times New Roman" w:hAnsi="Times New Roman" w:cs="Times New Roman"/>
        </w:rPr>
        <w:t xml:space="preserve">La prenda sin desplazamiento, por otro lado, es un contrato en que la cosa garantizada no deja de permanecer en poder del deudor, generándose así un poderoso instrumento de inversión. </w:t>
      </w:r>
    </w:p>
    <w:p w:rsidR="00C638C7" w:rsidRPr="00395551" w:rsidRDefault="00C638C7" w:rsidP="001A4F67">
      <w:pPr>
        <w:pStyle w:val="Prrafodelista"/>
        <w:numPr>
          <w:ilvl w:val="0"/>
          <w:numId w:val="3"/>
        </w:numPr>
        <w:ind w:left="567" w:right="616"/>
        <w:jc w:val="both"/>
        <w:rPr>
          <w:rFonts w:ascii="Times New Roman" w:hAnsi="Times New Roman" w:cs="Times New Roman"/>
          <w:i/>
        </w:rPr>
      </w:pPr>
      <w:r w:rsidRPr="00395551">
        <w:rPr>
          <w:rFonts w:ascii="Times New Roman" w:hAnsi="Times New Roman" w:cs="Times New Roman"/>
          <w:u w:val="single"/>
        </w:rPr>
        <w:t>Derecho real de prenda:</w:t>
      </w:r>
      <w:r w:rsidRPr="00395551">
        <w:rPr>
          <w:rFonts w:ascii="Times New Roman" w:hAnsi="Times New Roman" w:cs="Times New Roman"/>
        </w:rPr>
        <w:t xml:space="preserve"> </w:t>
      </w:r>
      <w:r w:rsidR="002972D2" w:rsidRPr="00395551">
        <w:rPr>
          <w:rFonts w:ascii="Times New Roman" w:hAnsi="Times New Roman" w:cs="Times New Roman"/>
        </w:rPr>
        <w:t>Contemplado en el artículo 577 del Código Civil, en cuanto es un dere</w:t>
      </w:r>
      <w:r w:rsidR="00114199" w:rsidRPr="00395551">
        <w:rPr>
          <w:rFonts w:ascii="Times New Roman" w:hAnsi="Times New Roman" w:cs="Times New Roman"/>
        </w:rPr>
        <w:t xml:space="preserve">cho real de garantía que otorga al titular </w:t>
      </w:r>
      <w:r w:rsidR="002972D2" w:rsidRPr="00395551">
        <w:rPr>
          <w:rFonts w:ascii="Times New Roman" w:hAnsi="Times New Roman" w:cs="Times New Roman"/>
        </w:rPr>
        <w:t xml:space="preserve">el derecho de retención, persecución, venta y preferencia. </w:t>
      </w:r>
    </w:p>
    <w:p w:rsidR="002972D2" w:rsidRPr="00395551" w:rsidRDefault="002972D2" w:rsidP="00A31C85">
      <w:pPr>
        <w:pStyle w:val="Prrafodelista"/>
        <w:numPr>
          <w:ilvl w:val="0"/>
          <w:numId w:val="3"/>
        </w:numPr>
        <w:spacing w:after="0"/>
        <w:ind w:left="567" w:right="616"/>
        <w:jc w:val="both"/>
        <w:rPr>
          <w:rFonts w:ascii="Times New Roman" w:hAnsi="Times New Roman" w:cs="Times New Roman"/>
          <w:i/>
        </w:rPr>
      </w:pPr>
      <w:r w:rsidRPr="00395551">
        <w:rPr>
          <w:rFonts w:ascii="Times New Roman" w:hAnsi="Times New Roman" w:cs="Times New Roman"/>
          <w:u w:val="single"/>
        </w:rPr>
        <w:t>Objeto del contrato de prenda:</w:t>
      </w:r>
      <w:r w:rsidRPr="00395551">
        <w:rPr>
          <w:rFonts w:ascii="Times New Roman" w:hAnsi="Times New Roman" w:cs="Times New Roman"/>
        </w:rPr>
        <w:t xml:space="preserve"> Es indicativo de prenda, también, la cosa prendada. </w:t>
      </w:r>
    </w:p>
    <w:p w:rsidR="00A31C85" w:rsidRPr="00395551" w:rsidRDefault="00A31C85" w:rsidP="00A31C85">
      <w:pPr>
        <w:spacing w:after="0"/>
        <w:jc w:val="both"/>
        <w:rPr>
          <w:rFonts w:ascii="Times New Roman" w:hAnsi="Times New Roman" w:cs="Times New Roman"/>
          <w:b/>
        </w:rPr>
      </w:pPr>
    </w:p>
    <w:p w:rsidR="00A31C85" w:rsidRPr="00395551" w:rsidRDefault="00A31C85" w:rsidP="00A31C85">
      <w:pPr>
        <w:pStyle w:val="Prrafodelista"/>
        <w:numPr>
          <w:ilvl w:val="0"/>
          <w:numId w:val="2"/>
        </w:numPr>
        <w:spacing w:after="0"/>
        <w:jc w:val="both"/>
        <w:rPr>
          <w:rFonts w:ascii="Times New Roman" w:hAnsi="Times New Roman" w:cs="Times New Roman"/>
          <w:u w:val="single"/>
        </w:rPr>
      </w:pPr>
      <w:r w:rsidRPr="00395551">
        <w:rPr>
          <w:rFonts w:ascii="Times New Roman" w:hAnsi="Times New Roman" w:cs="Times New Roman"/>
          <w:b/>
          <w:u w:val="single"/>
        </w:rPr>
        <w:t xml:space="preserve">Contrato de prenda del Código Civil. </w:t>
      </w:r>
    </w:p>
    <w:p w:rsidR="00A31C85" w:rsidRPr="00395551" w:rsidRDefault="00A31C85" w:rsidP="00A31C85">
      <w:pPr>
        <w:spacing w:after="0"/>
        <w:jc w:val="both"/>
        <w:rPr>
          <w:rFonts w:ascii="Times New Roman" w:hAnsi="Times New Roman" w:cs="Times New Roman"/>
          <w:u w:val="single"/>
        </w:rPr>
      </w:pPr>
    </w:p>
    <w:p w:rsidR="00A31C85" w:rsidRPr="00395551" w:rsidRDefault="00A31C85" w:rsidP="00A31C85">
      <w:pPr>
        <w:spacing w:after="0"/>
        <w:jc w:val="both"/>
        <w:rPr>
          <w:rFonts w:ascii="Times New Roman" w:hAnsi="Times New Roman" w:cs="Times New Roman"/>
        </w:rPr>
      </w:pPr>
      <w:r w:rsidRPr="00395551">
        <w:rPr>
          <w:rFonts w:ascii="Times New Roman" w:hAnsi="Times New Roman" w:cs="Times New Roman"/>
        </w:rPr>
        <w:t>La definición legal no caracteriza en forma completa al contrato de prenda, por lo tanto, es preferible definirla como un contrato por el que se entre</w:t>
      </w:r>
      <w:r w:rsidR="00A43498" w:rsidRPr="00395551">
        <w:rPr>
          <w:rFonts w:ascii="Times New Roman" w:hAnsi="Times New Roman" w:cs="Times New Roman"/>
        </w:rPr>
        <w:t xml:space="preserve">ga una cosa mueble a un acreedor para la seguridad de su crédito, convirtiéndolo en titular para la persecución, retención y pago preferente con el producto de la cosa en caso de incumplimiento del deudor. </w:t>
      </w:r>
    </w:p>
    <w:p w:rsidR="00A43498" w:rsidRPr="00395551" w:rsidRDefault="00A43498" w:rsidP="00A31C85">
      <w:pPr>
        <w:spacing w:after="0"/>
        <w:jc w:val="both"/>
        <w:rPr>
          <w:rFonts w:ascii="Times New Roman" w:hAnsi="Times New Roman" w:cs="Times New Roman"/>
        </w:rPr>
      </w:pPr>
    </w:p>
    <w:p w:rsidR="00A43498" w:rsidRPr="00395551" w:rsidRDefault="00A43498" w:rsidP="00A31C85">
      <w:pPr>
        <w:spacing w:after="0"/>
        <w:jc w:val="both"/>
        <w:rPr>
          <w:rFonts w:ascii="Times New Roman" w:hAnsi="Times New Roman" w:cs="Times New Roman"/>
        </w:rPr>
      </w:pPr>
      <w:r w:rsidRPr="00395551">
        <w:rPr>
          <w:rFonts w:ascii="Times New Roman" w:hAnsi="Times New Roman" w:cs="Times New Roman"/>
        </w:rPr>
        <w:t>Se caracteriza por ser un contrato (i) real, (ii) unilateral, (iii) accesorio, (iv) constituye</w:t>
      </w:r>
      <w:r w:rsidR="00395551" w:rsidRPr="00395551">
        <w:rPr>
          <w:rFonts w:ascii="Times New Roman" w:hAnsi="Times New Roman" w:cs="Times New Roman"/>
        </w:rPr>
        <w:t xml:space="preserve"> un título de mera tenencia y,</w:t>
      </w:r>
      <w:r w:rsidRPr="00395551">
        <w:rPr>
          <w:rFonts w:ascii="Times New Roman" w:hAnsi="Times New Roman" w:cs="Times New Roman"/>
        </w:rPr>
        <w:t xml:space="preserve"> (v) otorga al acreedor un derecho real sobre la cosa, que permite perseguirla otorgando un privilegio de segunda clase para su realización. </w:t>
      </w:r>
    </w:p>
    <w:p w:rsidR="00A43498" w:rsidRPr="00395551" w:rsidRDefault="00A43498" w:rsidP="00A31C85">
      <w:pPr>
        <w:spacing w:after="0"/>
        <w:jc w:val="both"/>
        <w:rPr>
          <w:rFonts w:ascii="Times New Roman" w:hAnsi="Times New Roman" w:cs="Times New Roman"/>
        </w:rPr>
      </w:pPr>
    </w:p>
    <w:p w:rsidR="00A43498" w:rsidRPr="00395551" w:rsidRDefault="00A43498" w:rsidP="00A31C85">
      <w:pPr>
        <w:spacing w:after="0"/>
        <w:jc w:val="both"/>
        <w:rPr>
          <w:rFonts w:ascii="Times New Roman" w:hAnsi="Times New Roman" w:cs="Times New Roman"/>
        </w:rPr>
      </w:pPr>
      <w:r w:rsidRPr="00395551">
        <w:rPr>
          <w:rFonts w:ascii="Times New Roman" w:hAnsi="Times New Roman" w:cs="Times New Roman"/>
        </w:rPr>
        <w:lastRenderedPageBreak/>
        <w:t>El objeto del contrato de prenda, como lo señala su definición, son bienes muebles. Sin perjuicio de ello, los bienes incorporales también pueden ser objeto de prenda, a través de la “prenda sobre créditos”. En estos casos se hace mediante la entrega del título, siendo necesario que se le notifique al deudor del crédito consignado para que se perfeccione entre las partes y sea oponible a terceros (el requisito de publicidad es esencial para el contrato)</w:t>
      </w:r>
      <w:r w:rsidR="003649E8" w:rsidRPr="00395551">
        <w:rPr>
          <w:rStyle w:val="Refdenotaalpie"/>
          <w:rFonts w:ascii="Times New Roman" w:hAnsi="Times New Roman" w:cs="Times New Roman"/>
        </w:rPr>
        <w:footnoteReference w:id="3"/>
      </w:r>
      <w:r w:rsidRPr="00395551">
        <w:rPr>
          <w:rFonts w:ascii="Times New Roman" w:hAnsi="Times New Roman" w:cs="Times New Roman"/>
        </w:rPr>
        <w:t xml:space="preserve">. </w:t>
      </w:r>
    </w:p>
    <w:p w:rsidR="00CB19E8" w:rsidRPr="00395551" w:rsidRDefault="00CB19E8" w:rsidP="00A31C85">
      <w:pPr>
        <w:spacing w:after="0"/>
        <w:jc w:val="both"/>
        <w:rPr>
          <w:rFonts w:ascii="Times New Roman" w:hAnsi="Times New Roman" w:cs="Times New Roman"/>
        </w:rPr>
      </w:pPr>
    </w:p>
    <w:p w:rsidR="00CB19E8" w:rsidRPr="00395551" w:rsidRDefault="003649E8" w:rsidP="003649E8">
      <w:pPr>
        <w:pStyle w:val="Prrafodelista"/>
        <w:numPr>
          <w:ilvl w:val="0"/>
          <w:numId w:val="2"/>
        </w:numPr>
        <w:spacing w:after="0"/>
        <w:jc w:val="both"/>
        <w:rPr>
          <w:rFonts w:ascii="Times New Roman" w:hAnsi="Times New Roman" w:cs="Times New Roman"/>
          <w:b/>
          <w:u w:val="single"/>
        </w:rPr>
      </w:pPr>
      <w:r w:rsidRPr="00395551">
        <w:rPr>
          <w:rFonts w:ascii="Times New Roman" w:hAnsi="Times New Roman" w:cs="Times New Roman"/>
          <w:b/>
          <w:u w:val="single"/>
        </w:rPr>
        <w:t xml:space="preserve">Contrato de prenda sin desplazamiento. </w:t>
      </w:r>
    </w:p>
    <w:p w:rsidR="003649E8" w:rsidRPr="00395551" w:rsidRDefault="003649E8" w:rsidP="003649E8">
      <w:pPr>
        <w:spacing w:after="0"/>
        <w:jc w:val="both"/>
        <w:rPr>
          <w:rFonts w:ascii="Times New Roman" w:hAnsi="Times New Roman" w:cs="Times New Roman"/>
          <w:b/>
          <w:u w:val="single"/>
        </w:rPr>
      </w:pPr>
    </w:p>
    <w:p w:rsidR="003649E8" w:rsidRPr="00395551" w:rsidRDefault="003649E8" w:rsidP="003649E8">
      <w:pPr>
        <w:spacing w:after="0"/>
        <w:jc w:val="both"/>
        <w:rPr>
          <w:rFonts w:ascii="Times New Roman" w:hAnsi="Times New Roman" w:cs="Times New Roman"/>
        </w:rPr>
      </w:pPr>
      <w:r w:rsidRPr="00395551">
        <w:rPr>
          <w:rFonts w:ascii="Times New Roman" w:hAnsi="Times New Roman" w:cs="Times New Roman"/>
        </w:rPr>
        <w:t>La ley MK2 (20.190) creo la prenda sin desplazamiento. El artículo 1</w:t>
      </w:r>
      <w:r w:rsidR="00114199" w:rsidRPr="00395551">
        <w:rPr>
          <w:rFonts w:ascii="Times New Roman" w:hAnsi="Times New Roman" w:cs="Times New Roman"/>
        </w:rPr>
        <w:t>4 regula en términos extensos esta nueva modalidad de contrato de prenda.</w:t>
      </w:r>
    </w:p>
    <w:p w:rsidR="00114199" w:rsidRPr="00395551" w:rsidRDefault="00114199" w:rsidP="003649E8">
      <w:pPr>
        <w:spacing w:after="0"/>
        <w:jc w:val="both"/>
        <w:rPr>
          <w:rFonts w:ascii="Times New Roman" w:hAnsi="Times New Roman" w:cs="Times New Roman"/>
        </w:rPr>
      </w:pPr>
    </w:p>
    <w:p w:rsidR="00114199" w:rsidRPr="00395551" w:rsidRDefault="00114199" w:rsidP="003649E8">
      <w:pPr>
        <w:spacing w:after="0"/>
        <w:jc w:val="both"/>
        <w:rPr>
          <w:rFonts w:ascii="Times New Roman" w:hAnsi="Times New Roman" w:cs="Times New Roman"/>
        </w:rPr>
      </w:pPr>
      <w:r w:rsidRPr="00395551">
        <w:rPr>
          <w:rFonts w:ascii="Times New Roman" w:hAnsi="Times New Roman" w:cs="Times New Roman"/>
        </w:rPr>
        <w:t xml:space="preserve">Una interpretación sistémica de la ley MK2 permite sostener que tuvo por objeto incentivar y fortalecer distintos instrumentos de inversión, por ello esta ley también es conocida por haber creado las Sociedades por Acción (S.P.A) y las Empresas Individuales de Responsabilidad Limitada (E.I.R.L). </w:t>
      </w:r>
    </w:p>
    <w:p w:rsidR="00114199" w:rsidRPr="00395551" w:rsidRDefault="00114199" w:rsidP="003649E8">
      <w:pPr>
        <w:spacing w:after="0"/>
        <w:jc w:val="both"/>
        <w:rPr>
          <w:rFonts w:ascii="Times New Roman" w:hAnsi="Times New Roman" w:cs="Times New Roman"/>
        </w:rPr>
      </w:pPr>
    </w:p>
    <w:p w:rsidR="00CB700C" w:rsidRPr="00395551" w:rsidRDefault="00114199" w:rsidP="003649E8">
      <w:pPr>
        <w:spacing w:after="0"/>
        <w:jc w:val="both"/>
        <w:rPr>
          <w:rFonts w:ascii="Times New Roman" w:hAnsi="Times New Roman" w:cs="Times New Roman"/>
        </w:rPr>
      </w:pPr>
      <w:r w:rsidRPr="00395551">
        <w:rPr>
          <w:rFonts w:ascii="Times New Roman" w:hAnsi="Times New Roman" w:cs="Times New Roman"/>
        </w:rPr>
        <w:t xml:space="preserve">Bajo esa lógica legislativa, el contrato de prenda sin desplazamiento es un poderoso instrumento de inversión ya que </w:t>
      </w:r>
      <w:r w:rsidR="00CB700C" w:rsidRPr="00395551">
        <w:rPr>
          <w:rFonts w:ascii="Times New Roman" w:hAnsi="Times New Roman" w:cs="Times New Roman"/>
        </w:rPr>
        <w:t>permite al deudor obtener una fuente de financiamiento sin dejar de explotar el bien mueble que garantiza la obligación.</w:t>
      </w:r>
    </w:p>
    <w:p w:rsidR="00CB700C" w:rsidRPr="00395551" w:rsidRDefault="00CB700C" w:rsidP="003649E8">
      <w:pPr>
        <w:spacing w:after="0"/>
        <w:jc w:val="both"/>
        <w:rPr>
          <w:rFonts w:ascii="Times New Roman" w:hAnsi="Times New Roman" w:cs="Times New Roman"/>
        </w:rPr>
      </w:pPr>
    </w:p>
    <w:p w:rsidR="007D7488" w:rsidRPr="00395551" w:rsidRDefault="00CB700C" w:rsidP="003649E8">
      <w:pPr>
        <w:spacing w:after="0"/>
        <w:jc w:val="both"/>
        <w:rPr>
          <w:rFonts w:ascii="Times New Roman" w:hAnsi="Times New Roman" w:cs="Times New Roman"/>
        </w:rPr>
      </w:pPr>
      <w:r w:rsidRPr="00395551">
        <w:rPr>
          <w:rFonts w:ascii="Times New Roman" w:hAnsi="Times New Roman" w:cs="Times New Roman"/>
        </w:rPr>
        <w:t>Las particularidades de este contrato son (i) es un contrato solemne, que se perfecciona a través de Escritura Pública o instrumento privado que cumpla con los requisitos establecidos en la ley</w:t>
      </w:r>
      <w:r w:rsidR="007D7488" w:rsidRPr="00395551">
        <w:rPr>
          <w:rFonts w:ascii="Times New Roman" w:hAnsi="Times New Roman" w:cs="Times New Roman"/>
        </w:rPr>
        <w:t xml:space="preserve"> (art. 2°)</w:t>
      </w:r>
      <w:r w:rsidRPr="00395551">
        <w:rPr>
          <w:rFonts w:ascii="Times New Roman" w:hAnsi="Times New Roman" w:cs="Times New Roman"/>
        </w:rPr>
        <w:t>, (ii) el derecho real de prenda se perfecciona por mandato legal entregado a notario para su inscripción</w:t>
      </w:r>
      <w:r w:rsidR="007D7488" w:rsidRPr="00395551">
        <w:rPr>
          <w:rFonts w:ascii="Times New Roman" w:hAnsi="Times New Roman" w:cs="Times New Roman"/>
        </w:rPr>
        <w:t xml:space="preserve"> (art. 24)</w:t>
      </w:r>
      <w:r w:rsidRPr="00395551">
        <w:rPr>
          <w:rFonts w:ascii="Times New Roman" w:hAnsi="Times New Roman" w:cs="Times New Roman"/>
        </w:rPr>
        <w:t>, (iii) constituye un título ejecutivo especial</w:t>
      </w:r>
      <w:r w:rsidR="007D7488" w:rsidRPr="00395551">
        <w:rPr>
          <w:rFonts w:ascii="Times New Roman" w:hAnsi="Times New Roman" w:cs="Times New Roman"/>
        </w:rPr>
        <w:t xml:space="preserve"> (art. 30)</w:t>
      </w:r>
      <w:r w:rsidRPr="00395551">
        <w:rPr>
          <w:rFonts w:ascii="Times New Roman" w:hAnsi="Times New Roman" w:cs="Times New Roman"/>
        </w:rPr>
        <w:t>, (iv) tiene una particularidad procesal respecto la ejecución de la obligación, ya que basta con la notificación de la demanda para poder realizar el remate de la cosa</w:t>
      </w:r>
      <w:r w:rsidR="007D7488" w:rsidRPr="00395551">
        <w:rPr>
          <w:rFonts w:ascii="Times New Roman" w:hAnsi="Times New Roman" w:cs="Times New Roman"/>
        </w:rPr>
        <w:t xml:space="preserve"> (art. 30)</w:t>
      </w:r>
      <w:r w:rsidRPr="00395551">
        <w:rPr>
          <w:rFonts w:ascii="Times New Roman" w:hAnsi="Times New Roman" w:cs="Times New Roman"/>
        </w:rPr>
        <w:t xml:space="preserve">, (v) </w:t>
      </w:r>
      <w:r w:rsidR="007D7488" w:rsidRPr="00395551">
        <w:rPr>
          <w:rFonts w:ascii="Times New Roman" w:hAnsi="Times New Roman" w:cs="Times New Roman"/>
        </w:rPr>
        <w:t>regula expresamente la prohibición de enajenar, reconociéndola y estableciendo sanciones expresas para su infracción (art. 17)</w:t>
      </w:r>
      <w:r w:rsidRPr="00395551">
        <w:rPr>
          <w:rFonts w:ascii="Times New Roman" w:hAnsi="Times New Roman" w:cs="Times New Roman"/>
        </w:rPr>
        <w:t>.</w:t>
      </w:r>
    </w:p>
    <w:p w:rsidR="007D7488" w:rsidRPr="00395551" w:rsidRDefault="007D7488" w:rsidP="003649E8">
      <w:pPr>
        <w:spacing w:after="0"/>
        <w:jc w:val="both"/>
        <w:rPr>
          <w:rFonts w:ascii="Times New Roman" w:hAnsi="Times New Roman" w:cs="Times New Roman"/>
        </w:rPr>
      </w:pPr>
    </w:p>
    <w:p w:rsidR="00114199" w:rsidRPr="00395551" w:rsidRDefault="007D7488" w:rsidP="003649E8">
      <w:pPr>
        <w:spacing w:after="0"/>
        <w:jc w:val="both"/>
        <w:rPr>
          <w:rFonts w:ascii="Times New Roman" w:hAnsi="Times New Roman" w:cs="Times New Roman"/>
        </w:rPr>
      </w:pPr>
      <w:r w:rsidRPr="00395551">
        <w:rPr>
          <w:rFonts w:ascii="Times New Roman" w:hAnsi="Times New Roman" w:cs="Times New Roman"/>
        </w:rPr>
        <w:t>Una de las diferencias más importantes es la comprendida en el artículo 32 de la ley, por cuanto el contrato de prenda puede recaer sobre cosas futuras. Ello ha permitido que se garanticen flujos futuros de compañ</w:t>
      </w:r>
      <w:r w:rsidR="00395551" w:rsidRPr="00395551">
        <w:rPr>
          <w:rFonts w:ascii="Times New Roman" w:hAnsi="Times New Roman" w:cs="Times New Roman"/>
        </w:rPr>
        <w:t xml:space="preserve">ías, sin obstaculizar los capitales presentes para obtener financiamiento. </w:t>
      </w:r>
    </w:p>
    <w:p w:rsidR="00395551" w:rsidRPr="00395551" w:rsidRDefault="00395551" w:rsidP="00395551">
      <w:pPr>
        <w:spacing w:after="0"/>
        <w:jc w:val="both"/>
        <w:rPr>
          <w:rFonts w:ascii="Times New Roman" w:hAnsi="Times New Roman" w:cs="Times New Roman"/>
        </w:rPr>
      </w:pPr>
    </w:p>
    <w:p w:rsidR="00395551" w:rsidRPr="00395551" w:rsidRDefault="00395551" w:rsidP="00395551">
      <w:pPr>
        <w:pStyle w:val="Prrafodelista"/>
        <w:numPr>
          <w:ilvl w:val="0"/>
          <w:numId w:val="2"/>
        </w:numPr>
        <w:spacing w:after="0"/>
        <w:jc w:val="both"/>
        <w:rPr>
          <w:rFonts w:ascii="Times New Roman" w:hAnsi="Times New Roman" w:cs="Times New Roman"/>
          <w:u w:val="single"/>
        </w:rPr>
      </w:pPr>
      <w:r w:rsidRPr="00395551">
        <w:rPr>
          <w:rFonts w:ascii="Times New Roman" w:hAnsi="Times New Roman" w:cs="Times New Roman"/>
          <w:b/>
          <w:u w:val="single"/>
        </w:rPr>
        <w:t>Efectos del contrato de prenda.</w:t>
      </w:r>
      <w:bookmarkStart w:id="0" w:name="_GoBack"/>
      <w:bookmarkEnd w:id="0"/>
    </w:p>
    <w:p w:rsidR="00395551" w:rsidRPr="00395551" w:rsidRDefault="00395551" w:rsidP="00395551">
      <w:pPr>
        <w:spacing w:after="0"/>
        <w:jc w:val="both"/>
        <w:rPr>
          <w:rFonts w:ascii="Times New Roman" w:hAnsi="Times New Roman" w:cs="Times New Roman"/>
          <w:b/>
          <w:u w:val="single"/>
        </w:rPr>
      </w:pPr>
    </w:p>
    <w:p w:rsidR="00395551" w:rsidRPr="00395551" w:rsidRDefault="00395551" w:rsidP="00395551">
      <w:pPr>
        <w:spacing w:after="0"/>
        <w:jc w:val="both"/>
        <w:rPr>
          <w:rFonts w:ascii="Times New Roman" w:hAnsi="Times New Roman" w:cs="Times New Roman"/>
        </w:rPr>
      </w:pPr>
      <w:r w:rsidRPr="00395551">
        <w:rPr>
          <w:rFonts w:ascii="Times New Roman" w:hAnsi="Times New Roman" w:cs="Times New Roman"/>
        </w:rPr>
        <w:t xml:space="preserve">El efecto más importante del contrato es que permite al acreedor exigir la constitución del derecho real de prenda sobre la cosa. </w:t>
      </w:r>
    </w:p>
    <w:p w:rsidR="00395551" w:rsidRPr="00395551" w:rsidRDefault="00395551" w:rsidP="00395551">
      <w:pPr>
        <w:spacing w:after="0"/>
        <w:jc w:val="both"/>
        <w:rPr>
          <w:rFonts w:ascii="Times New Roman" w:hAnsi="Times New Roman" w:cs="Times New Roman"/>
        </w:rPr>
      </w:pPr>
    </w:p>
    <w:p w:rsidR="00395551" w:rsidRPr="00395551" w:rsidRDefault="00395551" w:rsidP="00395551">
      <w:pPr>
        <w:spacing w:after="0"/>
        <w:jc w:val="both"/>
        <w:rPr>
          <w:rFonts w:ascii="Times New Roman" w:hAnsi="Times New Roman" w:cs="Times New Roman"/>
        </w:rPr>
      </w:pPr>
      <w:r w:rsidRPr="00395551">
        <w:rPr>
          <w:rFonts w:ascii="Times New Roman" w:hAnsi="Times New Roman" w:cs="Times New Roman"/>
        </w:rPr>
        <w:t xml:space="preserve">Este derecho real concede al acreedor el (i) derecho de retención (en el caso del contrato de prenda con desplazamiento), (ii) derecho de persecución, (iii) derecho de venta, (iv) derecho de preferencia. </w:t>
      </w:r>
    </w:p>
    <w:p w:rsidR="00395551" w:rsidRPr="00395551" w:rsidRDefault="00395551" w:rsidP="00395551">
      <w:pPr>
        <w:spacing w:after="0"/>
        <w:jc w:val="both"/>
        <w:rPr>
          <w:rFonts w:ascii="Times New Roman" w:hAnsi="Times New Roman" w:cs="Times New Roman"/>
        </w:rPr>
      </w:pPr>
    </w:p>
    <w:p w:rsidR="00395551" w:rsidRDefault="00395551" w:rsidP="00395551">
      <w:pPr>
        <w:spacing w:after="0"/>
        <w:jc w:val="both"/>
        <w:rPr>
          <w:rFonts w:ascii="Times New Roman" w:hAnsi="Times New Roman" w:cs="Times New Roman"/>
        </w:rPr>
      </w:pPr>
      <w:r w:rsidRPr="00395551">
        <w:rPr>
          <w:rFonts w:ascii="Times New Roman" w:hAnsi="Times New Roman" w:cs="Times New Roman"/>
        </w:rPr>
        <w:t xml:space="preserve">Sin perjuicio de lo anterior, el acreedor prendario está obligado a restituir la prenda y a conservarla empleando el cuidado medio (para la prenda con desplazamiento). </w:t>
      </w:r>
    </w:p>
    <w:p w:rsidR="00395551" w:rsidRPr="002F4FF7" w:rsidRDefault="00395551" w:rsidP="00395551">
      <w:pPr>
        <w:spacing w:after="0"/>
        <w:jc w:val="right"/>
        <w:rPr>
          <w:rFonts w:ascii="Times New Roman" w:hAnsi="Times New Roman" w:cs="Times New Roman"/>
          <w:b/>
          <w:sz w:val="16"/>
          <w:szCs w:val="16"/>
        </w:rPr>
      </w:pPr>
      <w:r w:rsidRPr="002F4FF7">
        <w:rPr>
          <w:rFonts w:ascii="Times New Roman" w:hAnsi="Times New Roman" w:cs="Times New Roman"/>
          <w:b/>
          <w:sz w:val="16"/>
          <w:szCs w:val="16"/>
        </w:rPr>
        <w:t>MCS 11.06.12</w:t>
      </w:r>
    </w:p>
    <w:sectPr w:rsidR="00395551" w:rsidRPr="002F4FF7" w:rsidSect="002F4FF7">
      <w:footerReference w:type="default" r:id="rId9"/>
      <w:pgSz w:w="12240" w:h="15840"/>
      <w:pgMar w:top="1304" w:right="1304" w:bottom="1304" w:left="130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2D" w:rsidRDefault="00C46F2D" w:rsidP="00AE1585">
      <w:pPr>
        <w:spacing w:after="0" w:line="240" w:lineRule="auto"/>
      </w:pPr>
      <w:r>
        <w:separator/>
      </w:r>
    </w:p>
  </w:endnote>
  <w:endnote w:type="continuationSeparator" w:id="0">
    <w:p w:rsidR="00C46F2D" w:rsidRDefault="00C46F2D" w:rsidP="00AE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958978"/>
      <w:docPartObj>
        <w:docPartGallery w:val="Page Numbers (Bottom of Page)"/>
        <w:docPartUnique/>
      </w:docPartObj>
    </w:sdtPr>
    <w:sdtEndPr>
      <w:rPr>
        <w:rFonts w:ascii="Times New Roman" w:hAnsi="Times New Roman" w:cs="Times New Roman"/>
        <w:sz w:val="24"/>
        <w:szCs w:val="24"/>
      </w:rPr>
    </w:sdtEndPr>
    <w:sdtContent>
      <w:p w:rsidR="00CB19E8" w:rsidRPr="00CB19E8" w:rsidRDefault="00CB19E8" w:rsidP="00CB19E8">
        <w:pPr>
          <w:pStyle w:val="Piedepgina"/>
          <w:jc w:val="center"/>
          <w:rPr>
            <w:rFonts w:ascii="Times New Roman" w:hAnsi="Times New Roman" w:cs="Times New Roman"/>
            <w:sz w:val="24"/>
            <w:szCs w:val="24"/>
          </w:rPr>
        </w:pPr>
        <w:r w:rsidRPr="00CB19E8">
          <w:rPr>
            <w:rFonts w:ascii="Times New Roman" w:hAnsi="Times New Roman" w:cs="Times New Roman"/>
            <w:sz w:val="24"/>
            <w:szCs w:val="24"/>
          </w:rPr>
          <w:fldChar w:fldCharType="begin"/>
        </w:r>
        <w:r w:rsidRPr="00CB19E8">
          <w:rPr>
            <w:rFonts w:ascii="Times New Roman" w:hAnsi="Times New Roman" w:cs="Times New Roman"/>
            <w:sz w:val="24"/>
            <w:szCs w:val="24"/>
          </w:rPr>
          <w:instrText>PAGE   \* MERGEFORMAT</w:instrText>
        </w:r>
        <w:r w:rsidRPr="00CB19E8">
          <w:rPr>
            <w:rFonts w:ascii="Times New Roman" w:hAnsi="Times New Roman" w:cs="Times New Roman"/>
            <w:sz w:val="24"/>
            <w:szCs w:val="24"/>
          </w:rPr>
          <w:fldChar w:fldCharType="separate"/>
        </w:r>
        <w:r w:rsidR="002F4FF7" w:rsidRPr="002F4FF7">
          <w:rPr>
            <w:rFonts w:ascii="Times New Roman" w:hAnsi="Times New Roman" w:cs="Times New Roman"/>
            <w:noProof/>
            <w:sz w:val="24"/>
            <w:szCs w:val="24"/>
            <w:lang w:val="es-ES"/>
          </w:rPr>
          <w:t>2</w:t>
        </w:r>
        <w:r w:rsidRPr="00CB19E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2D" w:rsidRDefault="00C46F2D" w:rsidP="00AE1585">
      <w:pPr>
        <w:spacing w:after="0" w:line="240" w:lineRule="auto"/>
      </w:pPr>
      <w:r>
        <w:separator/>
      </w:r>
    </w:p>
  </w:footnote>
  <w:footnote w:type="continuationSeparator" w:id="0">
    <w:p w:rsidR="00C46F2D" w:rsidRDefault="00C46F2D" w:rsidP="00AE1585">
      <w:pPr>
        <w:spacing w:after="0" w:line="240" w:lineRule="auto"/>
      </w:pPr>
      <w:r>
        <w:continuationSeparator/>
      </w:r>
    </w:p>
  </w:footnote>
  <w:footnote w:id="1">
    <w:p w:rsidR="002F4FF7" w:rsidRPr="002F4FF7" w:rsidRDefault="002F4FF7" w:rsidP="002F4FF7">
      <w:pPr>
        <w:pStyle w:val="Textonotapie"/>
        <w:jc w:val="both"/>
        <w:rPr>
          <w:rFonts w:ascii="Times New Roman" w:hAnsi="Times New Roman" w:cs="Times New Roman"/>
        </w:rPr>
      </w:pPr>
      <w:r w:rsidRPr="002F4FF7">
        <w:rPr>
          <w:rStyle w:val="Refdenotaalpie"/>
          <w:rFonts w:ascii="Times New Roman" w:hAnsi="Times New Roman" w:cs="Times New Roman"/>
        </w:rPr>
        <w:footnoteRef/>
      </w:r>
      <w:r w:rsidRPr="002F4FF7">
        <w:rPr>
          <w:rFonts w:ascii="Times New Roman" w:hAnsi="Times New Roman" w:cs="Times New Roman"/>
        </w:rPr>
        <w:t xml:space="preserve"> Esta es una minuta que no pretende ser </w:t>
      </w:r>
      <w:proofErr w:type="spellStart"/>
      <w:r w:rsidRPr="002F4FF7">
        <w:rPr>
          <w:rFonts w:ascii="Times New Roman" w:hAnsi="Times New Roman" w:cs="Times New Roman"/>
        </w:rPr>
        <w:t>autoexplicativa</w:t>
      </w:r>
      <w:proofErr w:type="spellEnd"/>
      <w:r w:rsidRPr="002F4FF7">
        <w:rPr>
          <w:rFonts w:ascii="Times New Roman" w:hAnsi="Times New Roman" w:cs="Times New Roman"/>
        </w:rPr>
        <w:t xml:space="preserve">, sino que sólo contiene los puntos más relevantes para la exposición de la clase de 12.06.12. </w:t>
      </w:r>
    </w:p>
  </w:footnote>
  <w:footnote w:id="2">
    <w:p w:rsidR="00AE1585" w:rsidRPr="00AE1585" w:rsidRDefault="00AE1585" w:rsidP="002F4FF7">
      <w:pPr>
        <w:pStyle w:val="Textonotapie"/>
        <w:jc w:val="both"/>
        <w:rPr>
          <w:rFonts w:ascii="Times New Roman" w:hAnsi="Times New Roman" w:cs="Times New Roman"/>
          <w:i/>
        </w:rPr>
      </w:pPr>
      <w:r w:rsidRPr="00AE1585">
        <w:rPr>
          <w:rStyle w:val="Refdenotaalpie"/>
          <w:rFonts w:ascii="Times New Roman" w:hAnsi="Times New Roman" w:cs="Times New Roman"/>
          <w:i/>
        </w:rPr>
        <w:footnoteRef/>
      </w:r>
      <w:r w:rsidRPr="00AE1585">
        <w:rPr>
          <w:rFonts w:ascii="Times New Roman" w:hAnsi="Times New Roman" w:cs="Times New Roman"/>
          <w:i/>
        </w:rPr>
        <w:t xml:space="preserve"> </w:t>
      </w:r>
      <w:r w:rsidRPr="00AE1585">
        <w:rPr>
          <w:rFonts w:ascii="Times New Roman" w:hAnsi="Times New Roman" w:cs="Times New Roman"/>
          <w:i/>
          <w:color w:val="000000"/>
        </w:rPr>
        <w:t>Art. 2465. Toda obligación personal da al acreedor el derecho de perseguir su ejecución sobre todos los bienes raíces o muebles del deudor, sean presentes o futuros, exceptuándose solamente los no embargables, designados en el artículo 1618.</w:t>
      </w:r>
    </w:p>
  </w:footnote>
  <w:footnote w:id="3">
    <w:p w:rsidR="003649E8" w:rsidRPr="00395551" w:rsidRDefault="003649E8" w:rsidP="003649E8">
      <w:pPr>
        <w:pStyle w:val="Textonotapie"/>
        <w:jc w:val="both"/>
        <w:rPr>
          <w:rFonts w:ascii="Times New Roman" w:hAnsi="Times New Roman" w:cs="Times New Roman"/>
          <w:sz w:val="18"/>
          <w:szCs w:val="18"/>
        </w:rPr>
      </w:pPr>
      <w:r w:rsidRPr="00395551">
        <w:rPr>
          <w:rStyle w:val="Refdenotaalpie"/>
          <w:rFonts w:ascii="Times New Roman" w:hAnsi="Times New Roman" w:cs="Times New Roman"/>
          <w:sz w:val="18"/>
          <w:szCs w:val="18"/>
        </w:rPr>
        <w:footnoteRef/>
      </w:r>
      <w:r w:rsidRPr="00395551">
        <w:rPr>
          <w:rFonts w:ascii="Times New Roman" w:hAnsi="Times New Roman" w:cs="Times New Roman"/>
          <w:sz w:val="18"/>
          <w:szCs w:val="18"/>
        </w:rPr>
        <w:t xml:space="preserve"> La jurisprudencia ha señalado que “son elementos constitutivos de la prenda de crédito la entrega del título al acreedor prendario y la notificación por éste al deudor del crédito consignado en el título, prohibiéndole que lo pague en otras manos” (C. Suprema, 13 diciembre 1919. R., t. 18, sec. 1ª, p.259).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3B28"/>
    <w:multiLevelType w:val="hybridMultilevel"/>
    <w:tmpl w:val="77BE3840"/>
    <w:lvl w:ilvl="0" w:tplc="6B7CD6C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ECE3063"/>
    <w:multiLevelType w:val="hybridMultilevel"/>
    <w:tmpl w:val="65E0B35C"/>
    <w:lvl w:ilvl="0" w:tplc="64964198">
      <w:start w:val="1"/>
      <w:numFmt w:val="lowerLetter"/>
      <w:lvlText w:val="%1."/>
      <w:lvlJc w:val="left"/>
      <w:pPr>
        <w:ind w:left="1065" w:hanging="360"/>
      </w:pPr>
      <w:rPr>
        <w:rFonts w:hint="default"/>
        <w:i w:val="0"/>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
    <w:nsid w:val="7A16762B"/>
    <w:multiLevelType w:val="hybridMultilevel"/>
    <w:tmpl w:val="69FC56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67"/>
    <w:rsid w:val="00114199"/>
    <w:rsid w:val="001A4F67"/>
    <w:rsid w:val="002972D2"/>
    <w:rsid w:val="002F4FF7"/>
    <w:rsid w:val="003649E8"/>
    <w:rsid w:val="00395551"/>
    <w:rsid w:val="005A72B0"/>
    <w:rsid w:val="006854E0"/>
    <w:rsid w:val="007D7488"/>
    <w:rsid w:val="00923360"/>
    <w:rsid w:val="009B3F49"/>
    <w:rsid w:val="00A31C85"/>
    <w:rsid w:val="00A43498"/>
    <w:rsid w:val="00AE1585"/>
    <w:rsid w:val="00C46F2D"/>
    <w:rsid w:val="00C638C7"/>
    <w:rsid w:val="00CB19E8"/>
    <w:rsid w:val="00CB70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F67"/>
    <w:pPr>
      <w:ind w:left="720"/>
      <w:contextualSpacing/>
    </w:pPr>
  </w:style>
  <w:style w:type="paragraph" w:styleId="Textonotapie">
    <w:name w:val="footnote text"/>
    <w:basedOn w:val="Normal"/>
    <w:link w:val="TextonotapieCar"/>
    <w:uiPriority w:val="99"/>
    <w:semiHidden/>
    <w:unhideWhenUsed/>
    <w:rsid w:val="00AE15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1585"/>
    <w:rPr>
      <w:sz w:val="20"/>
      <w:szCs w:val="20"/>
    </w:rPr>
  </w:style>
  <w:style w:type="character" w:styleId="Refdenotaalpie">
    <w:name w:val="footnote reference"/>
    <w:basedOn w:val="Fuentedeprrafopredeter"/>
    <w:uiPriority w:val="99"/>
    <w:semiHidden/>
    <w:unhideWhenUsed/>
    <w:rsid w:val="00AE1585"/>
    <w:rPr>
      <w:vertAlign w:val="superscript"/>
    </w:rPr>
  </w:style>
  <w:style w:type="paragraph" w:styleId="Encabezado">
    <w:name w:val="header"/>
    <w:basedOn w:val="Normal"/>
    <w:link w:val="EncabezadoCar"/>
    <w:uiPriority w:val="99"/>
    <w:unhideWhenUsed/>
    <w:rsid w:val="00AE15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585"/>
  </w:style>
  <w:style w:type="paragraph" w:styleId="Piedepgina">
    <w:name w:val="footer"/>
    <w:basedOn w:val="Normal"/>
    <w:link w:val="PiedepginaCar"/>
    <w:uiPriority w:val="99"/>
    <w:unhideWhenUsed/>
    <w:rsid w:val="00AE1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585"/>
  </w:style>
  <w:style w:type="paragraph" w:styleId="Textodeglobo">
    <w:name w:val="Balloon Text"/>
    <w:basedOn w:val="Normal"/>
    <w:link w:val="TextodegloboCar"/>
    <w:uiPriority w:val="99"/>
    <w:semiHidden/>
    <w:unhideWhenUsed/>
    <w:rsid w:val="002F4F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F67"/>
    <w:pPr>
      <w:ind w:left="720"/>
      <w:contextualSpacing/>
    </w:pPr>
  </w:style>
  <w:style w:type="paragraph" w:styleId="Textonotapie">
    <w:name w:val="footnote text"/>
    <w:basedOn w:val="Normal"/>
    <w:link w:val="TextonotapieCar"/>
    <w:uiPriority w:val="99"/>
    <w:semiHidden/>
    <w:unhideWhenUsed/>
    <w:rsid w:val="00AE15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1585"/>
    <w:rPr>
      <w:sz w:val="20"/>
      <w:szCs w:val="20"/>
    </w:rPr>
  </w:style>
  <w:style w:type="character" w:styleId="Refdenotaalpie">
    <w:name w:val="footnote reference"/>
    <w:basedOn w:val="Fuentedeprrafopredeter"/>
    <w:uiPriority w:val="99"/>
    <w:semiHidden/>
    <w:unhideWhenUsed/>
    <w:rsid w:val="00AE1585"/>
    <w:rPr>
      <w:vertAlign w:val="superscript"/>
    </w:rPr>
  </w:style>
  <w:style w:type="paragraph" w:styleId="Encabezado">
    <w:name w:val="header"/>
    <w:basedOn w:val="Normal"/>
    <w:link w:val="EncabezadoCar"/>
    <w:uiPriority w:val="99"/>
    <w:unhideWhenUsed/>
    <w:rsid w:val="00AE15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585"/>
  </w:style>
  <w:style w:type="paragraph" w:styleId="Piedepgina">
    <w:name w:val="footer"/>
    <w:basedOn w:val="Normal"/>
    <w:link w:val="PiedepginaCar"/>
    <w:uiPriority w:val="99"/>
    <w:unhideWhenUsed/>
    <w:rsid w:val="00AE1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585"/>
  </w:style>
  <w:style w:type="paragraph" w:styleId="Textodeglobo">
    <w:name w:val="Balloon Text"/>
    <w:basedOn w:val="Normal"/>
    <w:link w:val="TextodegloboCar"/>
    <w:uiPriority w:val="99"/>
    <w:semiHidden/>
    <w:unhideWhenUsed/>
    <w:rsid w:val="002F4F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F2F1-E7C3-4B0B-BC47-96BE1C04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768</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Carrasco</dc:creator>
  <cp:lastModifiedBy>Matias Carrasco</cp:lastModifiedBy>
  <cp:revision>1</cp:revision>
  <cp:lastPrinted>2012-06-11T23:23:00Z</cp:lastPrinted>
  <dcterms:created xsi:type="dcterms:W3CDTF">2012-06-11T17:53:00Z</dcterms:created>
  <dcterms:modified xsi:type="dcterms:W3CDTF">2012-06-11T23:24:00Z</dcterms:modified>
</cp:coreProperties>
</file>