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8202" w14:textId="77777777" w:rsidR="003A3485" w:rsidRPr="00BB63D0" w:rsidRDefault="003A3485" w:rsidP="00BB63D0">
      <w:pPr>
        <w:jc w:val="center"/>
        <w:rPr>
          <w:rFonts w:cstheme="minorHAnsi"/>
          <w:b/>
          <w:szCs w:val="20"/>
        </w:rPr>
      </w:pPr>
    </w:p>
    <w:p w14:paraId="490A34F5" w14:textId="77777777" w:rsidR="003A3485" w:rsidRPr="005B7B62" w:rsidRDefault="003A3485" w:rsidP="00BB63D0">
      <w:pPr>
        <w:contextualSpacing/>
        <w:rPr>
          <w:rFonts w:eastAsia="Calibri" w:cstheme="minorHAnsi"/>
          <w:b/>
          <w:szCs w:val="20"/>
        </w:rPr>
      </w:pPr>
      <w:r w:rsidRPr="005B7B62">
        <w:rPr>
          <w:rFonts w:eastAsia="Calibri" w:cstheme="minorHAnsi"/>
          <w:szCs w:val="20"/>
        </w:rPr>
        <w:t>CUADERNILLO DE JURISPRUDENCIA DE LA CORTE INTERAMERICANA DE DERECHOS HUMANOS Nº 14:</w:t>
      </w:r>
      <w:r w:rsidRPr="005B7B62">
        <w:rPr>
          <w:rFonts w:eastAsia="Calibri" w:cstheme="minorHAnsi"/>
          <w:b/>
          <w:szCs w:val="20"/>
        </w:rPr>
        <w:t xml:space="preserve"> IGUALDAD Y NO DISCRIMINACIÓN</w:t>
      </w:r>
    </w:p>
    <w:p w14:paraId="279E779E" w14:textId="77777777" w:rsidR="003A3485" w:rsidRPr="00BB63D0" w:rsidRDefault="003A3485" w:rsidP="00BB63D0">
      <w:pPr>
        <w:rPr>
          <w:b/>
          <w:color w:val="000000" w:themeColor="text1"/>
          <w:szCs w:val="20"/>
        </w:rPr>
      </w:pPr>
    </w:p>
    <w:p w14:paraId="00B7A7B4" w14:textId="77777777" w:rsidR="00CD197F" w:rsidRDefault="00CD197F">
      <w:pPr>
        <w:spacing w:line="252" w:lineRule="auto"/>
        <w:jc w:val="left"/>
        <w:rPr>
          <w:color w:val="000000" w:themeColor="text1"/>
          <w:szCs w:val="20"/>
        </w:rPr>
      </w:pPr>
      <w:r>
        <w:rPr>
          <w:color w:val="000000" w:themeColor="text1"/>
          <w:szCs w:val="20"/>
        </w:rPr>
        <w:br w:type="page"/>
      </w:r>
    </w:p>
    <w:p w14:paraId="055FAF5C" w14:textId="72CD3DCE" w:rsidR="003A3485" w:rsidRPr="00BB63D0" w:rsidRDefault="003A3485" w:rsidP="00BB63D0">
      <w:pPr>
        <w:ind w:firstLine="708"/>
        <w:rPr>
          <w:color w:val="000000" w:themeColor="text1"/>
          <w:szCs w:val="20"/>
        </w:rPr>
      </w:pPr>
      <w:r w:rsidRPr="00BB63D0">
        <w:rPr>
          <w:color w:val="000000" w:themeColor="text1"/>
          <w:szCs w:val="20"/>
        </w:rPr>
        <w:lastRenderedPageBreak/>
        <w:t xml:space="preserve">El presente cuadernillo de jurisprudencia es el décimo cuarto número de una serie de publicaciones que la Corte Interamericana de Derechos Humanos (Corte IDH) realiza con el objeto de dar a conocer su jurisprudencia en diversos temas de relevancia a nivel regional. Este número está dedicado a abordar el derecho a la igualdad y no discriminación en la Convención Americana sobre Derechos Humanos y ha sido actualizado con sentencias hasta </w:t>
      </w:r>
      <w:r w:rsidR="00CD197F">
        <w:rPr>
          <w:color w:val="000000" w:themeColor="text1"/>
          <w:szCs w:val="20"/>
        </w:rPr>
        <w:t>diciembre</w:t>
      </w:r>
      <w:r w:rsidRPr="00BB63D0">
        <w:rPr>
          <w:color w:val="000000" w:themeColor="text1"/>
          <w:szCs w:val="20"/>
        </w:rPr>
        <w:t xml:space="preserve"> de 20</w:t>
      </w:r>
      <w:r w:rsidR="00CD197F">
        <w:rPr>
          <w:color w:val="000000" w:themeColor="text1"/>
          <w:szCs w:val="20"/>
        </w:rPr>
        <w:t>21</w:t>
      </w:r>
      <w:r w:rsidRPr="00BB63D0">
        <w:rPr>
          <w:color w:val="000000" w:themeColor="text1"/>
          <w:szCs w:val="20"/>
        </w:rPr>
        <w:t xml:space="preserve">. </w:t>
      </w:r>
    </w:p>
    <w:p w14:paraId="42D7106C" w14:textId="35BBB443" w:rsidR="003A3485" w:rsidRPr="00BB63D0" w:rsidRDefault="003A3485" w:rsidP="00BB63D0">
      <w:pPr>
        <w:ind w:firstLine="709"/>
        <w:rPr>
          <w:color w:val="000000" w:themeColor="text1"/>
          <w:szCs w:val="20"/>
        </w:rPr>
      </w:pPr>
      <w:r w:rsidRPr="00BB63D0">
        <w:rPr>
          <w:color w:val="000000" w:themeColor="text1"/>
          <w:szCs w:val="20"/>
        </w:rPr>
        <w:t xml:space="preserve">Para abordar este tema, se han extractado los párrafos más relevantes de los casos contenciosos y opiniones consultivas en que la Corte ha tratado esta temática. En una primera parte de este cuadernillo, se exponen aspectos generales vinculados al principio de igualdad y no discriminación, tanto a su alcance, diferencias entre la protección del 1.1 y del art. 24 convencionales, distinción entre una diferencia objetiva y razonable y la discriminación, categorías especialmente protegidas, prohibiciones de discriminación directa e indirecta y las discriminaciones múltiples, estructural e interseccional. En segundo lugar, se recopilan las categorías sospechosas. Luego, la utilización de estereotipos como forma de discriminación. Enseguida, en el cuarto apartado, se tratan los grupos en situación de vulnerabilidad atendida la situación de discriminación en que se encuentran. En quinto lugar, se reseñan las medidas para erradicar la discriminación y los mecanismos de garantía del derecho a la igualdad y no discriminación. Finalmente, el estudio concluye con medidas de reparación que se han dictado específicamente respecto del principio de </w:t>
      </w:r>
      <w:proofErr w:type="spellStart"/>
      <w:r w:rsidRPr="00BB63D0">
        <w:rPr>
          <w:color w:val="000000" w:themeColor="text1"/>
          <w:szCs w:val="20"/>
        </w:rPr>
        <w:t>igualdad</w:t>
      </w:r>
      <w:r w:rsidR="00802F1A">
        <w:rPr>
          <w:color w:val="000000" w:themeColor="text1"/>
          <w:szCs w:val="20"/>
        </w:rPr>
        <w:t>º</w:t>
      </w:r>
      <w:proofErr w:type="spellEnd"/>
      <w:r w:rsidRPr="00BB63D0">
        <w:rPr>
          <w:color w:val="000000" w:themeColor="text1"/>
          <w:szCs w:val="20"/>
        </w:rPr>
        <w:t xml:space="preserve"> y no discriminación. </w:t>
      </w:r>
    </w:p>
    <w:p w14:paraId="4F9DDB52" w14:textId="760C2D5B" w:rsidR="003A3485" w:rsidRPr="00BB63D0" w:rsidRDefault="003A3485" w:rsidP="00BB63D0">
      <w:pPr>
        <w:ind w:firstLine="708"/>
        <w:rPr>
          <w:color w:val="000000" w:themeColor="text1"/>
          <w:szCs w:val="20"/>
        </w:rPr>
      </w:pPr>
      <w:r w:rsidRPr="00BB63D0">
        <w:rPr>
          <w:color w:val="000000" w:themeColor="text1"/>
          <w:szCs w:val="20"/>
        </w:rPr>
        <w:t xml:space="preserve">Los títulos y destacados buscan facilitar la lectura y no necesariamente corresponde a los usados en las sentencias u opiniones consultivas. </w:t>
      </w:r>
    </w:p>
    <w:p w14:paraId="75F3BBB1" w14:textId="77777777" w:rsidR="003A3485" w:rsidRPr="00BB63D0" w:rsidRDefault="003A3485" w:rsidP="00BB63D0">
      <w:pPr>
        <w:ind w:firstLine="708"/>
        <w:rPr>
          <w:color w:val="000000" w:themeColor="text1"/>
          <w:szCs w:val="20"/>
        </w:rPr>
      </w:pPr>
      <w:r w:rsidRPr="00BB63D0">
        <w:rPr>
          <w:color w:val="000000" w:themeColor="text1"/>
          <w:szCs w:val="20"/>
        </w:rPr>
        <w:t>Este Cuadernillo se irá actualizando periódicamente en la medida que la Corte Interamericana vaya emitiendo pronunciamientos sobre la materia. Las actualizaciones serán comunicadas a través de la página web de la Corte, twitter y Facebook.</w:t>
      </w:r>
    </w:p>
    <w:p w14:paraId="22746C84" w14:textId="6472E411" w:rsidR="003A3485" w:rsidRPr="00BB63D0" w:rsidRDefault="003A3485" w:rsidP="00BB63D0">
      <w:pPr>
        <w:ind w:firstLine="708"/>
        <w:rPr>
          <w:color w:val="000000" w:themeColor="text1"/>
          <w:szCs w:val="20"/>
        </w:rPr>
      </w:pPr>
      <w:r w:rsidRPr="00BB63D0">
        <w:rPr>
          <w:color w:val="000000" w:themeColor="text1"/>
          <w:szCs w:val="20"/>
        </w:rPr>
        <w:t>La Corte agradece al Dr. Claudio Nash por su trabajo como editor de esta Serie de Cuadernillos de Jurisprudencia de la Corte Interamericana de Derechos Humanos.</w:t>
      </w:r>
    </w:p>
    <w:p w14:paraId="6773B721" w14:textId="77777777" w:rsidR="003A3485" w:rsidRPr="00BB63D0" w:rsidRDefault="003A3485" w:rsidP="00BB63D0">
      <w:pPr>
        <w:ind w:firstLine="708"/>
        <w:rPr>
          <w:color w:val="000000" w:themeColor="text1"/>
          <w:szCs w:val="20"/>
        </w:rPr>
      </w:pPr>
      <w:r w:rsidRPr="00BB63D0">
        <w:rPr>
          <w:color w:val="000000" w:themeColor="text1"/>
          <w:szCs w:val="20"/>
        </w:rPr>
        <w:t>Esperamos que este Cuadernillo de Jurisprudencia sirva a la difusión de la jurisprudencia de la Corte en toda la región.</w:t>
      </w:r>
    </w:p>
    <w:p w14:paraId="5D454926" w14:textId="77777777" w:rsidR="003A3485" w:rsidRPr="00BB63D0" w:rsidRDefault="003A3485" w:rsidP="00BB63D0">
      <w:pPr>
        <w:tabs>
          <w:tab w:val="left" w:pos="1320"/>
          <w:tab w:val="center" w:pos="4889"/>
        </w:tabs>
        <w:jc w:val="center"/>
        <w:rPr>
          <w:rFonts w:eastAsia="Arial"/>
          <w:b/>
          <w:szCs w:val="20"/>
        </w:rPr>
      </w:pPr>
    </w:p>
    <w:p w14:paraId="461420AE" w14:textId="12C30635" w:rsidR="003A3485" w:rsidRPr="00BB63D0" w:rsidRDefault="001B5DF3" w:rsidP="00BB63D0">
      <w:pPr>
        <w:pStyle w:val="Sinespaciado"/>
        <w:jc w:val="center"/>
        <w:rPr>
          <w:b/>
          <w:bCs/>
          <w:szCs w:val="20"/>
        </w:rPr>
      </w:pPr>
      <w:r>
        <w:rPr>
          <w:b/>
          <w:bCs/>
          <w:szCs w:val="20"/>
        </w:rPr>
        <w:t>Elizabeth Odio Benito</w:t>
      </w:r>
    </w:p>
    <w:p w14:paraId="0D367FF1" w14:textId="34DB6718" w:rsidR="003A3485" w:rsidRPr="00BB63D0" w:rsidRDefault="003A3485" w:rsidP="00BB63D0">
      <w:pPr>
        <w:pStyle w:val="Sinespaciado"/>
        <w:jc w:val="center"/>
        <w:rPr>
          <w:b/>
          <w:bCs/>
          <w:szCs w:val="20"/>
        </w:rPr>
      </w:pPr>
      <w:r w:rsidRPr="00BB63D0">
        <w:rPr>
          <w:b/>
          <w:bCs/>
          <w:szCs w:val="20"/>
        </w:rPr>
        <w:t>President</w:t>
      </w:r>
      <w:r w:rsidR="001B5DF3">
        <w:rPr>
          <w:b/>
          <w:bCs/>
          <w:szCs w:val="20"/>
        </w:rPr>
        <w:t>a</w:t>
      </w:r>
    </w:p>
    <w:p w14:paraId="7ED6F406" w14:textId="77777777" w:rsidR="003A3485" w:rsidRPr="00BB63D0" w:rsidRDefault="003A3485" w:rsidP="00BB63D0">
      <w:pPr>
        <w:pStyle w:val="Sinespaciado"/>
        <w:jc w:val="center"/>
        <w:rPr>
          <w:b/>
          <w:bCs/>
          <w:szCs w:val="20"/>
        </w:rPr>
      </w:pPr>
    </w:p>
    <w:p w14:paraId="175C8238" w14:textId="77777777" w:rsidR="003A3485" w:rsidRPr="00BB63D0" w:rsidRDefault="003A3485" w:rsidP="00BB63D0">
      <w:pPr>
        <w:pStyle w:val="Sinespaciado"/>
        <w:jc w:val="center"/>
        <w:rPr>
          <w:b/>
          <w:bCs/>
          <w:szCs w:val="20"/>
        </w:rPr>
      </w:pPr>
    </w:p>
    <w:p w14:paraId="52FC5185" w14:textId="77777777" w:rsidR="003A3485" w:rsidRPr="00BB63D0" w:rsidRDefault="003A3485" w:rsidP="00BB63D0">
      <w:pPr>
        <w:pStyle w:val="Sinespaciado"/>
        <w:jc w:val="center"/>
        <w:rPr>
          <w:szCs w:val="20"/>
        </w:rPr>
      </w:pPr>
    </w:p>
    <w:p w14:paraId="34D0377B" w14:textId="77777777" w:rsidR="003A3485" w:rsidRPr="00BB63D0" w:rsidRDefault="003A3485" w:rsidP="00BB63D0">
      <w:pPr>
        <w:ind w:right="-7"/>
        <w:rPr>
          <w:b/>
          <w:szCs w:val="20"/>
          <w:lang w:val="es-ES"/>
        </w:rPr>
      </w:pPr>
      <w:r w:rsidRPr="00BB63D0">
        <w:rPr>
          <w:b/>
          <w:szCs w:val="20"/>
          <w:lang w:val="es-ES"/>
        </w:rPr>
        <w:t xml:space="preserve">                  </w:t>
      </w:r>
    </w:p>
    <w:p w14:paraId="32ED2D32" w14:textId="71460998" w:rsidR="00637599" w:rsidRDefault="00637599">
      <w:pPr>
        <w:spacing w:line="252" w:lineRule="auto"/>
        <w:jc w:val="left"/>
        <w:rPr>
          <w:b/>
          <w:szCs w:val="20"/>
          <w:lang w:val="es-ES"/>
        </w:rPr>
      </w:pPr>
      <w:r>
        <w:rPr>
          <w:b/>
          <w:szCs w:val="20"/>
          <w:lang w:val="es-ES"/>
        </w:rPr>
        <w:br w:type="page"/>
      </w:r>
    </w:p>
    <w:p w14:paraId="26EB0CA6" w14:textId="77777777" w:rsidR="003A3485" w:rsidRPr="00BB63D0" w:rsidRDefault="003A3485" w:rsidP="00BB63D0">
      <w:pPr>
        <w:ind w:right="-7"/>
        <w:rPr>
          <w:b/>
          <w:szCs w:val="20"/>
          <w:lang w:val="es-ES"/>
        </w:rPr>
      </w:pPr>
    </w:p>
    <w:sdt>
      <w:sdtPr>
        <w:rPr>
          <w:rFonts w:eastAsiaTheme="minorHAnsi" w:cstheme="majorBidi"/>
          <w:szCs w:val="20"/>
          <w:lang w:val="es-ES"/>
        </w:rPr>
        <w:id w:val="-1742783638"/>
        <w:docPartObj>
          <w:docPartGallery w:val="Table of Contents"/>
          <w:docPartUnique/>
        </w:docPartObj>
      </w:sdtPr>
      <w:sdtEndPr>
        <w:rPr>
          <w:rFonts w:eastAsia="Times New Roman" w:cs="Times New Roman"/>
          <w:color w:val="984806" w:themeColor="accent6" w:themeShade="80"/>
        </w:rPr>
      </w:sdtEndPr>
      <w:sdtContent>
        <w:p w14:paraId="7006EBF5" w14:textId="25C6AEE7" w:rsidR="001D3A7C" w:rsidRDefault="003A3485" w:rsidP="001D3A7C">
          <w:pPr>
            <w:pStyle w:val="TDC1"/>
            <w:shd w:val="clear" w:color="auto" w:fill="auto"/>
            <w:tabs>
              <w:tab w:val="left" w:pos="720"/>
            </w:tabs>
            <w:rPr>
              <w:rFonts w:asciiTheme="minorHAnsi" w:eastAsiaTheme="minorEastAsia" w:hAnsiTheme="minorHAnsi" w:cstheme="minorBidi"/>
              <w:noProof/>
              <w:sz w:val="24"/>
            </w:rPr>
          </w:pPr>
          <w:r w:rsidRPr="00BB63D0">
            <w:rPr>
              <w:noProof/>
              <w:color w:val="632423" w:themeColor="accent2" w:themeShade="80"/>
              <w:szCs w:val="20"/>
              <w:lang w:eastAsia="es-CL"/>
            </w:rPr>
            <w:fldChar w:fldCharType="begin"/>
          </w:r>
          <w:r w:rsidRPr="00BB63D0">
            <w:rPr>
              <w:color w:val="632423" w:themeColor="accent2" w:themeShade="80"/>
              <w:szCs w:val="20"/>
            </w:rPr>
            <w:instrText xml:space="preserve"> TOC \o "1-3" \h \z \u </w:instrText>
          </w:r>
          <w:r w:rsidRPr="00BB63D0">
            <w:rPr>
              <w:noProof/>
              <w:color w:val="632423" w:themeColor="accent2" w:themeShade="80"/>
              <w:szCs w:val="20"/>
              <w:lang w:eastAsia="es-CL"/>
            </w:rPr>
            <w:fldChar w:fldCharType="separate"/>
          </w:r>
          <w:hyperlink w:anchor="_Toc89017863" w:history="1">
            <w:r w:rsidR="001D3A7C" w:rsidRPr="005710F6">
              <w:rPr>
                <w:rStyle w:val="Hipervnculo"/>
                <w:noProof/>
              </w:rPr>
              <w:t>1.</w:t>
            </w:r>
            <w:r w:rsidR="001D3A7C">
              <w:rPr>
                <w:rFonts w:asciiTheme="minorHAnsi" w:eastAsiaTheme="minorEastAsia" w:hAnsiTheme="minorHAnsi" w:cstheme="minorBidi"/>
                <w:noProof/>
                <w:sz w:val="24"/>
              </w:rPr>
              <w:tab/>
            </w:r>
            <w:r w:rsidR="001D3A7C" w:rsidRPr="005710F6">
              <w:rPr>
                <w:rStyle w:val="Hipervnculo"/>
                <w:noProof/>
              </w:rPr>
              <w:t>Aspectos generales del principio de igualdad y no discriminación</w:t>
            </w:r>
            <w:r w:rsidR="001D3A7C">
              <w:rPr>
                <w:noProof/>
                <w:webHidden/>
              </w:rPr>
              <w:tab/>
            </w:r>
            <w:r w:rsidR="001D3A7C">
              <w:rPr>
                <w:noProof/>
                <w:webHidden/>
              </w:rPr>
              <w:fldChar w:fldCharType="begin"/>
            </w:r>
            <w:r w:rsidR="001D3A7C">
              <w:rPr>
                <w:noProof/>
                <w:webHidden/>
              </w:rPr>
              <w:instrText xml:space="preserve"> PAGEREF _Toc89017863 \h </w:instrText>
            </w:r>
            <w:r w:rsidR="001D3A7C">
              <w:rPr>
                <w:noProof/>
                <w:webHidden/>
              </w:rPr>
            </w:r>
            <w:r w:rsidR="001D3A7C">
              <w:rPr>
                <w:noProof/>
                <w:webHidden/>
              </w:rPr>
              <w:fldChar w:fldCharType="separate"/>
            </w:r>
            <w:r w:rsidR="001D3A7C">
              <w:rPr>
                <w:noProof/>
                <w:webHidden/>
              </w:rPr>
              <w:t>5</w:t>
            </w:r>
            <w:r w:rsidR="001D3A7C">
              <w:rPr>
                <w:noProof/>
                <w:webHidden/>
              </w:rPr>
              <w:fldChar w:fldCharType="end"/>
            </w:r>
          </w:hyperlink>
        </w:p>
        <w:p w14:paraId="549718C1" w14:textId="485EBD72" w:rsidR="001D3A7C" w:rsidRDefault="00C43FB4" w:rsidP="001D3A7C">
          <w:pPr>
            <w:pStyle w:val="TDC2"/>
            <w:shd w:val="clear" w:color="auto" w:fill="auto"/>
            <w:rPr>
              <w:rFonts w:asciiTheme="minorHAnsi" w:eastAsiaTheme="minorEastAsia" w:hAnsiTheme="minorHAnsi" w:cstheme="minorBidi"/>
              <w:noProof/>
              <w:sz w:val="24"/>
            </w:rPr>
          </w:pPr>
          <w:hyperlink w:anchor="_Toc89017864" w:history="1">
            <w:r w:rsidR="001D3A7C" w:rsidRPr="005710F6">
              <w:rPr>
                <w:rStyle w:val="Hipervnculo"/>
                <w:noProof/>
              </w:rPr>
              <w:t xml:space="preserve">Alcance del principio de igualdad y no discriminación, carácter de </w:t>
            </w:r>
            <w:r w:rsidR="001D3A7C" w:rsidRPr="005710F6">
              <w:rPr>
                <w:rStyle w:val="Hipervnculo"/>
                <w:i/>
                <w:iCs/>
                <w:noProof/>
              </w:rPr>
              <w:t>jus cogens</w:t>
            </w:r>
            <w:r w:rsidR="001D3A7C">
              <w:rPr>
                <w:noProof/>
                <w:webHidden/>
              </w:rPr>
              <w:tab/>
            </w:r>
            <w:r w:rsidR="001D3A7C">
              <w:rPr>
                <w:noProof/>
                <w:webHidden/>
              </w:rPr>
              <w:fldChar w:fldCharType="begin"/>
            </w:r>
            <w:r w:rsidR="001D3A7C">
              <w:rPr>
                <w:noProof/>
                <w:webHidden/>
              </w:rPr>
              <w:instrText xml:space="preserve"> PAGEREF _Toc89017864 \h </w:instrText>
            </w:r>
            <w:r w:rsidR="001D3A7C">
              <w:rPr>
                <w:noProof/>
                <w:webHidden/>
              </w:rPr>
            </w:r>
            <w:r w:rsidR="001D3A7C">
              <w:rPr>
                <w:noProof/>
                <w:webHidden/>
              </w:rPr>
              <w:fldChar w:fldCharType="separate"/>
            </w:r>
            <w:r w:rsidR="001D3A7C">
              <w:rPr>
                <w:noProof/>
                <w:webHidden/>
              </w:rPr>
              <w:t>5</w:t>
            </w:r>
            <w:r w:rsidR="001D3A7C">
              <w:rPr>
                <w:noProof/>
                <w:webHidden/>
              </w:rPr>
              <w:fldChar w:fldCharType="end"/>
            </w:r>
          </w:hyperlink>
        </w:p>
        <w:p w14:paraId="439D7C9B" w14:textId="127835DF" w:rsidR="001D3A7C" w:rsidRDefault="00C43FB4" w:rsidP="001D3A7C">
          <w:pPr>
            <w:pStyle w:val="TDC2"/>
            <w:shd w:val="clear" w:color="auto" w:fill="auto"/>
            <w:rPr>
              <w:rFonts w:asciiTheme="minorHAnsi" w:eastAsiaTheme="minorEastAsia" w:hAnsiTheme="minorHAnsi" w:cstheme="minorBidi"/>
              <w:noProof/>
              <w:sz w:val="24"/>
            </w:rPr>
          </w:pPr>
          <w:hyperlink w:anchor="_Toc89017865" w:history="1">
            <w:r w:rsidR="001D3A7C" w:rsidRPr="005710F6">
              <w:rPr>
                <w:rStyle w:val="Hipervnculo"/>
                <w:noProof/>
              </w:rPr>
              <w:t>Diferencia entre art. 1.1 y art. 24 CADH</w:t>
            </w:r>
            <w:r w:rsidR="001D3A7C">
              <w:rPr>
                <w:noProof/>
                <w:webHidden/>
              </w:rPr>
              <w:tab/>
            </w:r>
            <w:r w:rsidR="001D3A7C">
              <w:rPr>
                <w:noProof/>
                <w:webHidden/>
              </w:rPr>
              <w:fldChar w:fldCharType="begin"/>
            </w:r>
            <w:r w:rsidR="001D3A7C">
              <w:rPr>
                <w:noProof/>
                <w:webHidden/>
              </w:rPr>
              <w:instrText xml:space="preserve"> PAGEREF _Toc89017865 \h </w:instrText>
            </w:r>
            <w:r w:rsidR="001D3A7C">
              <w:rPr>
                <w:noProof/>
                <w:webHidden/>
              </w:rPr>
            </w:r>
            <w:r w:rsidR="001D3A7C">
              <w:rPr>
                <w:noProof/>
                <w:webHidden/>
              </w:rPr>
              <w:fldChar w:fldCharType="separate"/>
            </w:r>
            <w:r w:rsidR="001D3A7C">
              <w:rPr>
                <w:noProof/>
                <w:webHidden/>
              </w:rPr>
              <w:t>15</w:t>
            </w:r>
            <w:r w:rsidR="001D3A7C">
              <w:rPr>
                <w:noProof/>
                <w:webHidden/>
              </w:rPr>
              <w:fldChar w:fldCharType="end"/>
            </w:r>
          </w:hyperlink>
        </w:p>
        <w:p w14:paraId="0BC20DA5" w14:textId="4F7C3107" w:rsidR="001D3A7C" w:rsidRDefault="00C43FB4" w:rsidP="001D3A7C">
          <w:pPr>
            <w:pStyle w:val="TDC2"/>
            <w:shd w:val="clear" w:color="auto" w:fill="auto"/>
            <w:rPr>
              <w:rFonts w:asciiTheme="minorHAnsi" w:eastAsiaTheme="minorEastAsia" w:hAnsiTheme="minorHAnsi" w:cstheme="minorBidi"/>
              <w:noProof/>
              <w:sz w:val="24"/>
            </w:rPr>
          </w:pPr>
          <w:hyperlink w:anchor="_Toc89017866" w:history="1">
            <w:r w:rsidR="001D3A7C" w:rsidRPr="005710F6">
              <w:rPr>
                <w:rStyle w:val="Hipervnculo"/>
                <w:noProof/>
              </w:rPr>
              <w:t>Distinción entre una diferencia objetiva y razonable, y la discriminación</w:t>
            </w:r>
            <w:r w:rsidR="001D3A7C">
              <w:rPr>
                <w:noProof/>
                <w:webHidden/>
              </w:rPr>
              <w:tab/>
            </w:r>
            <w:r w:rsidR="001D3A7C">
              <w:rPr>
                <w:noProof/>
                <w:webHidden/>
              </w:rPr>
              <w:fldChar w:fldCharType="begin"/>
            </w:r>
            <w:r w:rsidR="001D3A7C">
              <w:rPr>
                <w:noProof/>
                <w:webHidden/>
              </w:rPr>
              <w:instrText xml:space="preserve"> PAGEREF _Toc89017866 \h </w:instrText>
            </w:r>
            <w:r w:rsidR="001D3A7C">
              <w:rPr>
                <w:noProof/>
                <w:webHidden/>
              </w:rPr>
            </w:r>
            <w:r w:rsidR="001D3A7C">
              <w:rPr>
                <w:noProof/>
                <w:webHidden/>
              </w:rPr>
              <w:fldChar w:fldCharType="separate"/>
            </w:r>
            <w:r w:rsidR="001D3A7C">
              <w:rPr>
                <w:noProof/>
                <w:webHidden/>
              </w:rPr>
              <w:t>28</w:t>
            </w:r>
            <w:r w:rsidR="001D3A7C">
              <w:rPr>
                <w:noProof/>
                <w:webHidden/>
              </w:rPr>
              <w:fldChar w:fldCharType="end"/>
            </w:r>
          </w:hyperlink>
        </w:p>
        <w:p w14:paraId="2E92236C" w14:textId="0DD4EF25" w:rsidR="001D3A7C" w:rsidRDefault="00C43FB4" w:rsidP="001D3A7C">
          <w:pPr>
            <w:pStyle w:val="TDC2"/>
            <w:shd w:val="clear" w:color="auto" w:fill="auto"/>
            <w:rPr>
              <w:rFonts w:asciiTheme="minorHAnsi" w:eastAsiaTheme="minorEastAsia" w:hAnsiTheme="minorHAnsi" w:cstheme="minorBidi"/>
              <w:noProof/>
              <w:sz w:val="24"/>
            </w:rPr>
          </w:pPr>
          <w:hyperlink w:anchor="_Toc89017867" w:history="1">
            <w:r w:rsidR="001D3A7C" w:rsidRPr="005710F6">
              <w:rPr>
                <w:rStyle w:val="Hipervnculo"/>
                <w:noProof/>
              </w:rPr>
              <w:t>Categorías protegidas: inversión de la carga de la prueba y utilización de criterios concretos y no abstractos</w:t>
            </w:r>
            <w:r w:rsidR="001D3A7C">
              <w:rPr>
                <w:noProof/>
                <w:webHidden/>
              </w:rPr>
              <w:tab/>
            </w:r>
            <w:r w:rsidR="001D3A7C">
              <w:rPr>
                <w:noProof/>
                <w:webHidden/>
              </w:rPr>
              <w:fldChar w:fldCharType="begin"/>
            </w:r>
            <w:r w:rsidR="001D3A7C">
              <w:rPr>
                <w:noProof/>
                <w:webHidden/>
              </w:rPr>
              <w:instrText xml:space="preserve"> PAGEREF _Toc89017867 \h </w:instrText>
            </w:r>
            <w:r w:rsidR="001D3A7C">
              <w:rPr>
                <w:noProof/>
                <w:webHidden/>
              </w:rPr>
            </w:r>
            <w:r w:rsidR="001D3A7C">
              <w:rPr>
                <w:noProof/>
                <w:webHidden/>
              </w:rPr>
              <w:fldChar w:fldCharType="separate"/>
            </w:r>
            <w:r w:rsidR="001D3A7C">
              <w:rPr>
                <w:noProof/>
                <w:webHidden/>
              </w:rPr>
              <w:t>35</w:t>
            </w:r>
            <w:r w:rsidR="001D3A7C">
              <w:rPr>
                <w:noProof/>
                <w:webHidden/>
              </w:rPr>
              <w:fldChar w:fldCharType="end"/>
            </w:r>
          </w:hyperlink>
        </w:p>
        <w:p w14:paraId="3765ADB8" w14:textId="5697F633" w:rsidR="001D3A7C" w:rsidRDefault="00C43FB4" w:rsidP="001D3A7C">
          <w:pPr>
            <w:pStyle w:val="TDC2"/>
            <w:shd w:val="clear" w:color="auto" w:fill="auto"/>
            <w:rPr>
              <w:rFonts w:asciiTheme="minorHAnsi" w:eastAsiaTheme="minorEastAsia" w:hAnsiTheme="minorHAnsi" w:cstheme="minorBidi"/>
              <w:noProof/>
              <w:sz w:val="24"/>
            </w:rPr>
          </w:pPr>
          <w:hyperlink w:anchor="_Toc89017868" w:history="1">
            <w:r w:rsidR="001D3A7C" w:rsidRPr="005710F6">
              <w:rPr>
                <w:rStyle w:val="Hipervnculo"/>
                <w:noProof/>
              </w:rPr>
              <w:t>Prohibición del Estado de discriminar en forma directa e indirecta</w:t>
            </w:r>
            <w:r w:rsidR="001D3A7C">
              <w:rPr>
                <w:noProof/>
                <w:webHidden/>
              </w:rPr>
              <w:tab/>
            </w:r>
            <w:r w:rsidR="001D3A7C">
              <w:rPr>
                <w:noProof/>
                <w:webHidden/>
              </w:rPr>
              <w:fldChar w:fldCharType="begin"/>
            </w:r>
            <w:r w:rsidR="001D3A7C">
              <w:rPr>
                <w:noProof/>
                <w:webHidden/>
              </w:rPr>
              <w:instrText xml:space="preserve"> PAGEREF _Toc89017868 \h </w:instrText>
            </w:r>
            <w:r w:rsidR="001D3A7C">
              <w:rPr>
                <w:noProof/>
                <w:webHidden/>
              </w:rPr>
            </w:r>
            <w:r w:rsidR="001D3A7C">
              <w:rPr>
                <w:noProof/>
                <w:webHidden/>
              </w:rPr>
              <w:fldChar w:fldCharType="separate"/>
            </w:r>
            <w:r w:rsidR="001D3A7C">
              <w:rPr>
                <w:noProof/>
                <w:webHidden/>
              </w:rPr>
              <w:t>39</w:t>
            </w:r>
            <w:r w:rsidR="001D3A7C">
              <w:rPr>
                <w:noProof/>
                <w:webHidden/>
              </w:rPr>
              <w:fldChar w:fldCharType="end"/>
            </w:r>
          </w:hyperlink>
        </w:p>
        <w:p w14:paraId="52C62A42" w14:textId="6DE4BC69" w:rsidR="001D3A7C" w:rsidRDefault="00C43FB4" w:rsidP="001D3A7C">
          <w:pPr>
            <w:pStyle w:val="TDC2"/>
            <w:shd w:val="clear" w:color="auto" w:fill="auto"/>
            <w:rPr>
              <w:rFonts w:asciiTheme="minorHAnsi" w:eastAsiaTheme="minorEastAsia" w:hAnsiTheme="minorHAnsi" w:cstheme="minorBidi"/>
              <w:noProof/>
              <w:sz w:val="24"/>
            </w:rPr>
          </w:pPr>
          <w:hyperlink w:anchor="_Toc89017869" w:history="1">
            <w:r w:rsidR="001D3A7C" w:rsidRPr="005710F6">
              <w:rPr>
                <w:rStyle w:val="Hipervnculo"/>
                <w:noProof/>
              </w:rPr>
              <w:t>Discriminación estructural, múltiple e interseccional</w:t>
            </w:r>
            <w:r w:rsidR="001D3A7C">
              <w:rPr>
                <w:noProof/>
                <w:webHidden/>
              </w:rPr>
              <w:tab/>
            </w:r>
            <w:r w:rsidR="001D3A7C">
              <w:rPr>
                <w:noProof/>
                <w:webHidden/>
              </w:rPr>
              <w:fldChar w:fldCharType="begin"/>
            </w:r>
            <w:r w:rsidR="001D3A7C">
              <w:rPr>
                <w:noProof/>
                <w:webHidden/>
              </w:rPr>
              <w:instrText xml:space="preserve"> PAGEREF _Toc89017869 \h </w:instrText>
            </w:r>
            <w:r w:rsidR="001D3A7C">
              <w:rPr>
                <w:noProof/>
                <w:webHidden/>
              </w:rPr>
            </w:r>
            <w:r w:rsidR="001D3A7C">
              <w:rPr>
                <w:noProof/>
                <w:webHidden/>
              </w:rPr>
              <w:fldChar w:fldCharType="separate"/>
            </w:r>
            <w:r w:rsidR="001D3A7C">
              <w:rPr>
                <w:noProof/>
                <w:webHidden/>
              </w:rPr>
              <w:t>41</w:t>
            </w:r>
            <w:r w:rsidR="001D3A7C">
              <w:rPr>
                <w:noProof/>
                <w:webHidden/>
              </w:rPr>
              <w:fldChar w:fldCharType="end"/>
            </w:r>
          </w:hyperlink>
        </w:p>
        <w:p w14:paraId="17500B95" w14:textId="674CE655" w:rsidR="001D3A7C" w:rsidRDefault="00C43FB4" w:rsidP="001D3A7C">
          <w:pPr>
            <w:pStyle w:val="TDC1"/>
            <w:shd w:val="clear" w:color="auto" w:fill="auto"/>
            <w:tabs>
              <w:tab w:val="left" w:pos="720"/>
            </w:tabs>
            <w:rPr>
              <w:rFonts w:asciiTheme="minorHAnsi" w:eastAsiaTheme="minorEastAsia" w:hAnsiTheme="minorHAnsi" w:cstheme="minorBidi"/>
              <w:noProof/>
              <w:sz w:val="24"/>
            </w:rPr>
          </w:pPr>
          <w:hyperlink w:anchor="_Toc89017870" w:history="1">
            <w:r w:rsidR="001D3A7C" w:rsidRPr="005710F6">
              <w:rPr>
                <w:rStyle w:val="Hipervnculo"/>
                <w:noProof/>
              </w:rPr>
              <w:t xml:space="preserve">2. </w:t>
            </w:r>
            <w:r w:rsidR="001D3A7C">
              <w:rPr>
                <w:rFonts w:asciiTheme="minorHAnsi" w:eastAsiaTheme="minorEastAsia" w:hAnsiTheme="minorHAnsi" w:cstheme="minorBidi"/>
                <w:noProof/>
                <w:sz w:val="24"/>
              </w:rPr>
              <w:tab/>
            </w:r>
            <w:r w:rsidR="001D3A7C" w:rsidRPr="005710F6">
              <w:rPr>
                <w:rStyle w:val="Hipervnculo"/>
                <w:noProof/>
              </w:rPr>
              <w:t>Uso de las categorías protegidas</w:t>
            </w:r>
            <w:r w:rsidR="001D3A7C">
              <w:rPr>
                <w:noProof/>
                <w:webHidden/>
              </w:rPr>
              <w:tab/>
            </w:r>
            <w:r w:rsidR="001D3A7C">
              <w:rPr>
                <w:noProof/>
                <w:webHidden/>
              </w:rPr>
              <w:fldChar w:fldCharType="begin"/>
            </w:r>
            <w:r w:rsidR="001D3A7C">
              <w:rPr>
                <w:noProof/>
                <w:webHidden/>
              </w:rPr>
              <w:instrText xml:space="preserve"> PAGEREF _Toc89017870 \h </w:instrText>
            </w:r>
            <w:r w:rsidR="001D3A7C">
              <w:rPr>
                <w:noProof/>
                <w:webHidden/>
              </w:rPr>
            </w:r>
            <w:r w:rsidR="001D3A7C">
              <w:rPr>
                <w:noProof/>
                <w:webHidden/>
              </w:rPr>
              <w:fldChar w:fldCharType="separate"/>
            </w:r>
            <w:r w:rsidR="001D3A7C">
              <w:rPr>
                <w:noProof/>
                <w:webHidden/>
              </w:rPr>
              <w:t>50</w:t>
            </w:r>
            <w:r w:rsidR="001D3A7C">
              <w:rPr>
                <w:noProof/>
                <w:webHidden/>
              </w:rPr>
              <w:fldChar w:fldCharType="end"/>
            </w:r>
          </w:hyperlink>
        </w:p>
        <w:p w14:paraId="74D9124A" w14:textId="5BD5F86A" w:rsidR="001D3A7C" w:rsidRDefault="00C43FB4" w:rsidP="001D3A7C">
          <w:pPr>
            <w:pStyle w:val="TDC2"/>
            <w:shd w:val="clear" w:color="auto" w:fill="auto"/>
            <w:rPr>
              <w:rFonts w:asciiTheme="minorHAnsi" w:eastAsiaTheme="minorEastAsia" w:hAnsiTheme="minorHAnsi" w:cstheme="minorBidi"/>
              <w:noProof/>
              <w:sz w:val="24"/>
            </w:rPr>
          </w:pPr>
          <w:hyperlink w:anchor="_Toc89017871" w:history="1">
            <w:r w:rsidR="001D3A7C" w:rsidRPr="005710F6">
              <w:rPr>
                <w:rStyle w:val="Hipervnculo"/>
                <w:noProof/>
              </w:rPr>
              <w:t>Opinion políticas</w:t>
            </w:r>
            <w:r w:rsidR="001D3A7C">
              <w:rPr>
                <w:noProof/>
                <w:webHidden/>
              </w:rPr>
              <w:tab/>
            </w:r>
            <w:r w:rsidR="001D3A7C">
              <w:rPr>
                <w:noProof/>
                <w:webHidden/>
              </w:rPr>
              <w:fldChar w:fldCharType="begin"/>
            </w:r>
            <w:r w:rsidR="001D3A7C">
              <w:rPr>
                <w:noProof/>
                <w:webHidden/>
              </w:rPr>
              <w:instrText xml:space="preserve"> PAGEREF _Toc89017871 \h </w:instrText>
            </w:r>
            <w:r w:rsidR="001D3A7C">
              <w:rPr>
                <w:noProof/>
                <w:webHidden/>
              </w:rPr>
            </w:r>
            <w:r w:rsidR="001D3A7C">
              <w:rPr>
                <w:noProof/>
                <w:webHidden/>
              </w:rPr>
              <w:fldChar w:fldCharType="separate"/>
            </w:r>
            <w:r w:rsidR="001D3A7C">
              <w:rPr>
                <w:noProof/>
                <w:webHidden/>
              </w:rPr>
              <w:t>50</w:t>
            </w:r>
            <w:r w:rsidR="001D3A7C">
              <w:rPr>
                <w:noProof/>
                <w:webHidden/>
              </w:rPr>
              <w:fldChar w:fldCharType="end"/>
            </w:r>
          </w:hyperlink>
        </w:p>
        <w:p w14:paraId="469FA5CE" w14:textId="177C6B64" w:rsidR="001D3A7C" w:rsidRDefault="00C43FB4" w:rsidP="001D3A7C">
          <w:pPr>
            <w:pStyle w:val="TDC2"/>
            <w:shd w:val="clear" w:color="auto" w:fill="auto"/>
            <w:rPr>
              <w:rFonts w:asciiTheme="minorHAnsi" w:eastAsiaTheme="minorEastAsia" w:hAnsiTheme="minorHAnsi" w:cstheme="minorBidi"/>
              <w:noProof/>
              <w:sz w:val="24"/>
            </w:rPr>
          </w:pPr>
          <w:hyperlink w:anchor="_Toc89017872" w:history="1">
            <w:r w:rsidR="001D3A7C" w:rsidRPr="005710F6">
              <w:rPr>
                <w:rStyle w:val="Hipervnculo"/>
                <w:noProof/>
              </w:rPr>
              <w:t>Condición de salud (personas con VIH)</w:t>
            </w:r>
            <w:r w:rsidR="001D3A7C">
              <w:rPr>
                <w:noProof/>
                <w:webHidden/>
              </w:rPr>
              <w:tab/>
            </w:r>
            <w:r w:rsidR="001D3A7C">
              <w:rPr>
                <w:noProof/>
                <w:webHidden/>
              </w:rPr>
              <w:fldChar w:fldCharType="begin"/>
            </w:r>
            <w:r w:rsidR="001D3A7C">
              <w:rPr>
                <w:noProof/>
                <w:webHidden/>
              </w:rPr>
              <w:instrText xml:space="preserve"> PAGEREF _Toc89017872 \h </w:instrText>
            </w:r>
            <w:r w:rsidR="001D3A7C">
              <w:rPr>
                <w:noProof/>
                <w:webHidden/>
              </w:rPr>
            </w:r>
            <w:r w:rsidR="001D3A7C">
              <w:rPr>
                <w:noProof/>
                <w:webHidden/>
              </w:rPr>
              <w:fldChar w:fldCharType="separate"/>
            </w:r>
            <w:r w:rsidR="001D3A7C">
              <w:rPr>
                <w:noProof/>
                <w:webHidden/>
              </w:rPr>
              <w:t>55</w:t>
            </w:r>
            <w:r w:rsidR="001D3A7C">
              <w:rPr>
                <w:noProof/>
                <w:webHidden/>
              </w:rPr>
              <w:fldChar w:fldCharType="end"/>
            </w:r>
          </w:hyperlink>
        </w:p>
        <w:p w14:paraId="75A8B2AA" w14:textId="1D56D812" w:rsidR="001D3A7C" w:rsidRDefault="00C43FB4" w:rsidP="001D3A7C">
          <w:pPr>
            <w:pStyle w:val="TDC2"/>
            <w:shd w:val="clear" w:color="auto" w:fill="auto"/>
            <w:rPr>
              <w:rFonts w:asciiTheme="minorHAnsi" w:eastAsiaTheme="minorEastAsia" w:hAnsiTheme="minorHAnsi" w:cstheme="minorBidi"/>
              <w:noProof/>
              <w:sz w:val="24"/>
            </w:rPr>
          </w:pPr>
          <w:hyperlink w:anchor="_Toc89017873" w:history="1">
            <w:r w:rsidR="001D3A7C" w:rsidRPr="005710F6">
              <w:rPr>
                <w:rStyle w:val="Hipervnculo"/>
                <w:noProof/>
              </w:rPr>
              <w:t>Origen étnico</w:t>
            </w:r>
            <w:r w:rsidR="001D3A7C">
              <w:rPr>
                <w:noProof/>
                <w:webHidden/>
              </w:rPr>
              <w:tab/>
            </w:r>
            <w:r w:rsidR="001D3A7C">
              <w:rPr>
                <w:noProof/>
                <w:webHidden/>
              </w:rPr>
              <w:fldChar w:fldCharType="begin"/>
            </w:r>
            <w:r w:rsidR="001D3A7C">
              <w:rPr>
                <w:noProof/>
                <w:webHidden/>
              </w:rPr>
              <w:instrText xml:space="preserve"> PAGEREF _Toc89017873 \h </w:instrText>
            </w:r>
            <w:r w:rsidR="001D3A7C">
              <w:rPr>
                <w:noProof/>
                <w:webHidden/>
              </w:rPr>
            </w:r>
            <w:r w:rsidR="001D3A7C">
              <w:rPr>
                <w:noProof/>
                <w:webHidden/>
              </w:rPr>
              <w:fldChar w:fldCharType="separate"/>
            </w:r>
            <w:r w:rsidR="001D3A7C">
              <w:rPr>
                <w:noProof/>
                <w:webHidden/>
              </w:rPr>
              <w:t>57</w:t>
            </w:r>
            <w:r w:rsidR="001D3A7C">
              <w:rPr>
                <w:noProof/>
                <w:webHidden/>
              </w:rPr>
              <w:fldChar w:fldCharType="end"/>
            </w:r>
          </w:hyperlink>
        </w:p>
        <w:p w14:paraId="63DB1400" w14:textId="5F2C44E2" w:rsidR="001D3A7C" w:rsidRDefault="00C43FB4" w:rsidP="001D3A7C">
          <w:pPr>
            <w:pStyle w:val="TDC2"/>
            <w:shd w:val="clear" w:color="auto" w:fill="auto"/>
            <w:rPr>
              <w:rFonts w:asciiTheme="minorHAnsi" w:eastAsiaTheme="minorEastAsia" w:hAnsiTheme="minorHAnsi" w:cstheme="minorBidi"/>
              <w:noProof/>
              <w:sz w:val="24"/>
            </w:rPr>
          </w:pPr>
          <w:hyperlink w:anchor="_Toc89017874" w:history="1">
            <w:r w:rsidR="001D3A7C" w:rsidRPr="005710F6">
              <w:rPr>
                <w:rStyle w:val="Hipervnculo"/>
                <w:noProof/>
              </w:rPr>
              <w:t>Orientación sexual e Identidad de Género</w:t>
            </w:r>
            <w:r w:rsidR="001D3A7C">
              <w:rPr>
                <w:noProof/>
                <w:webHidden/>
              </w:rPr>
              <w:tab/>
            </w:r>
            <w:r w:rsidR="001D3A7C">
              <w:rPr>
                <w:noProof/>
                <w:webHidden/>
              </w:rPr>
              <w:fldChar w:fldCharType="begin"/>
            </w:r>
            <w:r w:rsidR="001D3A7C">
              <w:rPr>
                <w:noProof/>
                <w:webHidden/>
              </w:rPr>
              <w:instrText xml:space="preserve"> PAGEREF _Toc89017874 \h </w:instrText>
            </w:r>
            <w:r w:rsidR="001D3A7C">
              <w:rPr>
                <w:noProof/>
                <w:webHidden/>
              </w:rPr>
            </w:r>
            <w:r w:rsidR="001D3A7C">
              <w:rPr>
                <w:noProof/>
                <w:webHidden/>
              </w:rPr>
              <w:fldChar w:fldCharType="separate"/>
            </w:r>
            <w:r w:rsidR="001D3A7C">
              <w:rPr>
                <w:noProof/>
                <w:webHidden/>
              </w:rPr>
              <w:t>58</w:t>
            </w:r>
            <w:r w:rsidR="001D3A7C">
              <w:rPr>
                <w:noProof/>
                <w:webHidden/>
              </w:rPr>
              <w:fldChar w:fldCharType="end"/>
            </w:r>
          </w:hyperlink>
        </w:p>
        <w:p w14:paraId="669B21BC" w14:textId="5E84563C" w:rsidR="001D3A7C" w:rsidRDefault="00C43FB4" w:rsidP="001D3A7C">
          <w:pPr>
            <w:pStyle w:val="TDC2"/>
            <w:shd w:val="clear" w:color="auto" w:fill="auto"/>
            <w:rPr>
              <w:rFonts w:asciiTheme="minorHAnsi" w:eastAsiaTheme="minorEastAsia" w:hAnsiTheme="minorHAnsi" w:cstheme="minorBidi"/>
              <w:noProof/>
              <w:sz w:val="24"/>
            </w:rPr>
          </w:pPr>
          <w:hyperlink w:anchor="_Toc89017875" w:history="1">
            <w:r w:rsidR="001D3A7C" w:rsidRPr="005710F6">
              <w:rPr>
                <w:rStyle w:val="Hipervnculo"/>
                <w:noProof/>
              </w:rPr>
              <w:t>Posición económica (pobreza)</w:t>
            </w:r>
            <w:r w:rsidR="001D3A7C">
              <w:rPr>
                <w:noProof/>
                <w:webHidden/>
              </w:rPr>
              <w:tab/>
            </w:r>
            <w:r w:rsidR="001D3A7C">
              <w:rPr>
                <w:noProof/>
                <w:webHidden/>
              </w:rPr>
              <w:fldChar w:fldCharType="begin"/>
            </w:r>
            <w:r w:rsidR="001D3A7C">
              <w:rPr>
                <w:noProof/>
                <w:webHidden/>
              </w:rPr>
              <w:instrText xml:space="preserve"> PAGEREF _Toc89017875 \h </w:instrText>
            </w:r>
            <w:r w:rsidR="001D3A7C">
              <w:rPr>
                <w:noProof/>
                <w:webHidden/>
              </w:rPr>
            </w:r>
            <w:r w:rsidR="001D3A7C">
              <w:rPr>
                <w:noProof/>
                <w:webHidden/>
              </w:rPr>
              <w:fldChar w:fldCharType="separate"/>
            </w:r>
            <w:r w:rsidR="001D3A7C">
              <w:rPr>
                <w:noProof/>
                <w:webHidden/>
              </w:rPr>
              <w:t>72</w:t>
            </w:r>
            <w:r w:rsidR="001D3A7C">
              <w:rPr>
                <w:noProof/>
                <w:webHidden/>
              </w:rPr>
              <w:fldChar w:fldCharType="end"/>
            </w:r>
          </w:hyperlink>
        </w:p>
        <w:p w14:paraId="686A0C0D" w14:textId="427ACB56" w:rsidR="001D3A7C" w:rsidRDefault="00C43FB4" w:rsidP="001D3A7C">
          <w:pPr>
            <w:pStyle w:val="TDC2"/>
            <w:shd w:val="clear" w:color="auto" w:fill="auto"/>
            <w:rPr>
              <w:rFonts w:asciiTheme="minorHAnsi" w:eastAsiaTheme="minorEastAsia" w:hAnsiTheme="minorHAnsi" w:cstheme="minorBidi"/>
              <w:noProof/>
              <w:sz w:val="24"/>
            </w:rPr>
          </w:pPr>
          <w:hyperlink w:anchor="_Toc89017876" w:history="1">
            <w:r w:rsidR="001D3A7C" w:rsidRPr="005710F6">
              <w:rPr>
                <w:rStyle w:val="Hipervnculo"/>
                <w:noProof/>
              </w:rPr>
              <w:t>Séxo y género</w:t>
            </w:r>
            <w:r w:rsidR="001D3A7C">
              <w:rPr>
                <w:noProof/>
                <w:webHidden/>
              </w:rPr>
              <w:tab/>
            </w:r>
            <w:r w:rsidR="001D3A7C">
              <w:rPr>
                <w:noProof/>
                <w:webHidden/>
              </w:rPr>
              <w:fldChar w:fldCharType="begin"/>
            </w:r>
            <w:r w:rsidR="001D3A7C">
              <w:rPr>
                <w:noProof/>
                <w:webHidden/>
              </w:rPr>
              <w:instrText xml:space="preserve"> PAGEREF _Toc89017876 \h </w:instrText>
            </w:r>
            <w:r w:rsidR="001D3A7C">
              <w:rPr>
                <w:noProof/>
                <w:webHidden/>
              </w:rPr>
            </w:r>
            <w:r w:rsidR="001D3A7C">
              <w:rPr>
                <w:noProof/>
                <w:webHidden/>
              </w:rPr>
              <w:fldChar w:fldCharType="separate"/>
            </w:r>
            <w:r w:rsidR="001D3A7C">
              <w:rPr>
                <w:noProof/>
                <w:webHidden/>
              </w:rPr>
              <w:t>84</w:t>
            </w:r>
            <w:r w:rsidR="001D3A7C">
              <w:rPr>
                <w:noProof/>
                <w:webHidden/>
              </w:rPr>
              <w:fldChar w:fldCharType="end"/>
            </w:r>
          </w:hyperlink>
        </w:p>
        <w:p w14:paraId="475D37FF" w14:textId="5819F294" w:rsidR="001D3A7C" w:rsidRDefault="00C43FB4" w:rsidP="001D3A7C">
          <w:pPr>
            <w:pStyle w:val="TDC2"/>
            <w:shd w:val="clear" w:color="auto" w:fill="auto"/>
            <w:rPr>
              <w:rFonts w:asciiTheme="minorHAnsi" w:eastAsiaTheme="minorEastAsia" w:hAnsiTheme="minorHAnsi" w:cstheme="minorBidi"/>
              <w:noProof/>
              <w:sz w:val="24"/>
            </w:rPr>
          </w:pPr>
          <w:hyperlink w:anchor="_Toc89017877" w:history="1">
            <w:r w:rsidR="001D3A7C" w:rsidRPr="005710F6">
              <w:rPr>
                <w:rStyle w:val="Hipervnculo"/>
                <w:noProof/>
              </w:rPr>
              <w:t>Personas Mayores</w:t>
            </w:r>
            <w:r w:rsidR="001D3A7C">
              <w:rPr>
                <w:noProof/>
                <w:webHidden/>
              </w:rPr>
              <w:tab/>
            </w:r>
            <w:r w:rsidR="001D3A7C">
              <w:rPr>
                <w:noProof/>
                <w:webHidden/>
              </w:rPr>
              <w:fldChar w:fldCharType="begin"/>
            </w:r>
            <w:r w:rsidR="001D3A7C">
              <w:rPr>
                <w:noProof/>
                <w:webHidden/>
              </w:rPr>
              <w:instrText xml:space="preserve"> PAGEREF _Toc89017877 \h </w:instrText>
            </w:r>
            <w:r w:rsidR="001D3A7C">
              <w:rPr>
                <w:noProof/>
                <w:webHidden/>
              </w:rPr>
            </w:r>
            <w:r w:rsidR="001D3A7C">
              <w:rPr>
                <w:noProof/>
                <w:webHidden/>
              </w:rPr>
              <w:fldChar w:fldCharType="separate"/>
            </w:r>
            <w:r w:rsidR="001D3A7C">
              <w:rPr>
                <w:noProof/>
                <w:webHidden/>
              </w:rPr>
              <w:t>90</w:t>
            </w:r>
            <w:r w:rsidR="001D3A7C">
              <w:rPr>
                <w:noProof/>
                <w:webHidden/>
              </w:rPr>
              <w:fldChar w:fldCharType="end"/>
            </w:r>
          </w:hyperlink>
        </w:p>
        <w:p w14:paraId="5E3A1357" w14:textId="08CE728A" w:rsidR="001D3A7C" w:rsidRDefault="00C43FB4" w:rsidP="001D3A7C">
          <w:pPr>
            <w:pStyle w:val="TDC2"/>
            <w:shd w:val="clear" w:color="auto" w:fill="auto"/>
            <w:rPr>
              <w:rFonts w:asciiTheme="minorHAnsi" w:eastAsiaTheme="minorEastAsia" w:hAnsiTheme="minorHAnsi" w:cstheme="minorBidi"/>
              <w:noProof/>
              <w:sz w:val="24"/>
            </w:rPr>
          </w:pPr>
          <w:hyperlink w:anchor="_Toc89017878" w:history="1">
            <w:r w:rsidR="001D3A7C" w:rsidRPr="005710F6">
              <w:rPr>
                <w:rStyle w:val="Hipervnculo"/>
                <w:rFonts w:eastAsia="Calibri"/>
                <w:noProof/>
              </w:rPr>
              <w:t>Edad (Niños, Niñas y Adolescentes)</w:t>
            </w:r>
            <w:r w:rsidR="001D3A7C">
              <w:rPr>
                <w:noProof/>
                <w:webHidden/>
              </w:rPr>
              <w:tab/>
            </w:r>
            <w:r w:rsidR="001D3A7C">
              <w:rPr>
                <w:noProof/>
                <w:webHidden/>
              </w:rPr>
              <w:fldChar w:fldCharType="begin"/>
            </w:r>
            <w:r w:rsidR="001D3A7C">
              <w:rPr>
                <w:noProof/>
                <w:webHidden/>
              </w:rPr>
              <w:instrText xml:space="preserve"> PAGEREF _Toc89017878 \h </w:instrText>
            </w:r>
            <w:r w:rsidR="001D3A7C">
              <w:rPr>
                <w:noProof/>
                <w:webHidden/>
              </w:rPr>
            </w:r>
            <w:r w:rsidR="001D3A7C">
              <w:rPr>
                <w:noProof/>
                <w:webHidden/>
              </w:rPr>
              <w:fldChar w:fldCharType="separate"/>
            </w:r>
            <w:r w:rsidR="001D3A7C">
              <w:rPr>
                <w:noProof/>
                <w:webHidden/>
              </w:rPr>
              <w:t>93</w:t>
            </w:r>
            <w:r w:rsidR="001D3A7C">
              <w:rPr>
                <w:noProof/>
                <w:webHidden/>
              </w:rPr>
              <w:fldChar w:fldCharType="end"/>
            </w:r>
          </w:hyperlink>
        </w:p>
        <w:p w14:paraId="7504EB69" w14:textId="43B11CA6" w:rsidR="001D3A7C" w:rsidRDefault="00C43FB4" w:rsidP="001D3A7C">
          <w:pPr>
            <w:pStyle w:val="TDC2"/>
            <w:shd w:val="clear" w:color="auto" w:fill="auto"/>
            <w:rPr>
              <w:rFonts w:asciiTheme="minorHAnsi" w:eastAsiaTheme="minorEastAsia" w:hAnsiTheme="minorHAnsi" w:cstheme="minorBidi"/>
              <w:noProof/>
              <w:sz w:val="24"/>
            </w:rPr>
          </w:pPr>
          <w:hyperlink w:anchor="_Toc89017879" w:history="1">
            <w:r w:rsidR="001D3A7C" w:rsidRPr="005710F6">
              <w:rPr>
                <w:rStyle w:val="Hipervnculo"/>
                <w:rFonts w:eastAsia="Calibri"/>
                <w:noProof/>
              </w:rPr>
              <w:t>Discapacidad</w:t>
            </w:r>
            <w:r w:rsidR="001D3A7C">
              <w:rPr>
                <w:noProof/>
                <w:webHidden/>
              </w:rPr>
              <w:tab/>
            </w:r>
            <w:r w:rsidR="001D3A7C">
              <w:rPr>
                <w:noProof/>
                <w:webHidden/>
              </w:rPr>
              <w:fldChar w:fldCharType="begin"/>
            </w:r>
            <w:r w:rsidR="001D3A7C">
              <w:rPr>
                <w:noProof/>
                <w:webHidden/>
              </w:rPr>
              <w:instrText xml:space="preserve"> PAGEREF _Toc89017879 \h </w:instrText>
            </w:r>
            <w:r w:rsidR="001D3A7C">
              <w:rPr>
                <w:noProof/>
                <w:webHidden/>
              </w:rPr>
            </w:r>
            <w:r w:rsidR="001D3A7C">
              <w:rPr>
                <w:noProof/>
                <w:webHidden/>
              </w:rPr>
              <w:fldChar w:fldCharType="separate"/>
            </w:r>
            <w:r w:rsidR="001D3A7C">
              <w:rPr>
                <w:noProof/>
                <w:webHidden/>
              </w:rPr>
              <w:t>93</w:t>
            </w:r>
            <w:r w:rsidR="001D3A7C">
              <w:rPr>
                <w:noProof/>
                <w:webHidden/>
              </w:rPr>
              <w:fldChar w:fldCharType="end"/>
            </w:r>
          </w:hyperlink>
        </w:p>
        <w:p w14:paraId="58C8102E" w14:textId="6E32A072" w:rsidR="001D3A7C" w:rsidRDefault="00C43FB4" w:rsidP="001D3A7C">
          <w:pPr>
            <w:pStyle w:val="TDC1"/>
            <w:shd w:val="clear" w:color="auto" w:fill="auto"/>
            <w:tabs>
              <w:tab w:val="left" w:pos="720"/>
            </w:tabs>
            <w:rPr>
              <w:rFonts w:asciiTheme="minorHAnsi" w:eastAsiaTheme="minorEastAsia" w:hAnsiTheme="minorHAnsi" w:cstheme="minorBidi"/>
              <w:noProof/>
              <w:sz w:val="24"/>
            </w:rPr>
          </w:pPr>
          <w:hyperlink w:anchor="_Toc89017880" w:history="1">
            <w:r w:rsidR="001D3A7C" w:rsidRPr="005710F6">
              <w:rPr>
                <w:rStyle w:val="Hipervnculo"/>
                <w:noProof/>
              </w:rPr>
              <w:t>3.</w:t>
            </w:r>
            <w:r w:rsidR="001D3A7C">
              <w:rPr>
                <w:rFonts w:asciiTheme="minorHAnsi" w:eastAsiaTheme="minorEastAsia" w:hAnsiTheme="minorHAnsi" w:cstheme="minorBidi"/>
                <w:noProof/>
                <w:sz w:val="24"/>
              </w:rPr>
              <w:tab/>
            </w:r>
            <w:r w:rsidR="001D3A7C" w:rsidRPr="005710F6">
              <w:rPr>
                <w:rStyle w:val="Hipervnculo"/>
                <w:noProof/>
              </w:rPr>
              <w:t>La utilización de estereotipos como forma de discriminación</w:t>
            </w:r>
            <w:r w:rsidR="001D3A7C">
              <w:rPr>
                <w:noProof/>
                <w:webHidden/>
              </w:rPr>
              <w:tab/>
            </w:r>
            <w:r w:rsidR="001D3A7C">
              <w:rPr>
                <w:noProof/>
                <w:webHidden/>
              </w:rPr>
              <w:fldChar w:fldCharType="begin"/>
            </w:r>
            <w:r w:rsidR="001D3A7C">
              <w:rPr>
                <w:noProof/>
                <w:webHidden/>
              </w:rPr>
              <w:instrText xml:space="preserve"> PAGEREF _Toc89017880 \h </w:instrText>
            </w:r>
            <w:r w:rsidR="001D3A7C">
              <w:rPr>
                <w:noProof/>
                <w:webHidden/>
              </w:rPr>
            </w:r>
            <w:r w:rsidR="001D3A7C">
              <w:rPr>
                <w:noProof/>
                <w:webHidden/>
              </w:rPr>
              <w:fldChar w:fldCharType="separate"/>
            </w:r>
            <w:r w:rsidR="001D3A7C">
              <w:rPr>
                <w:noProof/>
                <w:webHidden/>
              </w:rPr>
              <w:t>96</w:t>
            </w:r>
            <w:r w:rsidR="001D3A7C">
              <w:rPr>
                <w:noProof/>
                <w:webHidden/>
              </w:rPr>
              <w:fldChar w:fldCharType="end"/>
            </w:r>
          </w:hyperlink>
        </w:p>
        <w:p w14:paraId="0E21AA6D" w14:textId="33610ED4" w:rsidR="001D3A7C" w:rsidRDefault="00C43FB4" w:rsidP="001D3A7C">
          <w:pPr>
            <w:pStyle w:val="TDC2"/>
            <w:shd w:val="clear" w:color="auto" w:fill="auto"/>
            <w:rPr>
              <w:rFonts w:asciiTheme="minorHAnsi" w:eastAsiaTheme="minorEastAsia" w:hAnsiTheme="minorHAnsi" w:cstheme="minorBidi"/>
              <w:noProof/>
              <w:sz w:val="24"/>
            </w:rPr>
          </w:pPr>
          <w:hyperlink w:anchor="_Toc89017881" w:history="1">
            <w:r w:rsidR="001D3A7C" w:rsidRPr="005710F6">
              <w:rPr>
                <w:rStyle w:val="Hipervnculo"/>
                <w:noProof/>
              </w:rPr>
              <w:t>Aplicación de estereotipos de género en forma genérica y en las investigaciones</w:t>
            </w:r>
            <w:r w:rsidR="001D3A7C">
              <w:rPr>
                <w:noProof/>
                <w:webHidden/>
              </w:rPr>
              <w:tab/>
            </w:r>
            <w:r w:rsidR="001D3A7C">
              <w:rPr>
                <w:noProof/>
                <w:webHidden/>
              </w:rPr>
              <w:fldChar w:fldCharType="begin"/>
            </w:r>
            <w:r w:rsidR="001D3A7C">
              <w:rPr>
                <w:noProof/>
                <w:webHidden/>
              </w:rPr>
              <w:instrText xml:space="preserve"> PAGEREF _Toc89017881 \h </w:instrText>
            </w:r>
            <w:r w:rsidR="001D3A7C">
              <w:rPr>
                <w:noProof/>
                <w:webHidden/>
              </w:rPr>
            </w:r>
            <w:r w:rsidR="001D3A7C">
              <w:rPr>
                <w:noProof/>
                <w:webHidden/>
              </w:rPr>
              <w:fldChar w:fldCharType="separate"/>
            </w:r>
            <w:r w:rsidR="001D3A7C">
              <w:rPr>
                <w:noProof/>
                <w:webHidden/>
              </w:rPr>
              <w:t>96</w:t>
            </w:r>
            <w:r w:rsidR="001D3A7C">
              <w:rPr>
                <w:noProof/>
                <w:webHidden/>
              </w:rPr>
              <w:fldChar w:fldCharType="end"/>
            </w:r>
          </w:hyperlink>
        </w:p>
        <w:p w14:paraId="3C93D8C9" w14:textId="7C0E2A6C" w:rsidR="001D3A7C" w:rsidRDefault="00C43FB4" w:rsidP="001D3A7C">
          <w:pPr>
            <w:pStyle w:val="TDC2"/>
            <w:shd w:val="clear" w:color="auto" w:fill="auto"/>
            <w:rPr>
              <w:rFonts w:asciiTheme="minorHAnsi" w:eastAsiaTheme="minorEastAsia" w:hAnsiTheme="minorHAnsi" w:cstheme="minorBidi"/>
              <w:noProof/>
              <w:sz w:val="24"/>
            </w:rPr>
          </w:pPr>
          <w:hyperlink w:anchor="_Toc89017882" w:history="1">
            <w:r w:rsidR="001D3A7C" w:rsidRPr="005710F6">
              <w:rPr>
                <w:rStyle w:val="Hipervnculo"/>
                <w:noProof/>
              </w:rPr>
              <w:t>Aplicación de estereotipos en las resoluciones judiciales</w:t>
            </w:r>
            <w:r w:rsidR="001D3A7C">
              <w:rPr>
                <w:noProof/>
                <w:webHidden/>
              </w:rPr>
              <w:tab/>
            </w:r>
            <w:r w:rsidR="001D3A7C">
              <w:rPr>
                <w:noProof/>
                <w:webHidden/>
              </w:rPr>
              <w:fldChar w:fldCharType="begin"/>
            </w:r>
            <w:r w:rsidR="001D3A7C">
              <w:rPr>
                <w:noProof/>
                <w:webHidden/>
              </w:rPr>
              <w:instrText xml:space="preserve"> PAGEREF _Toc89017882 \h </w:instrText>
            </w:r>
            <w:r w:rsidR="001D3A7C">
              <w:rPr>
                <w:noProof/>
                <w:webHidden/>
              </w:rPr>
            </w:r>
            <w:r w:rsidR="001D3A7C">
              <w:rPr>
                <w:noProof/>
                <w:webHidden/>
              </w:rPr>
              <w:fldChar w:fldCharType="separate"/>
            </w:r>
            <w:r w:rsidR="001D3A7C">
              <w:rPr>
                <w:noProof/>
                <w:webHidden/>
              </w:rPr>
              <w:t>103</w:t>
            </w:r>
            <w:r w:rsidR="001D3A7C">
              <w:rPr>
                <w:noProof/>
                <w:webHidden/>
              </w:rPr>
              <w:fldChar w:fldCharType="end"/>
            </w:r>
          </w:hyperlink>
        </w:p>
        <w:p w14:paraId="0EF071E9" w14:textId="37205D3B" w:rsidR="001D3A7C" w:rsidRDefault="00C43FB4" w:rsidP="001D3A7C">
          <w:pPr>
            <w:pStyle w:val="TDC1"/>
            <w:shd w:val="clear" w:color="auto" w:fill="auto"/>
            <w:tabs>
              <w:tab w:val="left" w:pos="720"/>
            </w:tabs>
            <w:rPr>
              <w:rFonts w:asciiTheme="minorHAnsi" w:eastAsiaTheme="minorEastAsia" w:hAnsiTheme="minorHAnsi" w:cstheme="minorBidi"/>
              <w:noProof/>
              <w:sz w:val="24"/>
            </w:rPr>
          </w:pPr>
          <w:hyperlink w:anchor="_Toc89017883" w:history="1">
            <w:r w:rsidR="001D3A7C" w:rsidRPr="005710F6">
              <w:rPr>
                <w:rStyle w:val="Hipervnculo"/>
                <w:noProof/>
              </w:rPr>
              <w:t xml:space="preserve">4. </w:t>
            </w:r>
            <w:r w:rsidR="001D3A7C">
              <w:rPr>
                <w:rFonts w:asciiTheme="minorHAnsi" w:eastAsiaTheme="minorEastAsia" w:hAnsiTheme="minorHAnsi" w:cstheme="minorBidi"/>
                <w:noProof/>
                <w:sz w:val="24"/>
              </w:rPr>
              <w:tab/>
            </w:r>
            <w:r w:rsidR="001D3A7C" w:rsidRPr="005710F6">
              <w:rPr>
                <w:rStyle w:val="Hipervnculo"/>
                <w:noProof/>
              </w:rPr>
              <w:t>Grupos en situación de discriminación</w:t>
            </w:r>
            <w:r w:rsidR="001D3A7C">
              <w:rPr>
                <w:noProof/>
                <w:webHidden/>
              </w:rPr>
              <w:tab/>
            </w:r>
            <w:r w:rsidR="001D3A7C">
              <w:rPr>
                <w:noProof/>
                <w:webHidden/>
              </w:rPr>
              <w:fldChar w:fldCharType="begin"/>
            </w:r>
            <w:r w:rsidR="001D3A7C">
              <w:rPr>
                <w:noProof/>
                <w:webHidden/>
              </w:rPr>
              <w:instrText xml:space="preserve"> PAGEREF _Toc89017883 \h </w:instrText>
            </w:r>
            <w:r w:rsidR="001D3A7C">
              <w:rPr>
                <w:noProof/>
                <w:webHidden/>
              </w:rPr>
            </w:r>
            <w:r w:rsidR="001D3A7C">
              <w:rPr>
                <w:noProof/>
                <w:webHidden/>
              </w:rPr>
              <w:fldChar w:fldCharType="separate"/>
            </w:r>
            <w:r w:rsidR="001D3A7C">
              <w:rPr>
                <w:noProof/>
                <w:webHidden/>
              </w:rPr>
              <w:t>113</w:t>
            </w:r>
            <w:r w:rsidR="001D3A7C">
              <w:rPr>
                <w:noProof/>
                <w:webHidden/>
              </w:rPr>
              <w:fldChar w:fldCharType="end"/>
            </w:r>
          </w:hyperlink>
        </w:p>
        <w:p w14:paraId="394EB7C9" w14:textId="5B55E19E" w:rsidR="001D3A7C" w:rsidRDefault="00C43FB4" w:rsidP="001D3A7C">
          <w:pPr>
            <w:pStyle w:val="TDC2"/>
            <w:shd w:val="clear" w:color="auto" w:fill="auto"/>
            <w:rPr>
              <w:rFonts w:asciiTheme="minorHAnsi" w:eastAsiaTheme="minorEastAsia" w:hAnsiTheme="minorHAnsi" w:cstheme="minorBidi"/>
              <w:noProof/>
              <w:sz w:val="24"/>
            </w:rPr>
          </w:pPr>
          <w:hyperlink w:anchor="_Toc89017884" w:history="1">
            <w:r w:rsidR="001D3A7C" w:rsidRPr="005710F6">
              <w:rPr>
                <w:rStyle w:val="Hipervnculo"/>
                <w:noProof/>
              </w:rPr>
              <w:t>Afectaciones particulares a personas en situación de discapacidad</w:t>
            </w:r>
            <w:r w:rsidR="001D3A7C">
              <w:rPr>
                <w:noProof/>
                <w:webHidden/>
              </w:rPr>
              <w:tab/>
            </w:r>
            <w:r w:rsidR="001D3A7C">
              <w:rPr>
                <w:noProof/>
                <w:webHidden/>
              </w:rPr>
              <w:fldChar w:fldCharType="begin"/>
            </w:r>
            <w:r w:rsidR="001D3A7C">
              <w:rPr>
                <w:noProof/>
                <w:webHidden/>
              </w:rPr>
              <w:instrText xml:space="preserve"> PAGEREF _Toc89017884 \h </w:instrText>
            </w:r>
            <w:r w:rsidR="001D3A7C">
              <w:rPr>
                <w:noProof/>
                <w:webHidden/>
              </w:rPr>
            </w:r>
            <w:r w:rsidR="001D3A7C">
              <w:rPr>
                <w:noProof/>
                <w:webHidden/>
              </w:rPr>
              <w:fldChar w:fldCharType="separate"/>
            </w:r>
            <w:r w:rsidR="001D3A7C">
              <w:rPr>
                <w:noProof/>
                <w:webHidden/>
              </w:rPr>
              <w:t>113</w:t>
            </w:r>
            <w:r w:rsidR="001D3A7C">
              <w:rPr>
                <w:noProof/>
                <w:webHidden/>
              </w:rPr>
              <w:fldChar w:fldCharType="end"/>
            </w:r>
          </w:hyperlink>
        </w:p>
        <w:p w14:paraId="1BED6014" w14:textId="02A4567F" w:rsidR="001D3A7C" w:rsidRDefault="00C43FB4" w:rsidP="001D3A7C">
          <w:pPr>
            <w:pStyle w:val="TDC2"/>
            <w:shd w:val="clear" w:color="auto" w:fill="auto"/>
            <w:rPr>
              <w:rFonts w:asciiTheme="minorHAnsi" w:eastAsiaTheme="minorEastAsia" w:hAnsiTheme="minorHAnsi" w:cstheme="minorBidi"/>
              <w:noProof/>
              <w:sz w:val="24"/>
            </w:rPr>
          </w:pPr>
          <w:hyperlink w:anchor="_Toc89017885" w:history="1">
            <w:r w:rsidR="001D3A7C" w:rsidRPr="005710F6">
              <w:rPr>
                <w:rStyle w:val="Hipervnculo"/>
                <w:noProof/>
              </w:rPr>
              <w:t>Afectaciones particulares a personas afrodescendientes</w:t>
            </w:r>
            <w:r w:rsidR="001D3A7C">
              <w:rPr>
                <w:noProof/>
                <w:webHidden/>
              </w:rPr>
              <w:tab/>
            </w:r>
            <w:r w:rsidR="001D3A7C">
              <w:rPr>
                <w:noProof/>
                <w:webHidden/>
              </w:rPr>
              <w:fldChar w:fldCharType="begin"/>
            </w:r>
            <w:r w:rsidR="001D3A7C">
              <w:rPr>
                <w:noProof/>
                <w:webHidden/>
              </w:rPr>
              <w:instrText xml:space="preserve"> PAGEREF _Toc89017885 \h </w:instrText>
            </w:r>
            <w:r w:rsidR="001D3A7C">
              <w:rPr>
                <w:noProof/>
                <w:webHidden/>
              </w:rPr>
            </w:r>
            <w:r w:rsidR="001D3A7C">
              <w:rPr>
                <w:noProof/>
                <w:webHidden/>
              </w:rPr>
              <w:fldChar w:fldCharType="separate"/>
            </w:r>
            <w:r w:rsidR="001D3A7C">
              <w:rPr>
                <w:noProof/>
                <w:webHidden/>
              </w:rPr>
              <w:t>135</w:t>
            </w:r>
            <w:r w:rsidR="001D3A7C">
              <w:rPr>
                <w:noProof/>
                <w:webHidden/>
              </w:rPr>
              <w:fldChar w:fldCharType="end"/>
            </w:r>
          </w:hyperlink>
        </w:p>
        <w:p w14:paraId="7C8BB2BB" w14:textId="2E30FA82" w:rsidR="001D3A7C" w:rsidRDefault="00C43FB4" w:rsidP="001D3A7C">
          <w:pPr>
            <w:pStyle w:val="TDC1"/>
            <w:shd w:val="clear" w:color="auto" w:fill="auto"/>
            <w:tabs>
              <w:tab w:val="left" w:pos="720"/>
            </w:tabs>
            <w:rPr>
              <w:rFonts w:asciiTheme="minorHAnsi" w:eastAsiaTheme="minorEastAsia" w:hAnsiTheme="minorHAnsi" w:cstheme="minorBidi"/>
              <w:noProof/>
              <w:sz w:val="24"/>
            </w:rPr>
          </w:pPr>
          <w:hyperlink w:anchor="_Toc89017886" w:history="1">
            <w:r w:rsidR="001D3A7C" w:rsidRPr="005710F6">
              <w:rPr>
                <w:rStyle w:val="Hipervnculo"/>
                <w:noProof/>
              </w:rPr>
              <w:t xml:space="preserve">5. </w:t>
            </w:r>
            <w:r w:rsidR="001D3A7C">
              <w:rPr>
                <w:rFonts w:asciiTheme="minorHAnsi" w:eastAsiaTheme="minorEastAsia" w:hAnsiTheme="minorHAnsi" w:cstheme="minorBidi"/>
                <w:noProof/>
                <w:sz w:val="24"/>
              </w:rPr>
              <w:tab/>
            </w:r>
            <w:r w:rsidR="001D3A7C" w:rsidRPr="005710F6">
              <w:rPr>
                <w:rStyle w:val="Hipervnculo"/>
                <w:noProof/>
              </w:rPr>
              <w:t>Medidas para erradicar la discriminación y mecanismos de garantía</w:t>
            </w:r>
            <w:r w:rsidR="001D3A7C">
              <w:rPr>
                <w:noProof/>
                <w:webHidden/>
              </w:rPr>
              <w:tab/>
            </w:r>
            <w:r w:rsidR="001D3A7C">
              <w:rPr>
                <w:noProof/>
                <w:webHidden/>
              </w:rPr>
              <w:fldChar w:fldCharType="begin"/>
            </w:r>
            <w:r w:rsidR="001D3A7C">
              <w:rPr>
                <w:noProof/>
                <w:webHidden/>
              </w:rPr>
              <w:instrText xml:space="preserve"> PAGEREF _Toc89017886 \h </w:instrText>
            </w:r>
            <w:r w:rsidR="001D3A7C">
              <w:rPr>
                <w:noProof/>
                <w:webHidden/>
              </w:rPr>
            </w:r>
            <w:r w:rsidR="001D3A7C">
              <w:rPr>
                <w:noProof/>
                <w:webHidden/>
              </w:rPr>
              <w:fldChar w:fldCharType="separate"/>
            </w:r>
            <w:r w:rsidR="001D3A7C">
              <w:rPr>
                <w:noProof/>
                <w:webHidden/>
              </w:rPr>
              <w:t>138</w:t>
            </w:r>
            <w:r w:rsidR="001D3A7C">
              <w:rPr>
                <w:noProof/>
                <w:webHidden/>
              </w:rPr>
              <w:fldChar w:fldCharType="end"/>
            </w:r>
          </w:hyperlink>
        </w:p>
        <w:p w14:paraId="1654BD7A" w14:textId="0A2EC9C5" w:rsidR="001D3A7C" w:rsidRDefault="00C43FB4" w:rsidP="001D3A7C">
          <w:pPr>
            <w:pStyle w:val="TDC2"/>
            <w:shd w:val="clear" w:color="auto" w:fill="auto"/>
            <w:rPr>
              <w:rFonts w:asciiTheme="minorHAnsi" w:eastAsiaTheme="minorEastAsia" w:hAnsiTheme="minorHAnsi" w:cstheme="minorBidi"/>
              <w:noProof/>
              <w:sz w:val="24"/>
            </w:rPr>
          </w:pPr>
          <w:hyperlink w:anchor="_Toc89017887" w:history="1">
            <w:r w:rsidR="001D3A7C" w:rsidRPr="005710F6">
              <w:rPr>
                <w:rStyle w:val="Hipervnculo"/>
                <w:noProof/>
              </w:rPr>
              <w:t>Medidas de debida diligencia</w:t>
            </w:r>
            <w:r w:rsidR="001D3A7C">
              <w:rPr>
                <w:noProof/>
                <w:webHidden/>
              </w:rPr>
              <w:tab/>
            </w:r>
            <w:r w:rsidR="001D3A7C">
              <w:rPr>
                <w:noProof/>
                <w:webHidden/>
              </w:rPr>
              <w:fldChar w:fldCharType="begin"/>
            </w:r>
            <w:r w:rsidR="001D3A7C">
              <w:rPr>
                <w:noProof/>
                <w:webHidden/>
              </w:rPr>
              <w:instrText xml:space="preserve"> PAGEREF _Toc89017887 \h </w:instrText>
            </w:r>
            <w:r w:rsidR="001D3A7C">
              <w:rPr>
                <w:noProof/>
                <w:webHidden/>
              </w:rPr>
            </w:r>
            <w:r w:rsidR="001D3A7C">
              <w:rPr>
                <w:noProof/>
                <w:webHidden/>
              </w:rPr>
              <w:fldChar w:fldCharType="separate"/>
            </w:r>
            <w:r w:rsidR="001D3A7C">
              <w:rPr>
                <w:noProof/>
                <w:webHidden/>
              </w:rPr>
              <w:t>138</w:t>
            </w:r>
            <w:r w:rsidR="001D3A7C">
              <w:rPr>
                <w:noProof/>
                <w:webHidden/>
              </w:rPr>
              <w:fldChar w:fldCharType="end"/>
            </w:r>
          </w:hyperlink>
        </w:p>
        <w:p w14:paraId="4BF5A971" w14:textId="04EF08B4" w:rsidR="001D3A7C" w:rsidRDefault="00C43FB4" w:rsidP="001D3A7C">
          <w:pPr>
            <w:pStyle w:val="TDC2"/>
            <w:shd w:val="clear" w:color="auto" w:fill="auto"/>
            <w:rPr>
              <w:rFonts w:asciiTheme="minorHAnsi" w:eastAsiaTheme="minorEastAsia" w:hAnsiTheme="minorHAnsi" w:cstheme="minorBidi"/>
              <w:noProof/>
              <w:sz w:val="24"/>
            </w:rPr>
          </w:pPr>
          <w:hyperlink w:anchor="_Toc89017888" w:history="1">
            <w:r w:rsidR="001D3A7C" w:rsidRPr="005710F6">
              <w:rPr>
                <w:rStyle w:val="Hipervnculo"/>
                <w:noProof/>
              </w:rPr>
              <w:t>Deber reforzado de protección de personas que se encuentren en situación de discriminación</w:t>
            </w:r>
            <w:r w:rsidR="001D3A7C">
              <w:rPr>
                <w:noProof/>
                <w:webHidden/>
              </w:rPr>
              <w:tab/>
            </w:r>
            <w:r w:rsidR="001D3A7C">
              <w:rPr>
                <w:noProof/>
                <w:webHidden/>
              </w:rPr>
              <w:fldChar w:fldCharType="begin"/>
            </w:r>
            <w:r w:rsidR="001D3A7C">
              <w:rPr>
                <w:noProof/>
                <w:webHidden/>
              </w:rPr>
              <w:instrText xml:space="preserve"> PAGEREF _Toc89017888 \h </w:instrText>
            </w:r>
            <w:r w:rsidR="001D3A7C">
              <w:rPr>
                <w:noProof/>
                <w:webHidden/>
              </w:rPr>
            </w:r>
            <w:r w:rsidR="001D3A7C">
              <w:rPr>
                <w:noProof/>
                <w:webHidden/>
              </w:rPr>
              <w:fldChar w:fldCharType="separate"/>
            </w:r>
            <w:r w:rsidR="001D3A7C">
              <w:rPr>
                <w:noProof/>
                <w:webHidden/>
              </w:rPr>
              <w:t>142</w:t>
            </w:r>
            <w:r w:rsidR="001D3A7C">
              <w:rPr>
                <w:noProof/>
                <w:webHidden/>
              </w:rPr>
              <w:fldChar w:fldCharType="end"/>
            </w:r>
          </w:hyperlink>
        </w:p>
        <w:p w14:paraId="2A722FC4" w14:textId="4161255C" w:rsidR="001D3A7C" w:rsidRDefault="00C43FB4" w:rsidP="001D3A7C">
          <w:pPr>
            <w:pStyle w:val="TDC2"/>
            <w:shd w:val="clear" w:color="auto" w:fill="auto"/>
            <w:rPr>
              <w:rFonts w:asciiTheme="minorHAnsi" w:eastAsiaTheme="minorEastAsia" w:hAnsiTheme="minorHAnsi" w:cstheme="minorBidi"/>
              <w:noProof/>
              <w:sz w:val="24"/>
            </w:rPr>
          </w:pPr>
          <w:hyperlink w:anchor="_Toc89017889" w:history="1">
            <w:r w:rsidR="001D3A7C" w:rsidRPr="005710F6">
              <w:rPr>
                <w:rStyle w:val="Hipervnculo"/>
                <w:noProof/>
              </w:rPr>
              <w:t>Obligación del Estado de realizar investigaciones serias en casos de violencia de género</w:t>
            </w:r>
            <w:r w:rsidR="001D3A7C">
              <w:rPr>
                <w:noProof/>
                <w:webHidden/>
              </w:rPr>
              <w:tab/>
            </w:r>
            <w:r w:rsidR="001D3A7C">
              <w:rPr>
                <w:noProof/>
                <w:webHidden/>
              </w:rPr>
              <w:fldChar w:fldCharType="begin"/>
            </w:r>
            <w:r w:rsidR="001D3A7C">
              <w:rPr>
                <w:noProof/>
                <w:webHidden/>
              </w:rPr>
              <w:instrText xml:space="preserve"> PAGEREF _Toc89017889 \h </w:instrText>
            </w:r>
            <w:r w:rsidR="001D3A7C">
              <w:rPr>
                <w:noProof/>
                <w:webHidden/>
              </w:rPr>
            </w:r>
            <w:r w:rsidR="001D3A7C">
              <w:rPr>
                <w:noProof/>
                <w:webHidden/>
              </w:rPr>
              <w:fldChar w:fldCharType="separate"/>
            </w:r>
            <w:r w:rsidR="001D3A7C">
              <w:rPr>
                <w:noProof/>
                <w:webHidden/>
              </w:rPr>
              <w:t>145</w:t>
            </w:r>
            <w:r w:rsidR="001D3A7C">
              <w:rPr>
                <w:noProof/>
                <w:webHidden/>
              </w:rPr>
              <w:fldChar w:fldCharType="end"/>
            </w:r>
          </w:hyperlink>
        </w:p>
        <w:p w14:paraId="799F3243" w14:textId="6CA49211" w:rsidR="001D3A7C" w:rsidRDefault="00C43FB4" w:rsidP="001D3A7C">
          <w:pPr>
            <w:pStyle w:val="TDC1"/>
            <w:shd w:val="clear" w:color="auto" w:fill="auto"/>
            <w:tabs>
              <w:tab w:val="left" w:pos="720"/>
            </w:tabs>
            <w:rPr>
              <w:rFonts w:asciiTheme="minorHAnsi" w:eastAsiaTheme="minorEastAsia" w:hAnsiTheme="minorHAnsi" w:cstheme="minorBidi"/>
              <w:noProof/>
              <w:sz w:val="24"/>
            </w:rPr>
          </w:pPr>
          <w:hyperlink w:anchor="_Toc89017890" w:history="1">
            <w:r w:rsidR="001D3A7C" w:rsidRPr="005710F6">
              <w:rPr>
                <w:rStyle w:val="Hipervnculo"/>
                <w:noProof/>
              </w:rPr>
              <w:t xml:space="preserve">6. </w:t>
            </w:r>
            <w:r w:rsidR="001D3A7C">
              <w:rPr>
                <w:rFonts w:asciiTheme="minorHAnsi" w:eastAsiaTheme="minorEastAsia" w:hAnsiTheme="minorHAnsi" w:cstheme="minorBidi"/>
                <w:noProof/>
                <w:sz w:val="24"/>
              </w:rPr>
              <w:tab/>
            </w:r>
            <w:r w:rsidR="001D3A7C" w:rsidRPr="005710F6">
              <w:rPr>
                <w:rStyle w:val="Hipervnculo"/>
                <w:noProof/>
              </w:rPr>
              <w:t>Reparaciones: medidas de satisfacción y garantías de no repetición</w:t>
            </w:r>
            <w:r w:rsidR="001D3A7C">
              <w:rPr>
                <w:noProof/>
                <w:webHidden/>
              </w:rPr>
              <w:tab/>
            </w:r>
            <w:r w:rsidR="001D3A7C">
              <w:rPr>
                <w:noProof/>
                <w:webHidden/>
              </w:rPr>
              <w:fldChar w:fldCharType="begin"/>
            </w:r>
            <w:r w:rsidR="001D3A7C">
              <w:rPr>
                <w:noProof/>
                <w:webHidden/>
              </w:rPr>
              <w:instrText xml:space="preserve"> PAGEREF _Toc89017890 \h </w:instrText>
            </w:r>
            <w:r w:rsidR="001D3A7C">
              <w:rPr>
                <w:noProof/>
                <w:webHidden/>
              </w:rPr>
            </w:r>
            <w:r w:rsidR="001D3A7C">
              <w:rPr>
                <w:noProof/>
                <w:webHidden/>
              </w:rPr>
              <w:fldChar w:fldCharType="separate"/>
            </w:r>
            <w:r w:rsidR="001D3A7C">
              <w:rPr>
                <w:noProof/>
                <w:webHidden/>
              </w:rPr>
              <w:t>151</w:t>
            </w:r>
            <w:r w:rsidR="001D3A7C">
              <w:rPr>
                <w:noProof/>
                <w:webHidden/>
              </w:rPr>
              <w:fldChar w:fldCharType="end"/>
            </w:r>
          </w:hyperlink>
        </w:p>
        <w:p w14:paraId="6B584027" w14:textId="65B2FD44" w:rsidR="001D3A7C" w:rsidRDefault="00C43FB4" w:rsidP="001D3A7C">
          <w:pPr>
            <w:pStyle w:val="TDC2"/>
            <w:shd w:val="clear" w:color="auto" w:fill="auto"/>
            <w:rPr>
              <w:rFonts w:asciiTheme="minorHAnsi" w:eastAsiaTheme="minorEastAsia" w:hAnsiTheme="minorHAnsi" w:cstheme="minorBidi"/>
              <w:noProof/>
              <w:sz w:val="24"/>
            </w:rPr>
          </w:pPr>
          <w:hyperlink w:anchor="_Toc89017891" w:history="1">
            <w:r w:rsidR="001D3A7C" w:rsidRPr="005710F6">
              <w:rPr>
                <w:rStyle w:val="Hipervnculo"/>
                <w:noProof/>
              </w:rPr>
              <w:t>Cese efectivo de la discriminación</w:t>
            </w:r>
            <w:r w:rsidR="001D3A7C">
              <w:rPr>
                <w:noProof/>
                <w:webHidden/>
              </w:rPr>
              <w:tab/>
            </w:r>
            <w:r w:rsidR="001D3A7C">
              <w:rPr>
                <w:noProof/>
                <w:webHidden/>
              </w:rPr>
              <w:fldChar w:fldCharType="begin"/>
            </w:r>
            <w:r w:rsidR="001D3A7C">
              <w:rPr>
                <w:noProof/>
                <w:webHidden/>
              </w:rPr>
              <w:instrText xml:space="preserve"> PAGEREF _Toc89017891 \h </w:instrText>
            </w:r>
            <w:r w:rsidR="001D3A7C">
              <w:rPr>
                <w:noProof/>
                <w:webHidden/>
              </w:rPr>
            </w:r>
            <w:r w:rsidR="001D3A7C">
              <w:rPr>
                <w:noProof/>
                <w:webHidden/>
              </w:rPr>
              <w:fldChar w:fldCharType="separate"/>
            </w:r>
            <w:r w:rsidR="001D3A7C">
              <w:rPr>
                <w:noProof/>
                <w:webHidden/>
              </w:rPr>
              <w:t>151</w:t>
            </w:r>
            <w:r w:rsidR="001D3A7C">
              <w:rPr>
                <w:noProof/>
                <w:webHidden/>
              </w:rPr>
              <w:fldChar w:fldCharType="end"/>
            </w:r>
          </w:hyperlink>
        </w:p>
        <w:p w14:paraId="33A21646" w14:textId="020F5638" w:rsidR="001D3A7C" w:rsidRDefault="00C43FB4" w:rsidP="001D3A7C">
          <w:pPr>
            <w:pStyle w:val="TDC2"/>
            <w:shd w:val="clear" w:color="auto" w:fill="auto"/>
            <w:rPr>
              <w:rFonts w:asciiTheme="minorHAnsi" w:eastAsiaTheme="minorEastAsia" w:hAnsiTheme="minorHAnsi" w:cstheme="minorBidi"/>
              <w:noProof/>
              <w:sz w:val="24"/>
            </w:rPr>
          </w:pPr>
          <w:hyperlink w:anchor="_Toc89017892" w:history="1">
            <w:r w:rsidR="001D3A7C" w:rsidRPr="005710F6">
              <w:rPr>
                <w:rStyle w:val="Hipervnculo"/>
                <w:noProof/>
              </w:rPr>
              <w:t>Traducción de la sentencia</w:t>
            </w:r>
            <w:r w:rsidR="001D3A7C">
              <w:rPr>
                <w:noProof/>
                <w:webHidden/>
              </w:rPr>
              <w:tab/>
            </w:r>
            <w:r w:rsidR="001D3A7C">
              <w:rPr>
                <w:noProof/>
                <w:webHidden/>
              </w:rPr>
              <w:fldChar w:fldCharType="begin"/>
            </w:r>
            <w:r w:rsidR="001D3A7C">
              <w:rPr>
                <w:noProof/>
                <w:webHidden/>
              </w:rPr>
              <w:instrText xml:space="preserve"> PAGEREF _Toc89017892 \h </w:instrText>
            </w:r>
            <w:r w:rsidR="001D3A7C">
              <w:rPr>
                <w:noProof/>
                <w:webHidden/>
              </w:rPr>
            </w:r>
            <w:r w:rsidR="001D3A7C">
              <w:rPr>
                <w:noProof/>
                <w:webHidden/>
              </w:rPr>
              <w:fldChar w:fldCharType="separate"/>
            </w:r>
            <w:r w:rsidR="001D3A7C">
              <w:rPr>
                <w:noProof/>
                <w:webHidden/>
              </w:rPr>
              <w:t>151</w:t>
            </w:r>
            <w:r w:rsidR="001D3A7C">
              <w:rPr>
                <w:noProof/>
                <w:webHidden/>
              </w:rPr>
              <w:fldChar w:fldCharType="end"/>
            </w:r>
          </w:hyperlink>
        </w:p>
        <w:p w14:paraId="6C3D49E1" w14:textId="265AA7FC" w:rsidR="001D3A7C" w:rsidRDefault="00C43FB4" w:rsidP="001D3A7C">
          <w:pPr>
            <w:pStyle w:val="TDC2"/>
            <w:shd w:val="clear" w:color="auto" w:fill="auto"/>
            <w:rPr>
              <w:rFonts w:asciiTheme="minorHAnsi" w:eastAsiaTheme="minorEastAsia" w:hAnsiTheme="minorHAnsi" w:cstheme="minorBidi"/>
              <w:noProof/>
              <w:sz w:val="24"/>
            </w:rPr>
          </w:pPr>
          <w:hyperlink w:anchor="_Toc89017893" w:history="1">
            <w:r w:rsidR="001D3A7C" w:rsidRPr="005710F6">
              <w:rPr>
                <w:rStyle w:val="Hipervnculo"/>
                <w:noProof/>
              </w:rPr>
              <w:t>Creación de monumento</w:t>
            </w:r>
            <w:r w:rsidR="001D3A7C">
              <w:rPr>
                <w:noProof/>
                <w:webHidden/>
              </w:rPr>
              <w:tab/>
            </w:r>
            <w:r w:rsidR="001D3A7C">
              <w:rPr>
                <w:noProof/>
                <w:webHidden/>
              </w:rPr>
              <w:fldChar w:fldCharType="begin"/>
            </w:r>
            <w:r w:rsidR="001D3A7C">
              <w:rPr>
                <w:noProof/>
                <w:webHidden/>
              </w:rPr>
              <w:instrText xml:space="preserve"> PAGEREF _Toc89017893 \h </w:instrText>
            </w:r>
            <w:r w:rsidR="001D3A7C">
              <w:rPr>
                <w:noProof/>
                <w:webHidden/>
              </w:rPr>
            </w:r>
            <w:r w:rsidR="001D3A7C">
              <w:rPr>
                <w:noProof/>
                <w:webHidden/>
              </w:rPr>
              <w:fldChar w:fldCharType="separate"/>
            </w:r>
            <w:r w:rsidR="001D3A7C">
              <w:rPr>
                <w:noProof/>
                <w:webHidden/>
              </w:rPr>
              <w:t>151</w:t>
            </w:r>
            <w:r w:rsidR="001D3A7C">
              <w:rPr>
                <w:noProof/>
                <w:webHidden/>
              </w:rPr>
              <w:fldChar w:fldCharType="end"/>
            </w:r>
          </w:hyperlink>
        </w:p>
        <w:p w14:paraId="06481D66" w14:textId="2633943D" w:rsidR="001D3A7C" w:rsidRDefault="00C43FB4" w:rsidP="001D3A7C">
          <w:pPr>
            <w:pStyle w:val="TDC2"/>
            <w:shd w:val="clear" w:color="auto" w:fill="auto"/>
            <w:rPr>
              <w:rFonts w:asciiTheme="minorHAnsi" w:eastAsiaTheme="minorEastAsia" w:hAnsiTheme="minorHAnsi" w:cstheme="minorBidi"/>
              <w:noProof/>
              <w:sz w:val="24"/>
            </w:rPr>
          </w:pPr>
          <w:hyperlink w:anchor="_Toc89017894" w:history="1">
            <w:r w:rsidR="001D3A7C" w:rsidRPr="005710F6">
              <w:rPr>
                <w:rStyle w:val="Hipervnculo"/>
                <w:noProof/>
              </w:rPr>
              <w:t>Devolución de concesión</w:t>
            </w:r>
            <w:r w:rsidR="001D3A7C">
              <w:rPr>
                <w:noProof/>
                <w:webHidden/>
              </w:rPr>
              <w:tab/>
            </w:r>
            <w:r w:rsidR="001D3A7C">
              <w:rPr>
                <w:noProof/>
                <w:webHidden/>
              </w:rPr>
              <w:fldChar w:fldCharType="begin"/>
            </w:r>
            <w:r w:rsidR="001D3A7C">
              <w:rPr>
                <w:noProof/>
                <w:webHidden/>
              </w:rPr>
              <w:instrText xml:space="preserve"> PAGEREF _Toc89017894 \h </w:instrText>
            </w:r>
            <w:r w:rsidR="001D3A7C">
              <w:rPr>
                <w:noProof/>
                <w:webHidden/>
              </w:rPr>
            </w:r>
            <w:r w:rsidR="001D3A7C">
              <w:rPr>
                <w:noProof/>
                <w:webHidden/>
              </w:rPr>
              <w:fldChar w:fldCharType="separate"/>
            </w:r>
            <w:r w:rsidR="001D3A7C">
              <w:rPr>
                <w:noProof/>
                <w:webHidden/>
              </w:rPr>
              <w:t>152</w:t>
            </w:r>
            <w:r w:rsidR="001D3A7C">
              <w:rPr>
                <w:noProof/>
                <w:webHidden/>
              </w:rPr>
              <w:fldChar w:fldCharType="end"/>
            </w:r>
          </w:hyperlink>
        </w:p>
        <w:p w14:paraId="179C91D2" w14:textId="4FFAF483" w:rsidR="001D3A7C" w:rsidRDefault="00C43FB4" w:rsidP="001D3A7C">
          <w:pPr>
            <w:pStyle w:val="TDC2"/>
            <w:shd w:val="clear" w:color="auto" w:fill="auto"/>
            <w:rPr>
              <w:rFonts w:asciiTheme="minorHAnsi" w:eastAsiaTheme="minorEastAsia" w:hAnsiTheme="minorHAnsi" w:cstheme="minorBidi"/>
              <w:noProof/>
              <w:sz w:val="24"/>
            </w:rPr>
          </w:pPr>
          <w:hyperlink w:anchor="_Toc89017895" w:history="1">
            <w:r w:rsidR="001D3A7C" w:rsidRPr="005710F6">
              <w:rPr>
                <w:rStyle w:val="Hipervnculo"/>
                <w:noProof/>
              </w:rPr>
              <w:t>Elaboración de página búsqueda para personas desaparecidas</w:t>
            </w:r>
            <w:r w:rsidR="001D3A7C">
              <w:rPr>
                <w:noProof/>
                <w:webHidden/>
              </w:rPr>
              <w:tab/>
            </w:r>
            <w:r w:rsidR="001D3A7C">
              <w:rPr>
                <w:noProof/>
                <w:webHidden/>
              </w:rPr>
              <w:fldChar w:fldCharType="begin"/>
            </w:r>
            <w:r w:rsidR="001D3A7C">
              <w:rPr>
                <w:noProof/>
                <w:webHidden/>
              </w:rPr>
              <w:instrText xml:space="preserve"> PAGEREF _Toc89017895 \h </w:instrText>
            </w:r>
            <w:r w:rsidR="001D3A7C">
              <w:rPr>
                <w:noProof/>
                <w:webHidden/>
              </w:rPr>
            </w:r>
            <w:r w:rsidR="001D3A7C">
              <w:rPr>
                <w:noProof/>
                <w:webHidden/>
              </w:rPr>
              <w:fldChar w:fldCharType="separate"/>
            </w:r>
            <w:r w:rsidR="001D3A7C">
              <w:rPr>
                <w:noProof/>
                <w:webHidden/>
              </w:rPr>
              <w:t>153</w:t>
            </w:r>
            <w:r w:rsidR="001D3A7C">
              <w:rPr>
                <w:noProof/>
                <w:webHidden/>
              </w:rPr>
              <w:fldChar w:fldCharType="end"/>
            </w:r>
          </w:hyperlink>
        </w:p>
        <w:p w14:paraId="6C92EEDE" w14:textId="22FC111F" w:rsidR="001D3A7C" w:rsidRDefault="00C43FB4" w:rsidP="001D3A7C">
          <w:pPr>
            <w:pStyle w:val="TDC2"/>
            <w:shd w:val="clear" w:color="auto" w:fill="auto"/>
            <w:rPr>
              <w:rFonts w:asciiTheme="minorHAnsi" w:eastAsiaTheme="minorEastAsia" w:hAnsiTheme="minorHAnsi" w:cstheme="minorBidi"/>
              <w:noProof/>
              <w:sz w:val="24"/>
            </w:rPr>
          </w:pPr>
          <w:hyperlink w:anchor="_Toc89017896" w:history="1">
            <w:r w:rsidR="001D3A7C" w:rsidRPr="005710F6">
              <w:rPr>
                <w:rStyle w:val="Hipervnculo"/>
                <w:noProof/>
              </w:rPr>
              <w:t>Obligación de investigar</w:t>
            </w:r>
            <w:r w:rsidR="001D3A7C">
              <w:rPr>
                <w:noProof/>
                <w:webHidden/>
              </w:rPr>
              <w:tab/>
            </w:r>
            <w:r w:rsidR="001D3A7C">
              <w:rPr>
                <w:noProof/>
                <w:webHidden/>
              </w:rPr>
              <w:fldChar w:fldCharType="begin"/>
            </w:r>
            <w:r w:rsidR="001D3A7C">
              <w:rPr>
                <w:noProof/>
                <w:webHidden/>
              </w:rPr>
              <w:instrText xml:space="preserve"> PAGEREF _Toc89017896 \h </w:instrText>
            </w:r>
            <w:r w:rsidR="001D3A7C">
              <w:rPr>
                <w:noProof/>
                <w:webHidden/>
              </w:rPr>
            </w:r>
            <w:r w:rsidR="001D3A7C">
              <w:rPr>
                <w:noProof/>
                <w:webHidden/>
              </w:rPr>
              <w:fldChar w:fldCharType="separate"/>
            </w:r>
            <w:r w:rsidR="001D3A7C">
              <w:rPr>
                <w:noProof/>
                <w:webHidden/>
              </w:rPr>
              <w:t>155</w:t>
            </w:r>
            <w:r w:rsidR="001D3A7C">
              <w:rPr>
                <w:noProof/>
                <w:webHidden/>
              </w:rPr>
              <w:fldChar w:fldCharType="end"/>
            </w:r>
          </w:hyperlink>
        </w:p>
        <w:p w14:paraId="5BE2A2B9" w14:textId="6EFB1BCF" w:rsidR="001D3A7C" w:rsidRDefault="00C43FB4" w:rsidP="001D3A7C">
          <w:pPr>
            <w:pStyle w:val="TDC2"/>
            <w:shd w:val="clear" w:color="auto" w:fill="auto"/>
            <w:rPr>
              <w:rFonts w:asciiTheme="minorHAnsi" w:eastAsiaTheme="minorEastAsia" w:hAnsiTheme="minorHAnsi" w:cstheme="minorBidi"/>
              <w:noProof/>
              <w:sz w:val="24"/>
            </w:rPr>
          </w:pPr>
          <w:hyperlink w:anchor="_Toc89017897" w:history="1">
            <w:r w:rsidR="001D3A7C" w:rsidRPr="005710F6">
              <w:rPr>
                <w:rStyle w:val="Hipervnculo"/>
                <w:noProof/>
              </w:rPr>
              <w:t>Creación de mecanismos de reclamo: acceso a la justicia</w:t>
            </w:r>
            <w:r w:rsidR="001D3A7C">
              <w:rPr>
                <w:noProof/>
                <w:webHidden/>
              </w:rPr>
              <w:tab/>
            </w:r>
            <w:r w:rsidR="001D3A7C">
              <w:rPr>
                <w:noProof/>
                <w:webHidden/>
              </w:rPr>
              <w:fldChar w:fldCharType="begin"/>
            </w:r>
            <w:r w:rsidR="001D3A7C">
              <w:rPr>
                <w:noProof/>
                <w:webHidden/>
              </w:rPr>
              <w:instrText xml:space="preserve"> PAGEREF _Toc89017897 \h </w:instrText>
            </w:r>
            <w:r w:rsidR="001D3A7C">
              <w:rPr>
                <w:noProof/>
                <w:webHidden/>
              </w:rPr>
            </w:r>
            <w:r w:rsidR="001D3A7C">
              <w:rPr>
                <w:noProof/>
                <w:webHidden/>
              </w:rPr>
              <w:fldChar w:fldCharType="separate"/>
            </w:r>
            <w:r w:rsidR="001D3A7C">
              <w:rPr>
                <w:noProof/>
                <w:webHidden/>
              </w:rPr>
              <w:t>157</w:t>
            </w:r>
            <w:r w:rsidR="001D3A7C">
              <w:rPr>
                <w:noProof/>
                <w:webHidden/>
              </w:rPr>
              <w:fldChar w:fldCharType="end"/>
            </w:r>
          </w:hyperlink>
        </w:p>
        <w:p w14:paraId="20897896" w14:textId="46E0FE58" w:rsidR="001D3A7C" w:rsidRDefault="00C43FB4" w:rsidP="001D3A7C">
          <w:pPr>
            <w:pStyle w:val="TDC2"/>
            <w:shd w:val="clear" w:color="auto" w:fill="auto"/>
            <w:rPr>
              <w:rFonts w:asciiTheme="minorHAnsi" w:eastAsiaTheme="minorEastAsia" w:hAnsiTheme="minorHAnsi" w:cstheme="minorBidi"/>
              <w:noProof/>
              <w:sz w:val="24"/>
            </w:rPr>
          </w:pPr>
          <w:hyperlink w:anchor="_Toc89017898" w:history="1">
            <w:r w:rsidR="001D3A7C" w:rsidRPr="005710F6">
              <w:rPr>
                <w:rStyle w:val="Hipervnculo"/>
                <w:noProof/>
              </w:rPr>
              <w:t>Implementación de programas de formación y capacitación en derechos humanos con énfasis en el principio de igualdad</w:t>
            </w:r>
            <w:r w:rsidR="001D3A7C">
              <w:rPr>
                <w:noProof/>
                <w:webHidden/>
              </w:rPr>
              <w:tab/>
            </w:r>
            <w:r w:rsidR="001D3A7C">
              <w:rPr>
                <w:noProof/>
                <w:webHidden/>
              </w:rPr>
              <w:fldChar w:fldCharType="begin"/>
            </w:r>
            <w:r w:rsidR="001D3A7C">
              <w:rPr>
                <w:noProof/>
                <w:webHidden/>
              </w:rPr>
              <w:instrText xml:space="preserve"> PAGEREF _Toc89017898 \h </w:instrText>
            </w:r>
            <w:r w:rsidR="001D3A7C">
              <w:rPr>
                <w:noProof/>
                <w:webHidden/>
              </w:rPr>
            </w:r>
            <w:r w:rsidR="001D3A7C">
              <w:rPr>
                <w:noProof/>
                <w:webHidden/>
              </w:rPr>
              <w:fldChar w:fldCharType="separate"/>
            </w:r>
            <w:r w:rsidR="001D3A7C">
              <w:rPr>
                <w:noProof/>
                <w:webHidden/>
              </w:rPr>
              <w:t>158</w:t>
            </w:r>
            <w:r w:rsidR="001D3A7C">
              <w:rPr>
                <w:noProof/>
                <w:webHidden/>
              </w:rPr>
              <w:fldChar w:fldCharType="end"/>
            </w:r>
          </w:hyperlink>
        </w:p>
        <w:p w14:paraId="54E3E31D" w14:textId="0C25D026" w:rsidR="001D3A7C" w:rsidRDefault="00C43FB4" w:rsidP="001D3A7C">
          <w:pPr>
            <w:pStyle w:val="TDC2"/>
            <w:shd w:val="clear" w:color="auto" w:fill="auto"/>
            <w:rPr>
              <w:rFonts w:asciiTheme="minorHAnsi" w:eastAsiaTheme="minorEastAsia" w:hAnsiTheme="minorHAnsi" w:cstheme="minorBidi"/>
              <w:noProof/>
              <w:sz w:val="24"/>
            </w:rPr>
          </w:pPr>
          <w:hyperlink w:anchor="_Toc89017899" w:history="1">
            <w:r w:rsidR="001D3A7C" w:rsidRPr="005710F6">
              <w:rPr>
                <w:rStyle w:val="Hipervnculo"/>
                <w:noProof/>
              </w:rPr>
              <w:t>Campaña sobre derecho de las personas migrantes</w:t>
            </w:r>
            <w:r w:rsidR="001D3A7C">
              <w:rPr>
                <w:noProof/>
                <w:webHidden/>
              </w:rPr>
              <w:tab/>
            </w:r>
            <w:r w:rsidR="001D3A7C">
              <w:rPr>
                <w:noProof/>
                <w:webHidden/>
              </w:rPr>
              <w:fldChar w:fldCharType="begin"/>
            </w:r>
            <w:r w:rsidR="001D3A7C">
              <w:rPr>
                <w:noProof/>
                <w:webHidden/>
              </w:rPr>
              <w:instrText xml:space="preserve"> PAGEREF _Toc89017899 \h </w:instrText>
            </w:r>
            <w:r w:rsidR="001D3A7C">
              <w:rPr>
                <w:noProof/>
                <w:webHidden/>
              </w:rPr>
            </w:r>
            <w:r w:rsidR="001D3A7C">
              <w:rPr>
                <w:noProof/>
                <w:webHidden/>
              </w:rPr>
              <w:fldChar w:fldCharType="separate"/>
            </w:r>
            <w:r w:rsidR="001D3A7C">
              <w:rPr>
                <w:noProof/>
                <w:webHidden/>
              </w:rPr>
              <w:t>165</w:t>
            </w:r>
            <w:r w:rsidR="001D3A7C">
              <w:rPr>
                <w:noProof/>
                <w:webHidden/>
              </w:rPr>
              <w:fldChar w:fldCharType="end"/>
            </w:r>
          </w:hyperlink>
        </w:p>
        <w:p w14:paraId="458CBA75" w14:textId="321D2486" w:rsidR="001D3A7C" w:rsidRDefault="00C43FB4" w:rsidP="001D3A7C">
          <w:pPr>
            <w:pStyle w:val="TDC2"/>
            <w:shd w:val="clear" w:color="auto" w:fill="auto"/>
            <w:rPr>
              <w:rFonts w:asciiTheme="minorHAnsi" w:eastAsiaTheme="minorEastAsia" w:hAnsiTheme="minorHAnsi" w:cstheme="minorBidi"/>
              <w:noProof/>
              <w:sz w:val="24"/>
            </w:rPr>
          </w:pPr>
          <w:hyperlink w:anchor="_Toc89017900" w:history="1">
            <w:r w:rsidR="001D3A7C" w:rsidRPr="005710F6">
              <w:rPr>
                <w:rStyle w:val="Hipervnculo"/>
                <w:noProof/>
              </w:rPr>
              <w:t>Elaboración de políticas públicas</w:t>
            </w:r>
            <w:r w:rsidR="001D3A7C">
              <w:rPr>
                <w:noProof/>
                <w:webHidden/>
              </w:rPr>
              <w:tab/>
            </w:r>
            <w:r w:rsidR="001D3A7C">
              <w:rPr>
                <w:noProof/>
                <w:webHidden/>
              </w:rPr>
              <w:fldChar w:fldCharType="begin"/>
            </w:r>
            <w:r w:rsidR="001D3A7C">
              <w:rPr>
                <w:noProof/>
                <w:webHidden/>
              </w:rPr>
              <w:instrText xml:space="preserve"> PAGEREF _Toc89017900 \h </w:instrText>
            </w:r>
            <w:r w:rsidR="001D3A7C">
              <w:rPr>
                <w:noProof/>
                <w:webHidden/>
              </w:rPr>
            </w:r>
            <w:r w:rsidR="001D3A7C">
              <w:rPr>
                <w:noProof/>
                <w:webHidden/>
              </w:rPr>
              <w:fldChar w:fldCharType="separate"/>
            </w:r>
            <w:r w:rsidR="001D3A7C">
              <w:rPr>
                <w:noProof/>
                <w:webHidden/>
              </w:rPr>
              <w:t>165</w:t>
            </w:r>
            <w:r w:rsidR="001D3A7C">
              <w:rPr>
                <w:noProof/>
                <w:webHidden/>
              </w:rPr>
              <w:fldChar w:fldCharType="end"/>
            </w:r>
          </w:hyperlink>
        </w:p>
        <w:p w14:paraId="42D9FC10" w14:textId="7DF9300F" w:rsidR="001D3A7C" w:rsidRDefault="00C43FB4" w:rsidP="001D3A7C">
          <w:pPr>
            <w:pStyle w:val="TDC2"/>
            <w:shd w:val="clear" w:color="auto" w:fill="auto"/>
            <w:rPr>
              <w:rFonts w:asciiTheme="minorHAnsi" w:eastAsiaTheme="minorEastAsia" w:hAnsiTheme="minorHAnsi" w:cstheme="minorBidi"/>
              <w:noProof/>
              <w:sz w:val="24"/>
            </w:rPr>
          </w:pPr>
          <w:hyperlink w:anchor="_Toc89017901" w:history="1">
            <w:r w:rsidR="001D3A7C" w:rsidRPr="005710F6">
              <w:rPr>
                <w:rStyle w:val="Hipervnculo"/>
                <w:noProof/>
              </w:rPr>
              <w:t>Protocolos de actuación</w:t>
            </w:r>
            <w:r w:rsidR="001D3A7C">
              <w:rPr>
                <w:noProof/>
                <w:webHidden/>
              </w:rPr>
              <w:tab/>
            </w:r>
            <w:r w:rsidR="001D3A7C">
              <w:rPr>
                <w:noProof/>
                <w:webHidden/>
              </w:rPr>
              <w:fldChar w:fldCharType="begin"/>
            </w:r>
            <w:r w:rsidR="001D3A7C">
              <w:rPr>
                <w:noProof/>
                <w:webHidden/>
              </w:rPr>
              <w:instrText xml:space="preserve"> PAGEREF _Toc89017901 \h </w:instrText>
            </w:r>
            <w:r w:rsidR="001D3A7C">
              <w:rPr>
                <w:noProof/>
                <w:webHidden/>
              </w:rPr>
            </w:r>
            <w:r w:rsidR="001D3A7C">
              <w:rPr>
                <w:noProof/>
                <w:webHidden/>
              </w:rPr>
              <w:fldChar w:fldCharType="separate"/>
            </w:r>
            <w:r w:rsidR="001D3A7C">
              <w:rPr>
                <w:noProof/>
                <w:webHidden/>
              </w:rPr>
              <w:t>167</w:t>
            </w:r>
            <w:r w:rsidR="001D3A7C">
              <w:rPr>
                <w:noProof/>
                <w:webHidden/>
              </w:rPr>
              <w:fldChar w:fldCharType="end"/>
            </w:r>
          </w:hyperlink>
        </w:p>
        <w:p w14:paraId="3FA7B852" w14:textId="1EBDA35F" w:rsidR="001D3A7C" w:rsidRDefault="00C43FB4" w:rsidP="001D3A7C">
          <w:pPr>
            <w:pStyle w:val="TDC2"/>
            <w:shd w:val="clear" w:color="auto" w:fill="auto"/>
            <w:rPr>
              <w:rFonts w:asciiTheme="minorHAnsi" w:eastAsiaTheme="minorEastAsia" w:hAnsiTheme="minorHAnsi" w:cstheme="minorBidi"/>
              <w:noProof/>
              <w:sz w:val="24"/>
            </w:rPr>
          </w:pPr>
          <w:hyperlink w:anchor="_Toc89017902" w:history="1">
            <w:r w:rsidR="001D3A7C" w:rsidRPr="005710F6">
              <w:rPr>
                <w:rStyle w:val="Hipervnculo"/>
                <w:noProof/>
              </w:rPr>
              <w:t>Adopción de medidas legislativas</w:t>
            </w:r>
            <w:r w:rsidR="001D3A7C">
              <w:rPr>
                <w:noProof/>
                <w:webHidden/>
              </w:rPr>
              <w:tab/>
            </w:r>
            <w:r w:rsidR="001D3A7C">
              <w:rPr>
                <w:noProof/>
                <w:webHidden/>
              </w:rPr>
              <w:fldChar w:fldCharType="begin"/>
            </w:r>
            <w:r w:rsidR="001D3A7C">
              <w:rPr>
                <w:noProof/>
                <w:webHidden/>
              </w:rPr>
              <w:instrText xml:space="preserve"> PAGEREF _Toc89017902 \h </w:instrText>
            </w:r>
            <w:r w:rsidR="001D3A7C">
              <w:rPr>
                <w:noProof/>
                <w:webHidden/>
              </w:rPr>
            </w:r>
            <w:r w:rsidR="001D3A7C">
              <w:rPr>
                <w:noProof/>
                <w:webHidden/>
              </w:rPr>
              <w:fldChar w:fldCharType="separate"/>
            </w:r>
            <w:r w:rsidR="001D3A7C">
              <w:rPr>
                <w:noProof/>
                <w:webHidden/>
              </w:rPr>
              <w:t>168</w:t>
            </w:r>
            <w:r w:rsidR="001D3A7C">
              <w:rPr>
                <w:noProof/>
                <w:webHidden/>
              </w:rPr>
              <w:fldChar w:fldCharType="end"/>
            </w:r>
          </w:hyperlink>
        </w:p>
        <w:p w14:paraId="2056F8B5" w14:textId="33442C37" w:rsidR="001D3A7C" w:rsidRDefault="00C43FB4" w:rsidP="001D3A7C">
          <w:pPr>
            <w:pStyle w:val="TDC2"/>
            <w:shd w:val="clear" w:color="auto" w:fill="auto"/>
            <w:rPr>
              <w:rFonts w:asciiTheme="minorHAnsi" w:eastAsiaTheme="minorEastAsia" w:hAnsiTheme="minorHAnsi" w:cstheme="minorBidi"/>
              <w:noProof/>
              <w:sz w:val="24"/>
            </w:rPr>
          </w:pPr>
          <w:hyperlink w:anchor="_Toc89017903" w:history="1">
            <w:r w:rsidR="001D3A7C" w:rsidRPr="005710F6">
              <w:rPr>
                <w:rStyle w:val="Hipervnculo"/>
                <w:noProof/>
              </w:rPr>
              <w:t>Políticas de Salud para personas con VIH</w:t>
            </w:r>
            <w:r w:rsidR="001D3A7C">
              <w:rPr>
                <w:noProof/>
                <w:webHidden/>
              </w:rPr>
              <w:tab/>
            </w:r>
            <w:r w:rsidR="001D3A7C">
              <w:rPr>
                <w:noProof/>
                <w:webHidden/>
              </w:rPr>
              <w:fldChar w:fldCharType="begin"/>
            </w:r>
            <w:r w:rsidR="001D3A7C">
              <w:rPr>
                <w:noProof/>
                <w:webHidden/>
              </w:rPr>
              <w:instrText xml:space="preserve"> PAGEREF _Toc89017903 \h </w:instrText>
            </w:r>
            <w:r w:rsidR="001D3A7C">
              <w:rPr>
                <w:noProof/>
                <w:webHidden/>
              </w:rPr>
            </w:r>
            <w:r w:rsidR="001D3A7C">
              <w:rPr>
                <w:noProof/>
                <w:webHidden/>
              </w:rPr>
              <w:fldChar w:fldCharType="separate"/>
            </w:r>
            <w:r w:rsidR="001D3A7C">
              <w:rPr>
                <w:noProof/>
                <w:webHidden/>
              </w:rPr>
              <w:t>171</w:t>
            </w:r>
            <w:r w:rsidR="001D3A7C">
              <w:rPr>
                <w:noProof/>
                <w:webHidden/>
              </w:rPr>
              <w:fldChar w:fldCharType="end"/>
            </w:r>
          </w:hyperlink>
        </w:p>
        <w:p w14:paraId="43900634" w14:textId="13CD5075" w:rsidR="001D3A7C" w:rsidRDefault="00C43FB4" w:rsidP="001D3A7C">
          <w:pPr>
            <w:pStyle w:val="TDC2"/>
            <w:shd w:val="clear" w:color="auto" w:fill="auto"/>
            <w:rPr>
              <w:rFonts w:asciiTheme="minorHAnsi" w:eastAsiaTheme="minorEastAsia" w:hAnsiTheme="minorHAnsi" w:cstheme="minorBidi"/>
              <w:noProof/>
              <w:sz w:val="24"/>
            </w:rPr>
          </w:pPr>
          <w:hyperlink w:anchor="_Toc89017904" w:history="1">
            <w:r w:rsidR="001D3A7C" w:rsidRPr="005710F6">
              <w:rPr>
                <w:rStyle w:val="Hipervnculo"/>
                <w:noProof/>
              </w:rPr>
              <w:t>Políticas de Salud para personas mayores</w:t>
            </w:r>
            <w:r w:rsidR="001D3A7C">
              <w:rPr>
                <w:noProof/>
                <w:webHidden/>
              </w:rPr>
              <w:tab/>
            </w:r>
            <w:r w:rsidR="001D3A7C">
              <w:rPr>
                <w:noProof/>
                <w:webHidden/>
              </w:rPr>
              <w:fldChar w:fldCharType="begin"/>
            </w:r>
            <w:r w:rsidR="001D3A7C">
              <w:rPr>
                <w:noProof/>
                <w:webHidden/>
              </w:rPr>
              <w:instrText xml:space="preserve"> PAGEREF _Toc89017904 \h </w:instrText>
            </w:r>
            <w:r w:rsidR="001D3A7C">
              <w:rPr>
                <w:noProof/>
                <w:webHidden/>
              </w:rPr>
            </w:r>
            <w:r w:rsidR="001D3A7C">
              <w:rPr>
                <w:noProof/>
                <w:webHidden/>
              </w:rPr>
              <w:fldChar w:fldCharType="separate"/>
            </w:r>
            <w:r w:rsidR="001D3A7C">
              <w:rPr>
                <w:noProof/>
                <w:webHidden/>
              </w:rPr>
              <w:t>172</w:t>
            </w:r>
            <w:r w:rsidR="001D3A7C">
              <w:rPr>
                <w:noProof/>
                <w:webHidden/>
              </w:rPr>
              <w:fldChar w:fldCharType="end"/>
            </w:r>
          </w:hyperlink>
        </w:p>
        <w:p w14:paraId="074AD98D" w14:textId="061D3FEC" w:rsidR="001D3A7C" w:rsidRDefault="00C43FB4" w:rsidP="001D3A7C">
          <w:pPr>
            <w:pStyle w:val="TDC2"/>
            <w:shd w:val="clear" w:color="auto" w:fill="auto"/>
            <w:rPr>
              <w:rFonts w:asciiTheme="minorHAnsi" w:eastAsiaTheme="minorEastAsia" w:hAnsiTheme="minorHAnsi" w:cstheme="minorBidi"/>
              <w:noProof/>
              <w:sz w:val="24"/>
            </w:rPr>
          </w:pPr>
          <w:hyperlink w:anchor="_Toc89017905" w:history="1">
            <w:r w:rsidR="001D3A7C" w:rsidRPr="005710F6">
              <w:rPr>
                <w:rStyle w:val="Hipervnculo"/>
                <w:noProof/>
              </w:rPr>
              <w:t>Medidas de Salud para personas en situación de discapacidad</w:t>
            </w:r>
            <w:r w:rsidR="001D3A7C">
              <w:rPr>
                <w:noProof/>
                <w:webHidden/>
              </w:rPr>
              <w:tab/>
            </w:r>
            <w:r w:rsidR="001D3A7C">
              <w:rPr>
                <w:noProof/>
                <w:webHidden/>
              </w:rPr>
              <w:fldChar w:fldCharType="begin"/>
            </w:r>
            <w:r w:rsidR="001D3A7C">
              <w:rPr>
                <w:noProof/>
                <w:webHidden/>
              </w:rPr>
              <w:instrText xml:space="preserve"> PAGEREF _Toc89017905 \h </w:instrText>
            </w:r>
            <w:r w:rsidR="001D3A7C">
              <w:rPr>
                <w:noProof/>
                <w:webHidden/>
              </w:rPr>
            </w:r>
            <w:r w:rsidR="001D3A7C">
              <w:rPr>
                <w:noProof/>
                <w:webHidden/>
              </w:rPr>
              <w:fldChar w:fldCharType="separate"/>
            </w:r>
            <w:r w:rsidR="001D3A7C">
              <w:rPr>
                <w:noProof/>
                <w:webHidden/>
              </w:rPr>
              <w:t>173</w:t>
            </w:r>
            <w:r w:rsidR="001D3A7C">
              <w:rPr>
                <w:noProof/>
                <w:webHidden/>
              </w:rPr>
              <w:fldChar w:fldCharType="end"/>
            </w:r>
          </w:hyperlink>
        </w:p>
        <w:p w14:paraId="5D88B5D6" w14:textId="7CF697B8" w:rsidR="001D3A7C" w:rsidRDefault="00C43FB4" w:rsidP="001D3A7C">
          <w:pPr>
            <w:pStyle w:val="TDC2"/>
            <w:shd w:val="clear" w:color="auto" w:fill="auto"/>
            <w:rPr>
              <w:rFonts w:asciiTheme="minorHAnsi" w:eastAsiaTheme="minorEastAsia" w:hAnsiTheme="minorHAnsi" w:cstheme="minorBidi"/>
              <w:noProof/>
              <w:sz w:val="24"/>
            </w:rPr>
          </w:pPr>
          <w:hyperlink w:anchor="_Toc89017906" w:history="1">
            <w:r w:rsidR="001D3A7C" w:rsidRPr="005710F6">
              <w:rPr>
                <w:rStyle w:val="Hipervnculo"/>
                <w:noProof/>
              </w:rPr>
              <w:t>Aplicación del control de convencionalidad</w:t>
            </w:r>
            <w:r w:rsidR="001D3A7C">
              <w:rPr>
                <w:noProof/>
                <w:webHidden/>
              </w:rPr>
              <w:tab/>
            </w:r>
            <w:r w:rsidR="001D3A7C">
              <w:rPr>
                <w:noProof/>
                <w:webHidden/>
              </w:rPr>
              <w:fldChar w:fldCharType="begin"/>
            </w:r>
            <w:r w:rsidR="001D3A7C">
              <w:rPr>
                <w:noProof/>
                <w:webHidden/>
              </w:rPr>
              <w:instrText xml:space="preserve"> PAGEREF _Toc89017906 \h </w:instrText>
            </w:r>
            <w:r w:rsidR="001D3A7C">
              <w:rPr>
                <w:noProof/>
                <w:webHidden/>
              </w:rPr>
            </w:r>
            <w:r w:rsidR="001D3A7C">
              <w:rPr>
                <w:noProof/>
                <w:webHidden/>
              </w:rPr>
              <w:fldChar w:fldCharType="separate"/>
            </w:r>
            <w:r w:rsidR="001D3A7C">
              <w:rPr>
                <w:noProof/>
                <w:webHidden/>
              </w:rPr>
              <w:t>174</w:t>
            </w:r>
            <w:r w:rsidR="001D3A7C">
              <w:rPr>
                <w:noProof/>
                <w:webHidden/>
              </w:rPr>
              <w:fldChar w:fldCharType="end"/>
            </w:r>
          </w:hyperlink>
        </w:p>
        <w:p w14:paraId="60B4B4BF" w14:textId="357A2154" w:rsidR="001D3A7C" w:rsidRDefault="00C43FB4" w:rsidP="001D3A7C">
          <w:pPr>
            <w:pStyle w:val="TDC2"/>
            <w:shd w:val="clear" w:color="auto" w:fill="auto"/>
            <w:rPr>
              <w:rFonts w:asciiTheme="minorHAnsi" w:eastAsiaTheme="minorEastAsia" w:hAnsiTheme="minorHAnsi" w:cstheme="minorBidi"/>
              <w:noProof/>
              <w:sz w:val="24"/>
            </w:rPr>
          </w:pPr>
          <w:hyperlink w:anchor="_Toc89017907" w:history="1">
            <w:r w:rsidR="001D3A7C" w:rsidRPr="005710F6">
              <w:rPr>
                <w:rStyle w:val="Hipervnculo"/>
                <w:noProof/>
              </w:rPr>
              <w:t>Dejar sentencias sin efecto</w:t>
            </w:r>
            <w:r w:rsidR="001D3A7C">
              <w:rPr>
                <w:noProof/>
                <w:webHidden/>
              </w:rPr>
              <w:tab/>
            </w:r>
            <w:r w:rsidR="001D3A7C">
              <w:rPr>
                <w:noProof/>
                <w:webHidden/>
              </w:rPr>
              <w:fldChar w:fldCharType="begin"/>
            </w:r>
            <w:r w:rsidR="001D3A7C">
              <w:rPr>
                <w:noProof/>
                <w:webHidden/>
              </w:rPr>
              <w:instrText xml:space="preserve"> PAGEREF _Toc89017907 \h </w:instrText>
            </w:r>
            <w:r w:rsidR="001D3A7C">
              <w:rPr>
                <w:noProof/>
                <w:webHidden/>
              </w:rPr>
            </w:r>
            <w:r w:rsidR="001D3A7C">
              <w:rPr>
                <w:noProof/>
                <w:webHidden/>
              </w:rPr>
              <w:fldChar w:fldCharType="separate"/>
            </w:r>
            <w:r w:rsidR="001D3A7C">
              <w:rPr>
                <w:noProof/>
                <w:webHidden/>
              </w:rPr>
              <w:t>175</w:t>
            </w:r>
            <w:r w:rsidR="001D3A7C">
              <w:rPr>
                <w:noProof/>
                <w:webHidden/>
              </w:rPr>
              <w:fldChar w:fldCharType="end"/>
            </w:r>
          </w:hyperlink>
        </w:p>
        <w:p w14:paraId="0F86F3B5" w14:textId="0C2FCCD4" w:rsidR="001D3A7C" w:rsidRDefault="00C43FB4" w:rsidP="001D3A7C">
          <w:pPr>
            <w:pStyle w:val="TDC2"/>
            <w:shd w:val="clear" w:color="auto" w:fill="auto"/>
            <w:rPr>
              <w:rFonts w:asciiTheme="minorHAnsi" w:eastAsiaTheme="minorEastAsia" w:hAnsiTheme="minorHAnsi" w:cstheme="minorBidi"/>
              <w:noProof/>
              <w:sz w:val="24"/>
            </w:rPr>
          </w:pPr>
          <w:hyperlink w:anchor="_Toc89017908" w:history="1">
            <w:r w:rsidR="001D3A7C" w:rsidRPr="005710F6">
              <w:rPr>
                <w:rStyle w:val="Hipervnculo"/>
                <w:noProof/>
              </w:rPr>
              <w:t>Implementar protocolos de atención integral NNA</w:t>
            </w:r>
            <w:r w:rsidR="001D3A7C">
              <w:rPr>
                <w:noProof/>
                <w:webHidden/>
              </w:rPr>
              <w:tab/>
            </w:r>
            <w:r w:rsidR="001D3A7C">
              <w:rPr>
                <w:noProof/>
                <w:webHidden/>
              </w:rPr>
              <w:fldChar w:fldCharType="begin"/>
            </w:r>
            <w:r w:rsidR="001D3A7C">
              <w:rPr>
                <w:noProof/>
                <w:webHidden/>
              </w:rPr>
              <w:instrText xml:space="preserve"> PAGEREF _Toc89017908 \h </w:instrText>
            </w:r>
            <w:r w:rsidR="001D3A7C">
              <w:rPr>
                <w:noProof/>
                <w:webHidden/>
              </w:rPr>
            </w:r>
            <w:r w:rsidR="001D3A7C">
              <w:rPr>
                <w:noProof/>
                <w:webHidden/>
              </w:rPr>
              <w:fldChar w:fldCharType="separate"/>
            </w:r>
            <w:r w:rsidR="001D3A7C">
              <w:rPr>
                <w:noProof/>
                <w:webHidden/>
              </w:rPr>
              <w:t>176</w:t>
            </w:r>
            <w:r w:rsidR="001D3A7C">
              <w:rPr>
                <w:noProof/>
                <w:webHidden/>
              </w:rPr>
              <w:fldChar w:fldCharType="end"/>
            </w:r>
          </w:hyperlink>
        </w:p>
        <w:p w14:paraId="474024F2" w14:textId="21699E44" w:rsidR="001D3A7C" w:rsidRDefault="00C43FB4" w:rsidP="001D3A7C">
          <w:pPr>
            <w:pStyle w:val="TDC2"/>
            <w:shd w:val="clear" w:color="auto" w:fill="auto"/>
            <w:rPr>
              <w:rFonts w:asciiTheme="minorHAnsi" w:eastAsiaTheme="minorEastAsia" w:hAnsiTheme="minorHAnsi" w:cstheme="minorBidi"/>
              <w:noProof/>
              <w:sz w:val="24"/>
            </w:rPr>
          </w:pPr>
          <w:hyperlink w:anchor="_Toc89017909" w:history="1">
            <w:r w:rsidR="001D3A7C" w:rsidRPr="005710F6">
              <w:rPr>
                <w:rStyle w:val="Hipervnculo"/>
                <w:noProof/>
              </w:rPr>
              <w:t>Creación fondo desarrollo ante situación estructural de pobreza</w:t>
            </w:r>
            <w:r w:rsidR="001D3A7C">
              <w:rPr>
                <w:noProof/>
                <w:webHidden/>
              </w:rPr>
              <w:tab/>
            </w:r>
            <w:r w:rsidR="001D3A7C">
              <w:rPr>
                <w:noProof/>
                <w:webHidden/>
              </w:rPr>
              <w:fldChar w:fldCharType="begin"/>
            </w:r>
            <w:r w:rsidR="001D3A7C">
              <w:rPr>
                <w:noProof/>
                <w:webHidden/>
              </w:rPr>
              <w:instrText xml:space="preserve"> PAGEREF _Toc89017909 \h </w:instrText>
            </w:r>
            <w:r w:rsidR="001D3A7C">
              <w:rPr>
                <w:noProof/>
                <w:webHidden/>
              </w:rPr>
            </w:r>
            <w:r w:rsidR="001D3A7C">
              <w:rPr>
                <w:noProof/>
                <w:webHidden/>
              </w:rPr>
              <w:fldChar w:fldCharType="separate"/>
            </w:r>
            <w:r w:rsidR="001D3A7C">
              <w:rPr>
                <w:noProof/>
                <w:webHidden/>
              </w:rPr>
              <w:t>176</w:t>
            </w:r>
            <w:r w:rsidR="001D3A7C">
              <w:rPr>
                <w:noProof/>
                <w:webHidden/>
              </w:rPr>
              <w:fldChar w:fldCharType="end"/>
            </w:r>
          </w:hyperlink>
        </w:p>
        <w:p w14:paraId="02D6289E" w14:textId="66658E95" w:rsidR="001D3A7C" w:rsidRDefault="00C43FB4" w:rsidP="001D3A7C">
          <w:pPr>
            <w:pStyle w:val="TDC2"/>
            <w:shd w:val="clear" w:color="auto" w:fill="auto"/>
            <w:rPr>
              <w:rFonts w:asciiTheme="minorHAnsi" w:eastAsiaTheme="minorEastAsia" w:hAnsiTheme="minorHAnsi" w:cstheme="minorBidi"/>
              <w:noProof/>
              <w:sz w:val="24"/>
            </w:rPr>
          </w:pPr>
          <w:hyperlink w:anchor="_Toc89017910" w:history="1">
            <w:r w:rsidR="001D3A7C" w:rsidRPr="005710F6">
              <w:rPr>
                <w:rStyle w:val="Hipervnculo"/>
                <w:noProof/>
              </w:rPr>
              <w:t>Medidas para combatir violencia policial contra población afrodescendiente</w:t>
            </w:r>
            <w:r w:rsidR="001D3A7C">
              <w:rPr>
                <w:noProof/>
                <w:webHidden/>
              </w:rPr>
              <w:tab/>
            </w:r>
            <w:r w:rsidR="001D3A7C">
              <w:rPr>
                <w:noProof/>
                <w:webHidden/>
              </w:rPr>
              <w:fldChar w:fldCharType="begin"/>
            </w:r>
            <w:r w:rsidR="001D3A7C">
              <w:rPr>
                <w:noProof/>
                <w:webHidden/>
              </w:rPr>
              <w:instrText xml:space="preserve"> PAGEREF _Toc89017910 \h </w:instrText>
            </w:r>
            <w:r w:rsidR="001D3A7C">
              <w:rPr>
                <w:noProof/>
                <w:webHidden/>
              </w:rPr>
            </w:r>
            <w:r w:rsidR="001D3A7C">
              <w:rPr>
                <w:noProof/>
                <w:webHidden/>
              </w:rPr>
              <w:fldChar w:fldCharType="separate"/>
            </w:r>
            <w:r w:rsidR="001D3A7C">
              <w:rPr>
                <w:noProof/>
                <w:webHidden/>
              </w:rPr>
              <w:t>177</w:t>
            </w:r>
            <w:r w:rsidR="001D3A7C">
              <w:rPr>
                <w:noProof/>
                <w:webHidden/>
              </w:rPr>
              <w:fldChar w:fldCharType="end"/>
            </w:r>
          </w:hyperlink>
        </w:p>
        <w:p w14:paraId="6CE0DA8F" w14:textId="0111295A" w:rsidR="001D3A7C" w:rsidRDefault="00C43FB4" w:rsidP="001D3A7C">
          <w:pPr>
            <w:pStyle w:val="TDC2"/>
            <w:shd w:val="clear" w:color="auto" w:fill="auto"/>
            <w:rPr>
              <w:rFonts w:asciiTheme="minorHAnsi" w:eastAsiaTheme="minorEastAsia" w:hAnsiTheme="minorHAnsi" w:cstheme="minorBidi"/>
              <w:noProof/>
              <w:sz w:val="24"/>
            </w:rPr>
          </w:pPr>
          <w:hyperlink w:anchor="_Toc89017911" w:history="1">
            <w:r w:rsidR="001D3A7C" w:rsidRPr="005710F6">
              <w:rPr>
                <w:rStyle w:val="Hipervnculo"/>
                <w:noProof/>
              </w:rPr>
              <w:t>Medidas para garantizar consentimiento informado de personas en situación de discapacidad</w:t>
            </w:r>
            <w:r w:rsidR="001D3A7C">
              <w:rPr>
                <w:noProof/>
                <w:webHidden/>
              </w:rPr>
              <w:tab/>
            </w:r>
            <w:r w:rsidR="001D3A7C">
              <w:rPr>
                <w:noProof/>
                <w:webHidden/>
              </w:rPr>
              <w:fldChar w:fldCharType="begin"/>
            </w:r>
            <w:r w:rsidR="001D3A7C">
              <w:rPr>
                <w:noProof/>
                <w:webHidden/>
              </w:rPr>
              <w:instrText xml:space="preserve"> PAGEREF _Toc89017911 \h </w:instrText>
            </w:r>
            <w:r w:rsidR="001D3A7C">
              <w:rPr>
                <w:noProof/>
                <w:webHidden/>
              </w:rPr>
            </w:r>
            <w:r w:rsidR="001D3A7C">
              <w:rPr>
                <w:noProof/>
                <w:webHidden/>
              </w:rPr>
              <w:fldChar w:fldCharType="separate"/>
            </w:r>
            <w:r w:rsidR="001D3A7C">
              <w:rPr>
                <w:noProof/>
                <w:webHidden/>
              </w:rPr>
              <w:t>178</w:t>
            </w:r>
            <w:r w:rsidR="001D3A7C">
              <w:rPr>
                <w:noProof/>
                <w:webHidden/>
              </w:rPr>
              <w:fldChar w:fldCharType="end"/>
            </w:r>
          </w:hyperlink>
        </w:p>
        <w:p w14:paraId="3EE705FB" w14:textId="092DA3C1" w:rsidR="003A3485" w:rsidRPr="00BB63D0" w:rsidRDefault="003A3485" w:rsidP="001D3A7C">
          <w:pPr>
            <w:rPr>
              <w:b/>
              <w:color w:val="000000" w:themeColor="text1"/>
              <w:szCs w:val="20"/>
            </w:rPr>
          </w:pPr>
          <w:r w:rsidRPr="00BB63D0">
            <w:rPr>
              <w:rFonts w:cs="Calibri Light"/>
              <w:color w:val="0F243E" w:themeColor="text2" w:themeShade="80"/>
              <w:szCs w:val="20"/>
              <w:lang w:val="es-ES"/>
            </w:rPr>
            <w:fldChar w:fldCharType="end"/>
          </w:r>
        </w:p>
      </w:sdtContent>
    </w:sdt>
    <w:p w14:paraId="3FDD50CA" w14:textId="77777777" w:rsidR="003A3485" w:rsidRPr="00BB63D0" w:rsidRDefault="003A3485" w:rsidP="00BB63D0">
      <w:pPr>
        <w:pStyle w:val="Sinespaciado"/>
        <w:rPr>
          <w:szCs w:val="20"/>
        </w:rPr>
      </w:pPr>
    </w:p>
    <w:p w14:paraId="287130B9" w14:textId="77777777" w:rsidR="003A3485" w:rsidRPr="00BB63D0" w:rsidRDefault="003A3485" w:rsidP="00BB63D0">
      <w:pPr>
        <w:pStyle w:val="Sinespaciado"/>
        <w:rPr>
          <w:szCs w:val="20"/>
        </w:rPr>
      </w:pPr>
    </w:p>
    <w:p w14:paraId="1966ECCC" w14:textId="77777777" w:rsidR="003A3485" w:rsidRPr="00BB63D0" w:rsidRDefault="003A3485" w:rsidP="00BB63D0">
      <w:pPr>
        <w:pStyle w:val="Sinespaciado"/>
        <w:rPr>
          <w:szCs w:val="20"/>
        </w:rPr>
      </w:pPr>
    </w:p>
    <w:p w14:paraId="1C96FB72" w14:textId="2250FCAC" w:rsidR="00637599" w:rsidRDefault="00637599">
      <w:pPr>
        <w:spacing w:line="252" w:lineRule="auto"/>
        <w:jc w:val="left"/>
        <w:rPr>
          <w:b/>
          <w:caps/>
          <w:color w:val="215868" w:themeColor="accent5" w:themeShade="80"/>
          <w:spacing w:val="20"/>
          <w:szCs w:val="20"/>
        </w:rPr>
      </w:pPr>
      <w:r>
        <w:rPr>
          <w:color w:val="215868" w:themeColor="accent5" w:themeShade="80"/>
          <w:szCs w:val="20"/>
        </w:rPr>
        <w:br w:type="page"/>
      </w:r>
    </w:p>
    <w:p w14:paraId="6738F3C4" w14:textId="77777777" w:rsidR="003A3485" w:rsidRPr="00BB63D0" w:rsidRDefault="003A3485" w:rsidP="00FD5063">
      <w:pPr>
        <w:pStyle w:val="Ttulo1"/>
      </w:pPr>
      <w:bookmarkStart w:id="0" w:name="_Toc89017863"/>
      <w:r w:rsidRPr="00BB63D0">
        <w:lastRenderedPageBreak/>
        <w:t>1.</w:t>
      </w:r>
      <w:r w:rsidRPr="00BB63D0">
        <w:tab/>
        <w:t>Aspectos generales del principio de igualdad y no discriminación</w:t>
      </w:r>
      <w:bookmarkEnd w:id="0"/>
    </w:p>
    <w:p w14:paraId="0EEC9E9E" w14:textId="3AE19B73" w:rsidR="003A3485" w:rsidRPr="00BB63D0" w:rsidRDefault="003A3485" w:rsidP="00BB63D0">
      <w:pPr>
        <w:rPr>
          <w:szCs w:val="20"/>
          <w:lang w:val="es-ES_tradnl"/>
        </w:rPr>
      </w:pPr>
      <w:r w:rsidRPr="00BB63D0">
        <w:rPr>
          <w:szCs w:val="20"/>
          <w:lang w:val="es-ES_tradnl"/>
        </w:rPr>
        <w:t xml:space="preserve">En este primer apartado se tratan los aspectos generales relativos al alcance del principio de igualdad y no discriminación en la jurisprudencia de la Corte IDH, el que es considerado un principio básico y general de la protección de los derechos humanos, alcanzando el carácter de </w:t>
      </w:r>
      <w:r w:rsidRPr="00BB63D0">
        <w:rPr>
          <w:i/>
          <w:iCs/>
          <w:szCs w:val="20"/>
          <w:lang w:val="es-ES_tradnl"/>
        </w:rPr>
        <w:t>ius cogens</w:t>
      </w:r>
      <w:r w:rsidRPr="00BB63D0">
        <w:rPr>
          <w:szCs w:val="20"/>
          <w:lang w:val="es-ES_tradnl"/>
        </w:rPr>
        <w:t xml:space="preserve">. </w:t>
      </w:r>
    </w:p>
    <w:p w14:paraId="268DC2E8" w14:textId="375792DB" w:rsidR="003A3485" w:rsidRPr="00BB63D0" w:rsidRDefault="003A3485" w:rsidP="00A30992">
      <w:pPr>
        <w:pStyle w:val="Ttulo2"/>
      </w:pPr>
      <w:bookmarkStart w:id="1" w:name="_Toc89017864"/>
      <w:r w:rsidRPr="00BB63D0">
        <w:t xml:space="preserve">Alcance del principio de igualdad y no discriminación, carácter de </w:t>
      </w:r>
      <w:proofErr w:type="spellStart"/>
      <w:r w:rsidRPr="00BB63D0">
        <w:rPr>
          <w:i/>
          <w:iCs/>
        </w:rPr>
        <w:t>jus</w:t>
      </w:r>
      <w:proofErr w:type="spellEnd"/>
      <w:r w:rsidRPr="00BB63D0">
        <w:rPr>
          <w:i/>
          <w:iCs/>
        </w:rPr>
        <w:t xml:space="preserve"> cogens</w:t>
      </w:r>
      <w:bookmarkEnd w:id="1"/>
    </w:p>
    <w:p w14:paraId="277AF7E7" w14:textId="77777777" w:rsidR="003A3485" w:rsidRPr="00BB63D0" w:rsidRDefault="003A3485" w:rsidP="00BB63D0">
      <w:pPr>
        <w:pStyle w:val="Sinespaciado"/>
        <w:rPr>
          <w:szCs w:val="20"/>
          <w:lang w:val="es-ES"/>
        </w:rPr>
      </w:pPr>
    </w:p>
    <w:p w14:paraId="3385268B" w14:textId="7184EE0B" w:rsidR="003A3485" w:rsidRPr="00BB63D0" w:rsidRDefault="003A3485" w:rsidP="00BB63D0">
      <w:pPr>
        <w:pStyle w:val="Caso"/>
        <w:rPr>
          <w:lang w:val="es-ES"/>
        </w:rPr>
      </w:pPr>
      <w:r w:rsidRPr="00BB63D0">
        <w:rPr>
          <w:lang w:val="es-ES"/>
        </w:rPr>
        <w:t>Corte IDH. Propuesta de modificación a la Constitución Política de Costa Rica relacionada con la naturalización. Opinión Consultiva OC-4/84 de 19 de enero de 1984. Serie A No. 4</w:t>
      </w:r>
      <w:r w:rsidR="00234E1D">
        <w:rPr>
          <w:rStyle w:val="Refdenotaalpie"/>
          <w:lang w:val="es-ES"/>
        </w:rPr>
        <w:footnoteReference w:id="1"/>
      </w:r>
    </w:p>
    <w:p w14:paraId="1624833B" w14:textId="5288CD0F" w:rsidR="003A3485" w:rsidRPr="00BB63D0" w:rsidRDefault="003A3485" w:rsidP="00BB63D0">
      <w:pPr>
        <w:rPr>
          <w:b/>
          <w:szCs w:val="20"/>
        </w:rPr>
      </w:pPr>
      <w:r w:rsidRPr="00BB63D0">
        <w:rPr>
          <w:szCs w:val="20"/>
          <w:lang w:val="es-ES"/>
        </w:rPr>
        <w:t xml:space="preserve">55. </w:t>
      </w:r>
      <w:r w:rsidRPr="00BB63D0">
        <w:rPr>
          <w:szCs w:val="20"/>
          <w:lang w:val="es-ES"/>
        </w:rPr>
        <w:tab/>
        <w:t xml:space="preserve">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 No es admisible crear diferencias de tratamiento entre seres humanos que no se correspondan con su única e idéntica naturaleza. </w:t>
      </w:r>
      <w:r w:rsidR="00651730">
        <w:rPr>
          <w:rStyle w:val="EnelmismoCar"/>
        </w:rPr>
        <w:t>En similar sentido, ver entre otros</w:t>
      </w:r>
      <w:r w:rsidRPr="00BB63D0">
        <w:rPr>
          <w:rStyle w:val="EnelmismoCar"/>
        </w:rPr>
        <w:t xml:space="preserve">: Condición jurídica y derechos humanos del niño. Opinión Consultiva OC-17/02 de 28 de agosto de 2002. Serie A No. 17, párr. 45; Condición jurídica y derechos de los migrantes indocumentados. Opinión Consultiva OC-18/03 de 17 de septiembre de 2003. Serie A No. 18, párr. 87. </w:t>
      </w:r>
    </w:p>
    <w:p w14:paraId="11CB3505" w14:textId="7CFF364E" w:rsidR="003A3485" w:rsidRPr="00BB63D0" w:rsidRDefault="003A3485" w:rsidP="00BB63D0">
      <w:pPr>
        <w:rPr>
          <w:b/>
          <w:szCs w:val="20"/>
        </w:rPr>
      </w:pPr>
      <w:r w:rsidRPr="00BB63D0">
        <w:rPr>
          <w:b/>
          <w:szCs w:val="20"/>
        </w:rPr>
        <w:t>Corte IDH. Condición jurídica y derechos de los migrantes indocumentados. Opinión Consultiva OC-18/03 de 17 de septiembre de 2003. Serie A No. 18</w:t>
      </w:r>
      <w:r w:rsidR="00802F1A">
        <w:rPr>
          <w:rStyle w:val="Refdenotaalpie"/>
          <w:b/>
          <w:szCs w:val="20"/>
        </w:rPr>
        <w:footnoteReference w:id="2"/>
      </w:r>
    </w:p>
    <w:p w14:paraId="3BBDB857" w14:textId="77777777" w:rsidR="003A3485" w:rsidRPr="00BB63D0" w:rsidRDefault="003A3485" w:rsidP="00BB63D0">
      <w:pPr>
        <w:rPr>
          <w:szCs w:val="20"/>
        </w:rPr>
      </w:pPr>
      <w:r w:rsidRPr="00BB63D0">
        <w:rPr>
          <w:szCs w:val="20"/>
        </w:rPr>
        <w:lastRenderedPageBreak/>
        <w:t>83.</w:t>
      </w:r>
      <w:r w:rsidRPr="00BB63D0">
        <w:rPr>
          <w:szCs w:val="20"/>
        </w:rPr>
        <w:tab/>
        <w:t>La no discriminación, junto con la igualdad ante la ley y la igual protección de la ley a favor de todas las personas, son elementos constitutivos de un principio básico y general relacionado con la protección de los derechos humanos. El elemento de la igualdad es difícil de desligar de la no discriminación. Incluso, los instrumentos ya citados […], al hablar de igualdad ante la ley, señalan que este principio debe garantizarse sin discriminación alguna. Este Tribunal ha indicado que “[e]n función del reconocimiento de la igualdad ante la ley se prohíbe todo tratamiento discriminatorio”.</w:t>
      </w:r>
    </w:p>
    <w:p w14:paraId="7855ABEE" w14:textId="77777777" w:rsidR="003A3485" w:rsidRPr="00BB63D0" w:rsidRDefault="003A3485" w:rsidP="00BB63D0">
      <w:pPr>
        <w:rPr>
          <w:szCs w:val="20"/>
        </w:rPr>
      </w:pPr>
      <w:r w:rsidRPr="00BB63D0">
        <w:rPr>
          <w:szCs w:val="20"/>
        </w:rPr>
        <w:t>88.</w:t>
      </w:r>
      <w:r w:rsidRPr="00BB63D0">
        <w:rPr>
          <w:szCs w:val="20"/>
        </w:rPr>
        <w:tab/>
        <w:t>El principio de igualdad y no discriminación posee un carácter fundamental para la salvaguardia de los derechos humanos tanto en el derecho internacional como en el interno. Por consiguiente, los Estados tienen la obligación de no introducir en su ordenamiento jurídico regulaciones discriminatorias, de eliminar de dicho ordenamiento las regulaciones de carácter discriminatorio y de combatir las prácticas discriminatorias.</w:t>
      </w:r>
    </w:p>
    <w:p w14:paraId="09B1D0DC" w14:textId="77777777" w:rsidR="003A3485" w:rsidRPr="00BB63D0" w:rsidRDefault="003A3485" w:rsidP="00BB63D0">
      <w:pPr>
        <w:rPr>
          <w:szCs w:val="20"/>
        </w:rPr>
      </w:pPr>
      <w:r w:rsidRPr="00BB63D0">
        <w:rPr>
          <w:szCs w:val="20"/>
        </w:rPr>
        <w:t>100.</w:t>
      </w:r>
      <w:r w:rsidRPr="00BB63D0">
        <w:rPr>
          <w:szCs w:val="20"/>
        </w:rPr>
        <w:tab/>
        <w:t>Al referirse, en particular, a la obligación de respeto y garantía de los derechos humanos, independientemente de cuáles de esos derechos estén reconocidos por cada Estado en normas de carácter interno o internacional, la Corte considera evidente que todos los Estados, como miembros de la comunidad internacional, deben cumplir con esas obligaciones sin discriminación alguna, lo cual se encuentra intrínsecamente relacionado con el derecho a una protección igualitaria ante la ley, que a su vez se desprende “directamente de la unidad de naturaleza del género humano y es inseparable de la dignidad esencial de la persona”. El principio de igualdad ante la ley y no discriminación impregna toda actuación del poder del Estado, en cualquiera de sus manifestaciones, relacionada con el respeto y garantía de los derechos humanos. Dicho principio puede considerarse efectivamente como imperativo del derecho internacional general, en cuanto es aplicable a todo Estado, independientemente de que sea parte o no en determinado tratado internacional, y genera efectos con respecto a terceros, inclusive a particulares. Esto implica que el Estado, ya sea a nivel internacional o en su ordenamiento interno, y por actos de cualquiera de sus poderes o de terceros que actúen bajo su tolerancia, aquiescencia o negligencia, no puede actuar en contra del principio de igualdad y no discriminación, en perjuicio de un determinado grupo de personas.</w:t>
      </w:r>
    </w:p>
    <w:p w14:paraId="05A64418" w14:textId="77777777" w:rsidR="003A3485" w:rsidRPr="00BB63D0" w:rsidRDefault="003A3485" w:rsidP="00BB63D0">
      <w:pPr>
        <w:rPr>
          <w:szCs w:val="20"/>
        </w:rPr>
      </w:pPr>
      <w:r w:rsidRPr="00BB63D0">
        <w:rPr>
          <w:szCs w:val="20"/>
        </w:rPr>
        <w:t>101.</w:t>
      </w:r>
      <w:r w:rsidRPr="00BB63D0">
        <w:rPr>
          <w:szCs w:val="20"/>
        </w:rPr>
        <w:tab/>
        <w:t xml:space="preserve">En concordancia con ello, este Tribunal considera que el principio de igualdad ante la ley, igual protección ante la ley y no discriminación, pertenece al </w:t>
      </w:r>
      <w:proofErr w:type="spellStart"/>
      <w:r w:rsidRPr="00BB63D0">
        <w:rPr>
          <w:szCs w:val="20"/>
        </w:rPr>
        <w:t>jus</w:t>
      </w:r>
      <w:proofErr w:type="spellEnd"/>
      <w:r w:rsidRPr="00BB63D0">
        <w:rPr>
          <w:szCs w:val="20"/>
        </w:rPr>
        <w:t xml:space="preserve"> cogens, puesto que sobre él descansa todo el andamiaje jurídico del orden público nacional e internacional y es un principio fundamental que permea todo ordenamiento jurídico. Hoy día no se admite ningún acto jurídico que entre en conflicto con dicho principio fundamental, no se admiten tratos discriminatorios en perjuicio de ninguna persona, por motivos de género, raza, color, idioma, religión o convicción, opinión política o de otra índole, origen nacional, étnico o social, nacionalidad, edad, situación económica, patrimonio, estado civil, nacimiento o cualquier otra condición. Este </w:t>
      </w:r>
      <w:r w:rsidRPr="00BB63D0">
        <w:rPr>
          <w:szCs w:val="20"/>
        </w:rPr>
        <w:lastRenderedPageBreak/>
        <w:t xml:space="preserve">principio (igualdad y no discriminación) forma parte del derecho internacional general. En la actual etapa de la evolución del derecho internacional, el principio fundamental de igualdad y no discriminación ha ingresado en el dominio del </w:t>
      </w:r>
      <w:proofErr w:type="spellStart"/>
      <w:r w:rsidRPr="00BB63D0">
        <w:rPr>
          <w:szCs w:val="20"/>
        </w:rPr>
        <w:t>jus</w:t>
      </w:r>
      <w:proofErr w:type="spellEnd"/>
      <w:r w:rsidRPr="00BB63D0">
        <w:rPr>
          <w:szCs w:val="20"/>
        </w:rPr>
        <w:t xml:space="preserve"> cogens.</w:t>
      </w:r>
    </w:p>
    <w:p w14:paraId="568EFAB9" w14:textId="669C52BE" w:rsidR="00686D60" w:rsidRPr="00802F1A" w:rsidRDefault="003A3485" w:rsidP="00BB63D0">
      <w:pPr>
        <w:pStyle w:val="Caso"/>
      </w:pPr>
      <w:r w:rsidRPr="00BB63D0">
        <w:rPr>
          <w:lang w:val="es-ES_tradnl"/>
        </w:rPr>
        <w:t>Corte IDH. Caso Yatama Vs. Nicaragua. Excepciones Preliminares, Fondo, Reparaciones y Costas. Sentencia de 23 de junio de 2005. Serie C No. 127</w:t>
      </w:r>
      <w:r w:rsidR="00802F1A" w:rsidRPr="00802F1A">
        <w:rPr>
          <w:vertAlign w:val="superscript"/>
        </w:rPr>
        <w:footnoteReference w:id="3"/>
      </w:r>
    </w:p>
    <w:p w14:paraId="46357947" w14:textId="6E482454" w:rsidR="00686D60" w:rsidRPr="00BB63D0" w:rsidRDefault="00686D60" w:rsidP="00BB63D0">
      <w:pPr>
        <w:rPr>
          <w:b/>
          <w:szCs w:val="20"/>
        </w:rPr>
      </w:pPr>
      <w:r w:rsidRPr="00BB63D0">
        <w:rPr>
          <w:szCs w:val="20"/>
          <w:lang w:val="es-ES_tradnl"/>
        </w:rPr>
        <w:t>184.</w:t>
      </w:r>
      <w:r w:rsidRPr="00BB63D0">
        <w:rPr>
          <w:szCs w:val="20"/>
          <w:lang w:val="es-ES_tradnl"/>
        </w:rPr>
        <w:tab/>
        <w:t xml:space="preserve">El principio de la protección igualitaria y efectiva de la ley y de la no discriminación constituye un dato sobresaliente en el sistema tutelar de los derechos humanos consagrado en muchos instrumentos internacionales y desarrollado por la doctrina y jurisprudencia internacionales. En la actual etapa de la evolución del derecho internacional, el principio fundamental de igualdad y no discriminación ha ingresado en el dominio del </w:t>
      </w:r>
      <w:proofErr w:type="spellStart"/>
      <w:r w:rsidRPr="00BB63D0">
        <w:rPr>
          <w:szCs w:val="20"/>
          <w:lang w:val="es-ES_tradnl"/>
        </w:rPr>
        <w:t>jus</w:t>
      </w:r>
      <w:proofErr w:type="spellEnd"/>
      <w:r w:rsidRPr="00BB63D0">
        <w:rPr>
          <w:szCs w:val="20"/>
          <w:lang w:val="es-ES_tradnl"/>
        </w:rPr>
        <w:t xml:space="preserve"> cogens. Sobre él descansa el andamiaje jurídico del orden público nacional e internacional y permea todo el ordenamiento jurídico. </w:t>
      </w:r>
      <w:r w:rsidR="00651730">
        <w:rPr>
          <w:rStyle w:val="EnelmismoCar"/>
        </w:rPr>
        <w:t>En similar sentido, ver entre otros</w:t>
      </w:r>
      <w:r w:rsidRPr="00BB63D0">
        <w:rPr>
          <w:rStyle w:val="EnelmismoCar"/>
        </w:rPr>
        <w:t xml:space="preserve">: Caso Comunidad Indígena </w:t>
      </w:r>
      <w:proofErr w:type="spellStart"/>
      <w:r w:rsidRPr="00BB63D0">
        <w:rPr>
          <w:rStyle w:val="EnelmismoCar"/>
        </w:rPr>
        <w:t>Xákmok</w:t>
      </w:r>
      <w:proofErr w:type="spellEnd"/>
      <w:r w:rsidRPr="00BB63D0">
        <w:rPr>
          <w:rStyle w:val="EnelmismoCar"/>
        </w:rPr>
        <w:t xml:space="preserve"> </w:t>
      </w:r>
      <w:proofErr w:type="spellStart"/>
      <w:r w:rsidRPr="00BB63D0">
        <w:rPr>
          <w:rStyle w:val="EnelmismoCar"/>
        </w:rPr>
        <w:t>Kásek</w:t>
      </w:r>
      <w:proofErr w:type="spellEnd"/>
      <w:r w:rsidRPr="00BB63D0">
        <w:rPr>
          <w:rStyle w:val="EnelmismoCar"/>
        </w:rPr>
        <w:t xml:space="preserve"> Vs. Paraguay. Fondo, Reparaciones y Costas. Sentencia de 24 de agosto de 2010. Serie C No. 214, párr. 269; Caso </w:t>
      </w:r>
      <w:proofErr w:type="spellStart"/>
      <w:r w:rsidRPr="00BB63D0">
        <w:rPr>
          <w:rStyle w:val="EnelmismoCar"/>
        </w:rPr>
        <w:t>Nadege</w:t>
      </w:r>
      <w:proofErr w:type="spellEnd"/>
      <w:r w:rsidRPr="00BB63D0">
        <w:rPr>
          <w:rStyle w:val="EnelmismoCar"/>
        </w:rPr>
        <w:t xml:space="preserve"> </w:t>
      </w:r>
      <w:proofErr w:type="spellStart"/>
      <w:r w:rsidRPr="00BB63D0">
        <w:rPr>
          <w:rStyle w:val="EnelmismoCar"/>
        </w:rPr>
        <w:t>Dorzema</w:t>
      </w:r>
      <w:proofErr w:type="spellEnd"/>
      <w:r w:rsidRPr="00BB63D0">
        <w:rPr>
          <w:rStyle w:val="EnelmismoCar"/>
        </w:rPr>
        <w:t xml:space="preserve"> y otros Vs. República Dominicana. Fondo Reparaciones y Costas. Sentencia de 24 de octubre de 2012. Serie C No. 251, párr. 225; Caso Veliz Franco y otros Vs. Guatemala. Excepciones Preliminares, Fondo, Reparaciones y Costas. Sentencia de 19 de mayo de 2014. Serie C No. 277, párr. 205; Caso </w:t>
      </w:r>
      <w:proofErr w:type="spellStart"/>
      <w:r w:rsidRPr="00BB63D0">
        <w:rPr>
          <w:rStyle w:val="EnelmismoCar"/>
        </w:rPr>
        <w:t>Granier</w:t>
      </w:r>
      <w:proofErr w:type="spellEnd"/>
      <w:r w:rsidRPr="00BB63D0">
        <w:rPr>
          <w:rStyle w:val="EnelmismoCar"/>
        </w:rPr>
        <w:t xml:space="preserve"> y otros (Radio Caracas Televisión) Vs. Venezuela. Excepciones Preliminares, Fondo, Reparaciones y Costas. Sentencia de 22 de junio de 2015. Serie C No. 293, párr. 215; Caso Trabajadores de la Hacienda Brasil Verde Vs. Brasil. Excepciones Preliminares, Fondo, Reparaciones y Costas. Sentencia de 20 de octubre de 2016. Serie C No. 318, párr. 416.</w:t>
      </w:r>
    </w:p>
    <w:p w14:paraId="0C7A6C1E" w14:textId="77777777" w:rsidR="00686D60" w:rsidRPr="00BB63D0" w:rsidRDefault="00686D60" w:rsidP="00BB63D0">
      <w:pPr>
        <w:rPr>
          <w:szCs w:val="20"/>
          <w:lang w:val="es-ES_tradnl"/>
        </w:rPr>
      </w:pPr>
      <w:r w:rsidRPr="00BB63D0">
        <w:rPr>
          <w:szCs w:val="20"/>
          <w:lang w:val="es-ES_tradnl"/>
        </w:rPr>
        <w:t>185.</w:t>
      </w:r>
      <w:r w:rsidRPr="00BB63D0">
        <w:rPr>
          <w:szCs w:val="20"/>
          <w:lang w:val="es-ES_tradnl"/>
        </w:rPr>
        <w:tab/>
        <w:t>Ese principio posee un carácter fundamental para la salvaguardia de los derechos humanos tanto en el derecho internacional como en el interno; se trata de un principio de derecho imperativo. Por consiguiente, los Estados tienen la obligación de no introducir en su ordenamiento jurídico regulaciones discriminatorias, eliminar las regulaciones de carácter discriminatorio, combatir las prácticas de este carácter y establecer normas y otras medidas que reconozcan y aseguren la efectiva igualdad ante la ley de todas las personas. Es discriminatoria una distinción que carezca de justificación objetiva y razonable.</w:t>
      </w:r>
    </w:p>
    <w:p w14:paraId="4F926DC6" w14:textId="429F6865" w:rsidR="007269CF" w:rsidRPr="00BB63D0" w:rsidRDefault="00686D60" w:rsidP="00BB63D0">
      <w:pPr>
        <w:pStyle w:val="Caso"/>
      </w:pPr>
      <w:r w:rsidRPr="00BB63D0">
        <w:t xml:space="preserve">Corte IDH. Caso Comunidad Indígena </w:t>
      </w:r>
      <w:proofErr w:type="spellStart"/>
      <w:r w:rsidRPr="00BB63D0">
        <w:t>Xákmok</w:t>
      </w:r>
      <w:proofErr w:type="spellEnd"/>
      <w:r w:rsidRPr="00BB63D0">
        <w:t xml:space="preserve"> </w:t>
      </w:r>
      <w:proofErr w:type="spellStart"/>
      <w:r w:rsidRPr="00BB63D0">
        <w:t>Kásek</w:t>
      </w:r>
      <w:proofErr w:type="spellEnd"/>
      <w:r w:rsidRPr="00BB63D0">
        <w:t xml:space="preserve"> Vs. Paraguay. Fondo, Reparaciones y Costas. Sentencia de 24 de agosto de 2010. Serie C No. 214</w:t>
      </w:r>
      <w:r w:rsidR="007269CF" w:rsidRPr="00BB63D0">
        <w:rPr>
          <w:rStyle w:val="Refdenotaalpie"/>
        </w:rPr>
        <w:footnoteReference w:id="4"/>
      </w:r>
    </w:p>
    <w:p w14:paraId="33088CA1" w14:textId="702D5D6C" w:rsidR="007269CF" w:rsidRPr="00BB63D0" w:rsidRDefault="007269CF" w:rsidP="00BB63D0">
      <w:pPr>
        <w:rPr>
          <w:b/>
          <w:szCs w:val="20"/>
        </w:rPr>
      </w:pPr>
      <w:r w:rsidRPr="00BB63D0">
        <w:rPr>
          <w:szCs w:val="20"/>
        </w:rPr>
        <w:t xml:space="preserve">268. La Corte ha establecido que el artículo 1.1 de la Convención, es una norma de carácter general cuyo contenido se extiende a todas las disposiciones del tratado,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El incumplimiento por el Estado, mediante cualquier tratamiento discriminatorio, de la obligación general de respetar y garantizar los derechos humanos, le genera </w:t>
      </w:r>
      <w:r w:rsidRPr="00BB63D0">
        <w:rPr>
          <w:szCs w:val="20"/>
        </w:rPr>
        <w:lastRenderedPageBreak/>
        <w:t xml:space="preserve">responsabilidad internacional. Es por ello que existe un vínculo indisoluble entre la obligación de respetar y garantizar los derechos humanos y el principio de igualdad y no discriminación. </w:t>
      </w:r>
      <w:r w:rsidR="00651730">
        <w:rPr>
          <w:rStyle w:val="EnelmismoCar"/>
        </w:rPr>
        <w:t>En similar sentido, ver entre otros</w:t>
      </w:r>
      <w:r w:rsidRPr="00BB63D0">
        <w:rPr>
          <w:rStyle w:val="EnelmismoCar"/>
        </w:rPr>
        <w:t xml:space="preserve">: Caso Atala Riffo y niñas Vs. Chile. Fondo, Reparaciones y Costas. Sentencia de 24 de febrero de 2012. Serie C No. 239, párr. 78; Caso </w:t>
      </w:r>
      <w:proofErr w:type="spellStart"/>
      <w:r w:rsidRPr="00BB63D0">
        <w:rPr>
          <w:rStyle w:val="EnelmismoCar"/>
        </w:rPr>
        <w:t>Nadege</w:t>
      </w:r>
      <w:proofErr w:type="spellEnd"/>
      <w:r w:rsidRPr="00BB63D0">
        <w:rPr>
          <w:rStyle w:val="EnelmismoCar"/>
        </w:rPr>
        <w:t xml:space="preserve"> </w:t>
      </w:r>
      <w:proofErr w:type="spellStart"/>
      <w:r w:rsidRPr="00BB63D0">
        <w:rPr>
          <w:rStyle w:val="EnelmismoCar"/>
        </w:rPr>
        <w:t>Dorzema</w:t>
      </w:r>
      <w:proofErr w:type="spellEnd"/>
      <w:r w:rsidRPr="00BB63D0">
        <w:rPr>
          <w:rStyle w:val="EnelmismoCar"/>
        </w:rPr>
        <w:t xml:space="preserve"> y otros Vs. República Dominicana. Fondo Reparaciones y Costas. Sentencia de 24 de octubre de 2012. Serie C No. 251, párr. 224; Caso Veliz Franco y otros Vs. Guatemala. Excepciones Preliminares, Fondo, Reparaciones y Costas. Sentencia de 19 de mayo de 2014. Serie C No. 277, párr. 204; Caso I.V. Vs. Bolivia. Excepciones Preliminares, Fondo, Reparaciones y Costas. Sentencia de 30 de noviembre de 2016. Serie C No. 329, párr. 239; Caso Trabajadores de la Hacienda Brasil Verde Vs. Brasil. Excepciones Preliminares, Fondo, Reparaciones y Costas. Sentencia de 20 de octubre de 2016. Serie C No. 318, párr. 335.</w:t>
      </w:r>
    </w:p>
    <w:p w14:paraId="6A07CE62" w14:textId="4E476512" w:rsidR="007269CF" w:rsidRPr="00BB63D0" w:rsidRDefault="007269CF" w:rsidP="00BB63D0">
      <w:pPr>
        <w:pStyle w:val="Caso"/>
      </w:pPr>
      <w:r w:rsidRPr="00BB63D0">
        <w:t>Corte IDH. Caso Atala Riffo y niñas Vs. Chile. Fondo, Reparaciones y Costas. Sentencia de 24 de febrero de 2012. Serie C No. 239</w:t>
      </w:r>
      <w:r w:rsidRPr="00F10470">
        <w:rPr>
          <w:rStyle w:val="Refdenotaalpie"/>
          <w:rFonts w:cstheme="minorHAnsi"/>
        </w:rPr>
        <w:footnoteReference w:id="5"/>
      </w:r>
    </w:p>
    <w:p w14:paraId="488573E5" w14:textId="3C57E543" w:rsidR="007269CF" w:rsidRPr="00BB63D0" w:rsidRDefault="007269CF" w:rsidP="00BB63D0">
      <w:pPr>
        <w:rPr>
          <w:rStyle w:val="EnelmismoCar"/>
        </w:rPr>
      </w:pPr>
      <w:r w:rsidRPr="00BB63D0">
        <w:rPr>
          <w:szCs w:val="20"/>
        </w:rPr>
        <w:t>79.</w:t>
      </w:r>
      <w:r w:rsidRPr="00BB63D0">
        <w:rPr>
          <w:szCs w:val="20"/>
        </w:rPr>
        <w:tab/>
        <w:t xml:space="preserve">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también ha indicado que en la actual etapa de la evolución del derecho internacional, el principio fundamental de igualdad y no discriminación ha ingresado en el dominio del </w:t>
      </w:r>
      <w:proofErr w:type="spellStart"/>
      <w:r w:rsidRPr="00BB63D0">
        <w:rPr>
          <w:szCs w:val="20"/>
        </w:rPr>
        <w:t>jus</w:t>
      </w:r>
      <w:proofErr w:type="spellEnd"/>
      <w:r w:rsidRPr="00BB63D0">
        <w:rPr>
          <w:szCs w:val="20"/>
        </w:rPr>
        <w:t xml:space="preserve"> cogens. Sobre él descansa el andamiaje jurídico del orden público nacional e internacional y permean todo el ordenamiento jurídico. </w:t>
      </w:r>
      <w:r w:rsidR="00651730">
        <w:rPr>
          <w:rStyle w:val="EnelmismoCar"/>
        </w:rPr>
        <w:t>En similar sentido, ver entre otros</w:t>
      </w:r>
      <w:r w:rsidRPr="00BB63D0">
        <w:rPr>
          <w:rStyle w:val="EnelmismoCar"/>
        </w:rPr>
        <w:t xml:space="preserve">: Caso Norín Catrimán y otros (Dirigentes, miembros y activista del Pueblo Indígena Mapuche) Vs. Chile. Fondo, Reparaciones y Costas. Sentencia de 29 de mayo de 2014. Serie C No. 279, párr. 197; Caso Espinoza Gonzáles Vs. Perú. Excepciones Preliminares, Fondo, Reparaciones y Costas. Sentencia de 20 de noviembre de 2014. Serie C No. 289, párr. 216; Caso </w:t>
      </w:r>
      <w:proofErr w:type="spellStart"/>
      <w:r w:rsidRPr="00BB63D0">
        <w:rPr>
          <w:rStyle w:val="EnelmismoCar"/>
        </w:rPr>
        <w:t>Granier</w:t>
      </w:r>
      <w:proofErr w:type="spellEnd"/>
      <w:r w:rsidRPr="00BB63D0">
        <w:rPr>
          <w:rStyle w:val="EnelmismoCar"/>
        </w:rPr>
        <w:t xml:space="preserve"> y otros (Radio Caracas Televisión) Vs. Venezuela. Excepciones Preliminares, Fondo, Reparaciones y Costas. Sentencia de 22 de junio de 2015. Serie C No. 293, párr 214; Caso Flor Freire Vs. Ecuador. Excepción Preliminar, Fondo, Reparaciones y Costas. Sentencia de 31 de agosto de 2016. Serie C No. 315, párr. 109; Caso Trabajadores de la Hacienda Brasil Verde Vs. Brasil. Excepciones Preliminares, Fondo, Reparaciones y Costas. Sentencia de 20 de octubre de 2016. Serie C No. 318, párr. 415.</w:t>
      </w:r>
    </w:p>
    <w:p w14:paraId="42BC006B" w14:textId="77777777" w:rsidR="007269CF" w:rsidRPr="00BB63D0" w:rsidRDefault="007269CF" w:rsidP="00BB63D0">
      <w:pPr>
        <w:rPr>
          <w:szCs w:val="20"/>
        </w:rPr>
      </w:pPr>
      <w:r w:rsidRPr="00BB63D0">
        <w:rPr>
          <w:szCs w:val="20"/>
        </w:rPr>
        <w:t>81.</w:t>
      </w:r>
      <w:r w:rsidRPr="00BB63D0">
        <w:rPr>
          <w:szCs w:val="20"/>
        </w:rPr>
        <w:tab/>
        <w:t>La Convención Americana, al igual que el Pacto Internacional de Derechos Civiles y Políticos, no contiene una definición explícita del concepto de “discriminación”. Tomando como base las definiciones de discriminación establecidas en el Artículo 1.1 de la Convención Internacional sobre la Eliminación de todas las Formas de Discriminación Racial y el Artículo 1.1 de la Convención sobre la Eliminación de Todas las Formas de Discriminación contra la Mujer, el Comité de Derechos Humanos del Pacto Internacional de Derechos Civiles y Políticos (en adelante “Comité de Derechos Humanos”) ha definido la discriminación como:</w:t>
      </w:r>
    </w:p>
    <w:p w14:paraId="4168D5BF" w14:textId="77777777" w:rsidR="007269CF" w:rsidRPr="00BB63D0" w:rsidRDefault="007269CF" w:rsidP="00BB63D0">
      <w:pPr>
        <w:pStyle w:val="Citacuerpo"/>
      </w:pPr>
      <w:r w:rsidRPr="00BB63D0">
        <w:t xml:space="preserve">“toda distinción, exclusión, restricción o preferencia que se basen en determinados motivos, como la raza, el color, el sexo, el idioma, la religión, la </w:t>
      </w:r>
      <w:r w:rsidRPr="00BB63D0">
        <w:lastRenderedPageBreak/>
        <w:t>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p>
    <w:p w14:paraId="37C7A614" w14:textId="2751ED2E" w:rsidR="007269CF" w:rsidRPr="00BB63D0" w:rsidRDefault="007269CF" w:rsidP="00BB63D0">
      <w:pPr>
        <w:pStyle w:val="Caso"/>
      </w:pPr>
      <w:r w:rsidRPr="00BB63D0">
        <w:t xml:space="preserve">Corte IDH. Caso </w:t>
      </w:r>
      <w:proofErr w:type="spellStart"/>
      <w:r w:rsidRPr="00BB63D0">
        <w:t>Furlan</w:t>
      </w:r>
      <w:proofErr w:type="spellEnd"/>
      <w:r w:rsidRPr="00BB63D0">
        <w:t xml:space="preserve"> y familiares Vs. Argentina. Excepciones Preliminares, Fondo, Reparaciones y Costas. Sentencia de 31 de agosto de 2012. Serie C No. 246</w:t>
      </w:r>
      <w:r w:rsidRPr="00E259EA">
        <w:rPr>
          <w:rStyle w:val="Refdenotaalpie"/>
          <w:lang w:val="es-ES_tradnl"/>
        </w:rPr>
        <w:footnoteReference w:id="6"/>
      </w:r>
    </w:p>
    <w:p w14:paraId="013B1474" w14:textId="77777777" w:rsidR="007269CF" w:rsidRPr="00BB63D0" w:rsidRDefault="007269CF" w:rsidP="00BB63D0">
      <w:pPr>
        <w:rPr>
          <w:szCs w:val="20"/>
        </w:rPr>
      </w:pPr>
      <w:r w:rsidRPr="00BB63D0">
        <w:rPr>
          <w:szCs w:val="20"/>
        </w:rPr>
        <w:t>267.</w:t>
      </w:r>
      <w:r w:rsidRPr="00BB63D0">
        <w:rPr>
          <w:szCs w:val="20"/>
        </w:rPr>
        <w:tab/>
        <w:t>Al respecto, la Corte considera que el derecho a la igualdad y no discriminación abarca dos concepciones: 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 […].</w:t>
      </w:r>
    </w:p>
    <w:p w14:paraId="528C48AF" w14:textId="77777777" w:rsidR="007269CF" w:rsidRPr="00BB63D0" w:rsidRDefault="007269CF" w:rsidP="00BB63D0">
      <w:pPr>
        <w:pStyle w:val="Caso"/>
      </w:pPr>
      <w:r w:rsidRPr="00BB63D0">
        <w:t>Corte IDH. Caso Norín Catrimán y otros (Dirigentes, miembros y activista del Pueblo Indígena Mapuche) Vs. Chile. Fondo, Reparaciones y Costas. Sentencia de 29 de mayo de 2014. Serie C No. 279</w:t>
      </w:r>
      <w:r w:rsidRPr="00BB63D0">
        <w:rPr>
          <w:rStyle w:val="Refdenotaalpie"/>
        </w:rPr>
        <w:footnoteReference w:id="7"/>
      </w:r>
    </w:p>
    <w:p w14:paraId="0942FCF8" w14:textId="094C927D" w:rsidR="007269CF" w:rsidRPr="00BB63D0" w:rsidRDefault="007269CF" w:rsidP="00BB63D0">
      <w:pPr>
        <w:rPr>
          <w:szCs w:val="20"/>
        </w:rPr>
      </w:pPr>
      <w:r w:rsidRPr="00BB63D0">
        <w:rPr>
          <w:szCs w:val="20"/>
        </w:rPr>
        <w:t>200.</w:t>
      </w:r>
      <w:r w:rsidRPr="00BB63D0">
        <w:rPr>
          <w:szCs w:val="20"/>
        </w:rPr>
        <w:tab/>
        <w:t>La Corte ha determinado que una diferencia de trato es discriminatoria cuando la misma no tiene una justificación objetiva y razonable, es decir, cuando no persigue un fin legítimo y no existe una relación razonable de proporcionalidad entre los medios utilizados y el fin perseguido.</w:t>
      </w:r>
    </w:p>
    <w:p w14:paraId="69EF715C" w14:textId="77777777" w:rsidR="007269CF" w:rsidRPr="00BB63D0" w:rsidRDefault="007269CF" w:rsidP="00BB63D0">
      <w:pPr>
        <w:pStyle w:val="Caso"/>
      </w:pPr>
      <w:r w:rsidRPr="00BB63D0">
        <w:t>Corte IDH. Caso Velásquez Paiz y otros Vs. Guatemala. Excepciones Preliminares, Fondo, Reparaciones y Costas. Sentencia de 19 de noviembre de 2015. Serie C No. 307</w:t>
      </w:r>
      <w:r w:rsidRPr="00BB63D0">
        <w:rPr>
          <w:rStyle w:val="Refdenotaalpie"/>
        </w:rPr>
        <w:footnoteReference w:id="8"/>
      </w:r>
    </w:p>
    <w:p w14:paraId="21DCCA43" w14:textId="77E5FC2A" w:rsidR="007269CF" w:rsidRPr="00BB63D0" w:rsidRDefault="007269CF" w:rsidP="00BB63D0">
      <w:pPr>
        <w:rPr>
          <w:rStyle w:val="EnelmismoCar"/>
        </w:rPr>
      </w:pPr>
      <w:r w:rsidRPr="00BB63D0">
        <w:lastRenderedPageBreak/>
        <w:t>173.</w:t>
      </w:r>
      <w:r w:rsidRPr="00BB63D0">
        <w:tab/>
        <w:t xml:space="preserve">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En la actual etapa de la evolución del derecho internacional, el principio fundamental de igualdad y no discriminación ha ingresado en el dominio del </w:t>
      </w:r>
      <w:proofErr w:type="spellStart"/>
      <w:r w:rsidRPr="00BB63D0">
        <w:t>jus</w:t>
      </w:r>
      <w:proofErr w:type="spellEnd"/>
      <w:r w:rsidRPr="00BB63D0">
        <w:t xml:space="preserve"> cogens. Sobre él descansa el andamiaje jurídico del orden público nacional e internacional y permea todo el ordenamiento jurídico. Los Estados deben abstenerse de realizar acciones que de cualquier manera vayan dirigidas, directa o indirectamente, a crear situaciones de discriminación de jure o de facto. </w:t>
      </w:r>
      <w:r w:rsidR="00651730">
        <w:rPr>
          <w:rStyle w:val="EnelmismoCar"/>
        </w:rPr>
        <w:t>En similar sentido, ver entre otros</w:t>
      </w:r>
      <w:r w:rsidRPr="00BB63D0">
        <w:rPr>
          <w:rStyle w:val="EnelmismoCar"/>
        </w:rPr>
        <w:t>: Caso Flor Freire Vs. Ecuador. Excepción Preliminar, Fondo, Reparaciones y Costas. Sentencia de 31 de agosto de 2016. Serie C No. 315, párr. 110; Caso I.V. Vs. Bolivia. Excepciones Preliminares, Fondo, Reparaciones y Costas. Sentencia de 30 de noviembre de 2016. Serie C No. 329, párr. 238.</w:t>
      </w:r>
    </w:p>
    <w:p w14:paraId="2E483F23" w14:textId="77777777" w:rsidR="007269CF" w:rsidRPr="00BB63D0" w:rsidRDefault="007269CF" w:rsidP="00BB63D0">
      <w:pPr>
        <w:pStyle w:val="Caso"/>
      </w:pPr>
      <w:r w:rsidRPr="00BB63D0">
        <w:t>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r w:rsidRPr="00BB63D0">
        <w:rPr>
          <w:rStyle w:val="Refdenotaalpie"/>
          <w:color w:val="984806" w:themeColor="accent6" w:themeShade="80"/>
        </w:rPr>
        <w:footnoteReference w:id="9"/>
      </w:r>
    </w:p>
    <w:p w14:paraId="24AAF08B" w14:textId="77777777" w:rsidR="007269CF" w:rsidRPr="00BB63D0" w:rsidRDefault="007269CF" w:rsidP="00BB63D0">
      <w:pPr>
        <w:rPr>
          <w:bCs/>
          <w:szCs w:val="20"/>
        </w:rPr>
      </w:pPr>
      <w:r w:rsidRPr="00BB63D0">
        <w:rPr>
          <w:bCs/>
          <w:szCs w:val="20"/>
        </w:rPr>
        <w:t>61.</w:t>
      </w:r>
      <w:r w:rsidRPr="00BB63D0">
        <w:rPr>
          <w:bCs/>
          <w:szCs w:val="20"/>
        </w:rPr>
        <w:tab/>
        <w:t xml:space="preserve">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Los Estados deben abstenerse de realizar acciones que de </w:t>
      </w:r>
      <w:r w:rsidRPr="00BB63D0">
        <w:rPr>
          <w:bCs/>
          <w:szCs w:val="20"/>
        </w:rPr>
        <w:lastRenderedPageBreak/>
        <w:t xml:space="preserve">cualquier manera vayan dirigidas, directa o indirectamente, a crear situaciones de discriminación de jure o de facto. La jurisprudencia de la Corte también ha indicado que en la actual etapa de la evolución del derecho internacional, el principio fundamental de igualdad y no discriminación ha ingresado en el dominio del </w:t>
      </w:r>
      <w:r w:rsidRPr="00BB63D0">
        <w:rPr>
          <w:bCs/>
          <w:i/>
          <w:iCs/>
          <w:szCs w:val="20"/>
        </w:rPr>
        <w:t>ius cogens</w:t>
      </w:r>
      <w:r w:rsidRPr="00BB63D0">
        <w:rPr>
          <w:bCs/>
          <w:szCs w:val="20"/>
        </w:rPr>
        <w:t xml:space="preserve">. Sobre él descansa el andamiaje jurídico del orden público nacional e internacional y permea todo el ordenamiento jurídico. </w:t>
      </w:r>
    </w:p>
    <w:p w14:paraId="4CDABB45" w14:textId="77777777" w:rsidR="007269CF" w:rsidRPr="00BB63D0" w:rsidRDefault="007269CF" w:rsidP="00BB63D0">
      <w:pPr>
        <w:rPr>
          <w:bCs/>
          <w:szCs w:val="20"/>
        </w:rPr>
      </w:pPr>
      <w:r w:rsidRPr="00BB63D0">
        <w:rPr>
          <w:bCs/>
          <w:szCs w:val="20"/>
        </w:rPr>
        <w:t>62.</w:t>
      </w:r>
      <w:r w:rsidRPr="00BB63D0">
        <w:rPr>
          <w:bCs/>
          <w:szCs w:val="20"/>
        </w:rPr>
        <w:tab/>
        <w:t xml:space="preserve">La Convención Americana, al igual que el Pacto Internacional de Derechos Civiles y Políticos, no contiene una definición explícita del concepto de “discriminación”. Tomando como base las definiciones de discriminación establecidas en el artículo 2 de la Convención Interamericana sobre la Protección de los Derechos Humanos de las Personas Mayores, el artículo I.2.a) de la Convención Interamericana para la Eliminación de todas las Formas de Discriminación contra las Personas con Discapacidad, el artículo 1.1 de la Convención Interamericana contra toda Forma de Discriminación e Intolerancia, el artículo 1.1 de la Convención Interamericana contra el Racismo, la Discriminación Racial y Formas Conexas de Intolerancia, el artículo 1 de la Convención Internacional sobre la Eliminación de todas las Formas de Discriminación contra la Mujer, y el artículo 1.1 de la Convención Internacional sobre la Eliminación de todas las Formas de Discriminación Racial, al igual que el Comité de Derechos Humanos de Naciones Unidas, se podría definir la discriminación como “toda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 </w:t>
      </w:r>
    </w:p>
    <w:p w14:paraId="7E4F176F" w14:textId="77777777" w:rsidR="007269CF" w:rsidRPr="00BB63D0" w:rsidRDefault="007269CF" w:rsidP="00BB63D0">
      <w:pPr>
        <w:rPr>
          <w:bCs/>
          <w:szCs w:val="20"/>
        </w:rPr>
      </w:pPr>
      <w:r w:rsidRPr="00BB63D0">
        <w:rPr>
          <w:bCs/>
          <w:szCs w:val="20"/>
        </w:rPr>
        <w:t>63.</w:t>
      </w:r>
      <w:r w:rsidRPr="00BB63D0">
        <w:rPr>
          <w:bCs/>
          <w:szCs w:val="20"/>
        </w:rPr>
        <w:tab/>
        <w:t xml:space="preserve">En este sentido, la Corte ha establecido que el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El incumplimiento por el Estado de la obligación general de respetar y garantizar los derechos humanos, mediante cualquier trato diferente que pueda resultar discriminatorio, es decir, que no persiga finalidades legítimas, sea innecesario y/o desproporcionado, le genera responsabilidad internacional. Es por ello que existe un vínculo indisoluble entre la obligación de respetar y garantizar los derechos humanos y el principio de igualdad y no discriminación. </w:t>
      </w:r>
    </w:p>
    <w:p w14:paraId="3B430791" w14:textId="77777777" w:rsidR="007269CF" w:rsidRPr="00BB63D0" w:rsidRDefault="007269CF" w:rsidP="00BB63D0">
      <w:pPr>
        <w:rPr>
          <w:bCs/>
          <w:szCs w:val="20"/>
        </w:rPr>
      </w:pPr>
      <w:r w:rsidRPr="00BB63D0">
        <w:rPr>
          <w:bCs/>
          <w:szCs w:val="20"/>
        </w:rPr>
        <w:t>65.</w:t>
      </w:r>
      <w:r w:rsidRPr="00BB63D0">
        <w:rPr>
          <w:bCs/>
          <w:szCs w:val="20"/>
        </w:rPr>
        <w:tab/>
        <w:t xml:space="preserve">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 </w:t>
      </w:r>
    </w:p>
    <w:p w14:paraId="15862477" w14:textId="77777777" w:rsidR="007269CF" w:rsidRPr="00BB63D0" w:rsidRDefault="007269CF" w:rsidP="00BB63D0">
      <w:pPr>
        <w:rPr>
          <w:bCs/>
          <w:szCs w:val="20"/>
        </w:rPr>
      </w:pPr>
      <w:r w:rsidRPr="00BB63D0">
        <w:rPr>
          <w:bCs/>
          <w:szCs w:val="20"/>
        </w:rPr>
        <w:t>66.</w:t>
      </w:r>
      <w:r w:rsidRPr="00BB63D0">
        <w:rPr>
          <w:bCs/>
          <w:szCs w:val="20"/>
        </w:rPr>
        <w:tab/>
      </w:r>
      <w:r w:rsidRPr="00A30992">
        <w:rPr>
          <w:bCs/>
          <w:szCs w:val="20"/>
        </w:rPr>
        <w:t xml:space="preserve">Ahora bien, la Corte recuerda que no toda diferencia de trato será reputada discriminatoria, sino sólo aquella que se base en criterios que no puedan ser racionalmente apreciados como objetivos y razonables, es decir, cuando no persigue un fin legítimo y no existe una relación razonable de proporcionalidad entre los medios utilizados y el fin perseguido. Asimismo, en casos de tratos diferentes desfavorables, cuando el criterio diferenciador se corresponde con uno de aquellos protegidos por el artículo 1.1 de la Convención que aluden a: i) rasgos permanentes de las personas de los cuales éstas no pueden prescindir sin perder su identidad; ii) grupos tradicionalmente marginados, excluidos o subordinados, y iii) criterios </w:t>
      </w:r>
      <w:r w:rsidRPr="00A30992">
        <w:rPr>
          <w:bCs/>
          <w:szCs w:val="20"/>
        </w:rPr>
        <w:lastRenderedPageBreak/>
        <w:t>irrelevantes para una distribución equitativa de bienes, derechos o cargas sociales, la Corte se encuentra ante un indicio de que el Estado ha obrado con arbitrariedad</w:t>
      </w:r>
      <w:r w:rsidRPr="00BB63D0">
        <w:rPr>
          <w:bCs/>
          <w:szCs w:val="20"/>
        </w:rPr>
        <w:t xml:space="preserve">. </w:t>
      </w:r>
    </w:p>
    <w:p w14:paraId="56319417" w14:textId="77777777" w:rsidR="007269CF" w:rsidRPr="00BB63D0" w:rsidRDefault="007269CF" w:rsidP="00BB63D0">
      <w:pPr>
        <w:rPr>
          <w:bCs/>
          <w:szCs w:val="20"/>
        </w:rPr>
      </w:pPr>
      <w:r w:rsidRPr="00BB63D0">
        <w:rPr>
          <w:bCs/>
          <w:szCs w:val="20"/>
        </w:rPr>
        <w:t>67.</w:t>
      </w:r>
      <w:r w:rsidRPr="00BB63D0">
        <w:rPr>
          <w:bCs/>
          <w:szCs w:val="20"/>
        </w:rPr>
        <w:tab/>
        <w:t xml:space="preserve">La Corte ha establecido, además, que los criterios específicos en virtud de los </w:t>
      </w:r>
      <w:r w:rsidRPr="00A30992">
        <w:rPr>
          <w:bCs/>
          <w:szCs w:val="20"/>
        </w:rPr>
        <w:t>cuales está prohibido discriminar, según el artículo 1.1 de la Convención Americana, no constituyen un listado taxativo o limitativo sino meramente enunciativo. De este</w:t>
      </w:r>
      <w:r w:rsidRPr="00BB63D0">
        <w:rPr>
          <w:bCs/>
          <w:szCs w:val="20"/>
        </w:rPr>
        <w:t xml:space="preserve"> modo, la Corte estima que la redacción de dicho artículo deja abiertos los criterios con la inclusión del término “otra condición social” para incorporar así a otras categorías que no hubiesen sido explícitamente indicadas, pero que tengan una entidad asimilable. En tal virtud, al momento de interpretar dicho término, corresponde escoger la alternativa hermenéutica más favorable a la tutela de los derechos de la persona humana, conforme a la aplicación del principio pro persona.</w:t>
      </w:r>
    </w:p>
    <w:p w14:paraId="470B0C4C" w14:textId="77777777" w:rsidR="007269CF" w:rsidRPr="00BB63D0" w:rsidRDefault="007269CF" w:rsidP="00BB63D0">
      <w:pPr>
        <w:pStyle w:val="Caso"/>
        <w:rPr>
          <w:lang w:val="es-CR"/>
        </w:rPr>
      </w:pPr>
      <w:r w:rsidRPr="00BB63D0">
        <w:rPr>
          <w:lang w:val="es-ES_tradnl"/>
        </w:rPr>
        <w:t>Corte IDH. Caso Cuscul Pivaral y otros Vs. Guatemala. Excepción Preliminar, Fondo, Reparaciones y Costas. Sentencia de 23 de agosto de 2018. Serie C No. 359</w:t>
      </w:r>
      <w:r w:rsidRPr="00BB63D0">
        <w:rPr>
          <w:rStyle w:val="Refdenotaalpie"/>
          <w:bCs/>
          <w:color w:val="632423" w:themeColor="accent2" w:themeShade="80"/>
          <w:lang w:val="es-CR"/>
        </w:rPr>
        <w:footnoteReference w:id="10"/>
      </w:r>
    </w:p>
    <w:p w14:paraId="0DE3A690" w14:textId="1CD0BBC5" w:rsidR="007269CF" w:rsidRDefault="007269CF" w:rsidP="00BB63D0">
      <w:pPr>
        <w:rPr>
          <w:szCs w:val="20"/>
          <w:lang w:val="es-ES_tradnl"/>
        </w:rPr>
      </w:pPr>
      <w:r w:rsidRPr="00BB63D0">
        <w:rPr>
          <w:szCs w:val="20"/>
          <w:lang w:val="es-ES_tradnl"/>
        </w:rPr>
        <w:t>129.</w:t>
      </w:r>
      <w:r w:rsidRPr="00BB63D0">
        <w:rPr>
          <w:szCs w:val="20"/>
          <w:lang w:val="es-ES_tradnl"/>
        </w:rPr>
        <w:tab/>
        <w:t xml:space="preserve">Al respecto, la Corte recuerda que, como condición transversal de la accesibilidad a los servicios de salud, el Estado está obligado a garantizar un trato igualitario a todas las personas. De esta forma, de conformidad con el artículo 1.1 de la Convención Americana no son permitidos tratos discriminatorios, “por motivos de raza, color, sexo, […] posición económica, nacimiento o cualquier otra condición social”. </w:t>
      </w:r>
      <w:r w:rsidRPr="00A30992">
        <w:rPr>
          <w:szCs w:val="20"/>
          <w:lang w:val="es-ES_tradnl"/>
        </w:rPr>
        <w:t>El Tribunal recuerda que los criterios específicos en virtud de los cuales está prohibido discriminar, según el artículo 1.1 de la Convención Americana, no son un listado taxativo o limitativo sino meramente enunciativo</w:t>
      </w:r>
      <w:r w:rsidRPr="00BB63D0">
        <w:rPr>
          <w:szCs w:val="20"/>
          <w:lang w:val="es-ES_tradnl"/>
        </w:rPr>
        <w:t>. Por el contrario, la redacción de dicho artículo deja abiertos los criterios con la inclusión del término “otra condición social” para incorporar así a otras categorías que no hubiesen sido explícitamente indicadas.</w:t>
      </w:r>
    </w:p>
    <w:p w14:paraId="0EC044BE" w14:textId="35AD750B" w:rsidR="007269CF" w:rsidRDefault="007269CF" w:rsidP="002B0D45">
      <w:pPr>
        <w:pStyle w:val="Caso"/>
        <w:rPr>
          <w:lang w:val="es-ES_tradnl"/>
        </w:rPr>
      </w:pPr>
      <w:r w:rsidRPr="002B0D45">
        <w:rPr>
          <w:lang w:val="es-ES_tradnl"/>
        </w:rPr>
        <w:t>Corte IDH. Caso Azul Rojas Marín y otra Vs. Perú. Excepciones Preliminares, Fondo, Reparaciones y Costas. Sentencia de 12 de marzo de 2020. Serie C No. 402</w:t>
      </w:r>
      <w:r>
        <w:rPr>
          <w:rStyle w:val="Refdenotaalpie"/>
          <w:lang w:val="es-ES_tradnl"/>
        </w:rPr>
        <w:footnoteReference w:id="11"/>
      </w:r>
    </w:p>
    <w:p w14:paraId="351ADD83" w14:textId="77777777" w:rsidR="007269CF" w:rsidRPr="002B0D45" w:rsidRDefault="007269CF" w:rsidP="002B0D45">
      <w:pPr>
        <w:rPr>
          <w:szCs w:val="20"/>
          <w:lang w:val="es-ES_tradnl"/>
        </w:rPr>
      </w:pPr>
      <w:r w:rsidRPr="002B0D45">
        <w:rPr>
          <w:szCs w:val="20"/>
          <w:lang w:val="es-ES_tradnl"/>
        </w:rPr>
        <w:t xml:space="preserve">86. El artículo 1.1 de la Convención establece que “los Estados Partes en esta Convención se comprometen a respetar los derechos y libertades reconocidos en ella y a garantizar su libre y pleno ejercicio a toda persona que esté sujeta a su </w:t>
      </w:r>
      <w:proofErr w:type="spellStart"/>
      <w:r w:rsidRPr="002B0D45">
        <w:rPr>
          <w:szCs w:val="20"/>
          <w:lang w:val="es-ES_tradnl"/>
        </w:rPr>
        <w:t>jurisdicción</w:t>
      </w:r>
      <w:proofErr w:type="spellEnd"/>
      <w:r w:rsidRPr="002B0D45">
        <w:rPr>
          <w:szCs w:val="20"/>
          <w:lang w:val="es-ES_tradnl"/>
        </w:rPr>
        <w:t xml:space="preserve">, sin discriminación alguna por motivos de raza, color, sexo, idioma, </w:t>
      </w:r>
      <w:proofErr w:type="spellStart"/>
      <w:r w:rsidRPr="002B0D45">
        <w:rPr>
          <w:szCs w:val="20"/>
          <w:lang w:val="es-ES_tradnl"/>
        </w:rPr>
        <w:lastRenderedPageBreak/>
        <w:t>religión</w:t>
      </w:r>
      <w:proofErr w:type="spellEnd"/>
      <w:r w:rsidRPr="002B0D45">
        <w:rPr>
          <w:szCs w:val="20"/>
          <w:lang w:val="es-ES_tradnl"/>
        </w:rPr>
        <w:t xml:space="preserve">, opiniones </w:t>
      </w:r>
      <w:proofErr w:type="spellStart"/>
      <w:r w:rsidRPr="002B0D45">
        <w:rPr>
          <w:szCs w:val="20"/>
          <w:lang w:val="es-ES_tradnl"/>
        </w:rPr>
        <w:t>políticas</w:t>
      </w:r>
      <w:proofErr w:type="spellEnd"/>
      <w:r w:rsidRPr="002B0D45">
        <w:rPr>
          <w:szCs w:val="20"/>
          <w:lang w:val="es-ES_tradnl"/>
        </w:rPr>
        <w:t xml:space="preserve"> o de cualquier otra </w:t>
      </w:r>
      <w:proofErr w:type="spellStart"/>
      <w:r w:rsidRPr="002B0D45">
        <w:rPr>
          <w:szCs w:val="20"/>
          <w:lang w:val="es-ES_tradnl"/>
        </w:rPr>
        <w:t>índole</w:t>
      </w:r>
      <w:proofErr w:type="spellEnd"/>
      <w:r w:rsidRPr="002B0D45">
        <w:rPr>
          <w:szCs w:val="20"/>
          <w:lang w:val="es-ES_tradnl"/>
        </w:rPr>
        <w:t xml:space="preserve">, origen nacional o social, </w:t>
      </w:r>
      <w:proofErr w:type="spellStart"/>
      <w:r w:rsidRPr="002B0D45">
        <w:rPr>
          <w:szCs w:val="20"/>
          <w:lang w:val="es-ES_tradnl"/>
        </w:rPr>
        <w:t>posición</w:t>
      </w:r>
      <w:proofErr w:type="spellEnd"/>
      <w:r w:rsidRPr="002B0D45">
        <w:rPr>
          <w:szCs w:val="20"/>
          <w:lang w:val="es-ES_tradnl"/>
        </w:rPr>
        <w:t xml:space="preserve"> </w:t>
      </w:r>
      <w:proofErr w:type="spellStart"/>
      <w:r w:rsidRPr="002B0D45">
        <w:rPr>
          <w:szCs w:val="20"/>
          <w:lang w:val="es-ES_tradnl"/>
        </w:rPr>
        <w:t>económica</w:t>
      </w:r>
      <w:proofErr w:type="spellEnd"/>
      <w:r w:rsidRPr="002B0D45">
        <w:rPr>
          <w:szCs w:val="20"/>
          <w:lang w:val="es-ES_tradnl"/>
        </w:rPr>
        <w:t>, nacimiento o cualquier otra condición social”.</w:t>
      </w:r>
    </w:p>
    <w:p w14:paraId="62B0B54B" w14:textId="77777777" w:rsidR="007269CF" w:rsidRPr="002B0D45" w:rsidRDefault="007269CF" w:rsidP="002B0D45">
      <w:pPr>
        <w:rPr>
          <w:szCs w:val="20"/>
          <w:lang w:val="es-ES_tradnl"/>
        </w:rPr>
      </w:pPr>
      <w:r w:rsidRPr="002B0D45">
        <w:rPr>
          <w:szCs w:val="20"/>
          <w:lang w:val="es-ES_tradnl"/>
        </w:rPr>
        <w:t xml:space="preserve">87. La Corte recuerda que el deber de respetar los derechos humanos reconocidos en la Convención, concierne a todos los que </w:t>
      </w:r>
      <w:proofErr w:type="spellStart"/>
      <w:r w:rsidRPr="002B0D45">
        <w:rPr>
          <w:szCs w:val="20"/>
          <w:lang w:val="es-ES_tradnl"/>
        </w:rPr>
        <w:t>actúen</w:t>
      </w:r>
      <w:proofErr w:type="spellEnd"/>
      <w:r w:rsidRPr="002B0D45">
        <w:rPr>
          <w:szCs w:val="20"/>
          <w:lang w:val="es-ES_tradnl"/>
        </w:rPr>
        <w:t xml:space="preserve"> a nombre del Estado, especialmente si proceden en la condición de </w:t>
      </w:r>
      <w:proofErr w:type="spellStart"/>
      <w:r w:rsidRPr="002B0D45">
        <w:rPr>
          <w:szCs w:val="20"/>
          <w:lang w:val="es-ES_tradnl"/>
        </w:rPr>
        <w:t>órganos</w:t>
      </w:r>
      <w:proofErr w:type="spellEnd"/>
      <w:r w:rsidRPr="002B0D45">
        <w:rPr>
          <w:szCs w:val="20"/>
          <w:lang w:val="es-ES_tradnl"/>
        </w:rPr>
        <w:t xml:space="preserve"> estatales, por lo que la eventual </w:t>
      </w:r>
      <w:proofErr w:type="spellStart"/>
      <w:r w:rsidRPr="002B0D45">
        <w:rPr>
          <w:szCs w:val="20"/>
          <w:lang w:val="es-ES_tradnl"/>
        </w:rPr>
        <w:t>violación</w:t>
      </w:r>
      <w:proofErr w:type="spellEnd"/>
      <w:r w:rsidRPr="002B0D45">
        <w:rPr>
          <w:szCs w:val="20"/>
          <w:lang w:val="es-ES_tradnl"/>
        </w:rPr>
        <w:t xml:space="preserve"> de aquellos le es atribuible directamente. Igualmente, hace presente que la obligación de garantizar el libre y pleno ejercicio de dichos derechos, significa que es responsable de la </w:t>
      </w:r>
      <w:proofErr w:type="spellStart"/>
      <w:r w:rsidRPr="002B0D45">
        <w:rPr>
          <w:szCs w:val="20"/>
          <w:lang w:val="es-ES_tradnl"/>
        </w:rPr>
        <w:t>violación</w:t>
      </w:r>
      <w:proofErr w:type="spellEnd"/>
      <w:r w:rsidRPr="002B0D45">
        <w:rPr>
          <w:szCs w:val="20"/>
          <w:lang w:val="es-ES_tradnl"/>
        </w:rPr>
        <w:t xml:space="preserve"> de </w:t>
      </w:r>
      <w:proofErr w:type="spellStart"/>
      <w:r w:rsidRPr="002B0D45">
        <w:rPr>
          <w:szCs w:val="20"/>
          <w:lang w:val="es-ES_tradnl"/>
        </w:rPr>
        <w:t>éstos</w:t>
      </w:r>
      <w:proofErr w:type="spellEnd"/>
      <w:r w:rsidRPr="002B0D45">
        <w:rPr>
          <w:szCs w:val="20"/>
          <w:lang w:val="es-ES_tradnl"/>
        </w:rPr>
        <w:t xml:space="preserve"> por parte de terceros en el evento de que no haya adoptado las medidas indispensables para impedir su </w:t>
      </w:r>
      <w:proofErr w:type="spellStart"/>
      <w:r w:rsidRPr="002B0D45">
        <w:rPr>
          <w:szCs w:val="20"/>
          <w:lang w:val="es-ES_tradnl"/>
        </w:rPr>
        <w:t>trasgresión</w:t>
      </w:r>
      <w:proofErr w:type="spellEnd"/>
      <w:r w:rsidRPr="002B0D45">
        <w:rPr>
          <w:szCs w:val="20"/>
          <w:lang w:val="es-ES_tradnl"/>
        </w:rPr>
        <w:t xml:space="preserve"> o para hacerla cesar, reparando el daño causado. Y todo ello respecto de cualquier persona que se encuentre, por cualquier causa, circunstancia o motivo, bajo su </w:t>
      </w:r>
      <w:proofErr w:type="spellStart"/>
      <w:r w:rsidRPr="002B0D45">
        <w:rPr>
          <w:szCs w:val="20"/>
          <w:lang w:val="es-ES_tradnl"/>
        </w:rPr>
        <w:t>jurisdicción</w:t>
      </w:r>
      <w:proofErr w:type="spellEnd"/>
      <w:r w:rsidRPr="002B0D45">
        <w:rPr>
          <w:szCs w:val="20"/>
          <w:lang w:val="es-ES_tradnl"/>
        </w:rPr>
        <w:t>.</w:t>
      </w:r>
    </w:p>
    <w:p w14:paraId="3027DBC2" w14:textId="0659861D" w:rsidR="007269CF" w:rsidRPr="002B0D45" w:rsidRDefault="007269CF" w:rsidP="002B0D45">
      <w:pPr>
        <w:rPr>
          <w:szCs w:val="20"/>
          <w:lang w:val="es-ES_tradnl"/>
        </w:rPr>
      </w:pPr>
      <w:r w:rsidRPr="002B0D45">
        <w:rPr>
          <w:szCs w:val="20"/>
          <w:lang w:val="es-ES_tradnl"/>
        </w:rPr>
        <w:t xml:space="preserve">88. Asimismo, la Corte advierte que el efectivo respeto de los derechos humanos implica que su eventual </w:t>
      </w:r>
      <w:proofErr w:type="spellStart"/>
      <w:r w:rsidRPr="002B0D45">
        <w:rPr>
          <w:szCs w:val="20"/>
          <w:lang w:val="es-ES_tradnl"/>
        </w:rPr>
        <w:t>violación</w:t>
      </w:r>
      <w:proofErr w:type="spellEnd"/>
      <w:r w:rsidRPr="002B0D45">
        <w:rPr>
          <w:szCs w:val="20"/>
          <w:lang w:val="es-ES_tradnl"/>
        </w:rPr>
        <w:t xml:space="preserve"> constituye, </w:t>
      </w:r>
      <w:r w:rsidRPr="002B0D45">
        <w:rPr>
          <w:i/>
          <w:iCs/>
          <w:szCs w:val="20"/>
          <w:lang w:val="es-ES_tradnl"/>
        </w:rPr>
        <w:t>per se</w:t>
      </w:r>
      <w:r w:rsidRPr="002B0D45">
        <w:rPr>
          <w:szCs w:val="20"/>
          <w:lang w:val="es-ES_tradnl"/>
        </w:rPr>
        <w:t xml:space="preserve">, un hecho </w:t>
      </w:r>
      <w:proofErr w:type="spellStart"/>
      <w:r w:rsidRPr="002B0D45">
        <w:rPr>
          <w:szCs w:val="20"/>
          <w:lang w:val="es-ES_tradnl"/>
        </w:rPr>
        <w:t>ilícito</w:t>
      </w:r>
      <w:proofErr w:type="spellEnd"/>
      <w:r w:rsidRPr="002B0D45">
        <w:rPr>
          <w:szCs w:val="20"/>
          <w:lang w:val="es-ES_tradnl"/>
        </w:rPr>
        <w:t xml:space="preserve"> internacional, cualquiera sea la condición de la presunta </w:t>
      </w:r>
      <w:proofErr w:type="spellStart"/>
      <w:r w:rsidRPr="002B0D45">
        <w:rPr>
          <w:szCs w:val="20"/>
          <w:lang w:val="es-ES_tradnl"/>
        </w:rPr>
        <w:t>víctima</w:t>
      </w:r>
      <w:proofErr w:type="spellEnd"/>
      <w:r w:rsidRPr="002B0D45">
        <w:rPr>
          <w:szCs w:val="20"/>
          <w:lang w:val="es-ES_tradnl"/>
        </w:rPr>
        <w:t xml:space="preserve">, circunstancia de que en modo alguno puede ser esgrimida para justificar aquella. De modo, pues, que la </w:t>
      </w:r>
      <w:proofErr w:type="spellStart"/>
      <w:r w:rsidRPr="002B0D45">
        <w:rPr>
          <w:szCs w:val="20"/>
          <w:lang w:val="es-ES_tradnl"/>
        </w:rPr>
        <w:t>detención</w:t>
      </w:r>
      <w:proofErr w:type="spellEnd"/>
      <w:r w:rsidRPr="002B0D45">
        <w:rPr>
          <w:szCs w:val="20"/>
          <w:lang w:val="es-ES_tradnl"/>
        </w:rPr>
        <w:t xml:space="preserve"> arbitraria o la tortura de una persona, cualquiera sea su condición, es siempre contraria al Derecho Internacional y, especialmente, al Derecho Internacional de los Derechos Humanos.</w:t>
      </w:r>
    </w:p>
    <w:p w14:paraId="1E5D8EB3" w14:textId="4D0699FF" w:rsidR="007269CF" w:rsidRDefault="007269CF" w:rsidP="002B0D45">
      <w:pPr>
        <w:rPr>
          <w:szCs w:val="20"/>
          <w:lang w:val="es-ES_tradnl"/>
        </w:rPr>
      </w:pPr>
      <w:r w:rsidRPr="002B0D45">
        <w:rPr>
          <w:szCs w:val="20"/>
          <w:lang w:val="es-ES_tradnl"/>
        </w:rPr>
        <w:t xml:space="preserve">89. Por ello, esto es, teniendo en cuenta lo anterior, es que, en virtud de la obligación de no discriminar, los Estados </w:t>
      </w:r>
      <w:proofErr w:type="spellStart"/>
      <w:r w:rsidRPr="002B0D45">
        <w:rPr>
          <w:szCs w:val="20"/>
          <w:lang w:val="es-ES_tradnl"/>
        </w:rPr>
        <w:t>están</w:t>
      </w:r>
      <w:proofErr w:type="spellEnd"/>
      <w:r w:rsidRPr="002B0D45">
        <w:rPr>
          <w:szCs w:val="20"/>
          <w:lang w:val="es-ES_tradnl"/>
        </w:rPr>
        <w:t xml:space="preserve"> obligados, </w:t>
      </w:r>
      <w:proofErr w:type="spellStart"/>
      <w:r w:rsidRPr="002B0D45">
        <w:rPr>
          <w:szCs w:val="20"/>
          <w:lang w:val="es-ES_tradnl"/>
        </w:rPr>
        <w:t>además</w:t>
      </w:r>
      <w:proofErr w:type="spellEnd"/>
      <w:r w:rsidRPr="002B0D45">
        <w:rPr>
          <w:szCs w:val="20"/>
          <w:lang w:val="es-ES_tradnl"/>
        </w:rPr>
        <w:t xml:space="preserve">, a adoptar medidas positivas para revertir o cambiar situaciones discriminatorias existentes en sus sociedades, en perjuicio de determinado grupo de personas. Esto implica el deber especial de protección que el Estado debe ejercer con respecto a actuaciones y </w:t>
      </w:r>
      <w:proofErr w:type="spellStart"/>
      <w:r w:rsidRPr="002B0D45">
        <w:rPr>
          <w:szCs w:val="20"/>
          <w:lang w:val="es-ES_tradnl"/>
        </w:rPr>
        <w:t>prácticas</w:t>
      </w:r>
      <w:proofErr w:type="spellEnd"/>
      <w:r w:rsidRPr="002B0D45">
        <w:rPr>
          <w:szCs w:val="20"/>
          <w:lang w:val="es-ES_tradnl"/>
        </w:rPr>
        <w:t xml:space="preserve"> de terceros que, bajo su tolerancia o</w:t>
      </w:r>
      <w:r>
        <w:rPr>
          <w:szCs w:val="20"/>
          <w:lang w:val="es-ES_tradnl"/>
        </w:rPr>
        <w:t xml:space="preserve"> </w:t>
      </w:r>
      <w:r w:rsidRPr="002B0D45">
        <w:rPr>
          <w:szCs w:val="20"/>
          <w:lang w:val="es-ES_tradnl"/>
        </w:rPr>
        <w:t xml:space="preserve">aquiescencia, creen, mantengan o favorezcan las situaciones discriminatorias. En este sentido, la discriminación efectuada en </w:t>
      </w:r>
      <w:proofErr w:type="spellStart"/>
      <w:r w:rsidRPr="002B0D45">
        <w:rPr>
          <w:szCs w:val="20"/>
          <w:lang w:val="es-ES_tradnl"/>
        </w:rPr>
        <w:t>razón</w:t>
      </w:r>
      <w:proofErr w:type="spellEnd"/>
      <w:r w:rsidRPr="002B0D45">
        <w:rPr>
          <w:szCs w:val="20"/>
          <w:lang w:val="es-ES_tradnl"/>
        </w:rPr>
        <w:t xml:space="preserve"> de una de las </w:t>
      </w:r>
      <w:proofErr w:type="spellStart"/>
      <w:r w:rsidRPr="002B0D45">
        <w:rPr>
          <w:szCs w:val="20"/>
          <w:lang w:val="es-ES_tradnl"/>
        </w:rPr>
        <w:t>categorías</w:t>
      </w:r>
      <w:proofErr w:type="spellEnd"/>
      <w:r w:rsidRPr="002B0D45">
        <w:rPr>
          <w:szCs w:val="20"/>
          <w:lang w:val="es-ES_tradnl"/>
        </w:rPr>
        <w:t xml:space="preserve"> </w:t>
      </w:r>
      <w:proofErr w:type="spellStart"/>
      <w:r w:rsidRPr="002B0D45">
        <w:rPr>
          <w:szCs w:val="20"/>
          <w:lang w:val="es-ES_tradnl"/>
        </w:rPr>
        <w:t>señaladas</w:t>
      </w:r>
      <w:proofErr w:type="spellEnd"/>
      <w:r w:rsidRPr="002B0D45">
        <w:rPr>
          <w:szCs w:val="20"/>
          <w:lang w:val="es-ES_tradnl"/>
        </w:rPr>
        <w:t xml:space="preserve"> a </w:t>
      </w:r>
      <w:proofErr w:type="spellStart"/>
      <w:r w:rsidRPr="002B0D45">
        <w:rPr>
          <w:szCs w:val="20"/>
          <w:lang w:val="es-ES_tradnl"/>
        </w:rPr>
        <w:t>título</w:t>
      </w:r>
      <w:proofErr w:type="spellEnd"/>
      <w:r w:rsidRPr="002B0D45">
        <w:rPr>
          <w:szCs w:val="20"/>
          <w:lang w:val="es-ES_tradnl"/>
        </w:rPr>
        <w:t xml:space="preserve"> ilustrativo en el artículo 1.1 de la Convención, amerita una particular o peculiar </w:t>
      </w:r>
      <w:proofErr w:type="spellStart"/>
      <w:r w:rsidRPr="002B0D45">
        <w:rPr>
          <w:szCs w:val="20"/>
          <w:lang w:val="es-ES_tradnl"/>
        </w:rPr>
        <w:t>consideración</w:t>
      </w:r>
      <w:proofErr w:type="spellEnd"/>
      <w:r w:rsidRPr="002B0D45">
        <w:rPr>
          <w:szCs w:val="20"/>
          <w:lang w:val="es-ES_tradnl"/>
        </w:rPr>
        <w:t xml:space="preserve">, habida cuenta que el respectivo hecho </w:t>
      </w:r>
      <w:proofErr w:type="spellStart"/>
      <w:r w:rsidRPr="002B0D45">
        <w:rPr>
          <w:szCs w:val="20"/>
          <w:lang w:val="es-ES_tradnl"/>
        </w:rPr>
        <w:t>ilícito</w:t>
      </w:r>
      <w:proofErr w:type="spellEnd"/>
      <w:r w:rsidRPr="002B0D45">
        <w:rPr>
          <w:szCs w:val="20"/>
          <w:lang w:val="es-ES_tradnl"/>
        </w:rPr>
        <w:t xml:space="preserve"> que su ejercicio significa, tiene lugar en </w:t>
      </w:r>
      <w:proofErr w:type="spellStart"/>
      <w:r w:rsidRPr="002B0D45">
        <w:rPr>
          <w:szCs w:val="20"/>
          <w:lang w:val="es-ES_tradnl"/>
        </w:rPr>
        <w:t>razón</w:t>
      </w:r>
      <w:proofErr w:type="spellEnd"/>
      <w:r w:rsidRPr="002B0D45">
        <w:rPr>
          <w:szCs w:val="20"/>
          <w:lang w:val="es-ES_tradnl"/>
        </w:rPr>
        <w:t xml:space="preserve"> de lo que la presunta </w:t>
      </w:r>
      <w:proofErr w:type="spellStart"/>
      <w:r w:rsidRPr="002B0D45">
        <w:rPr>
          <w:szCs w:val="20"/>
          <w:lang w:val="es-ES_tradnl"/>
        </w:rPr>
        <w:t>víctima</w:t>
      </w:r>
      <w:proofErr w:type="spellEnd"/>
      <w:r w:rsidRPr="002B0D45">
        <w:rPr>
          <w:szCs w:val="20"/>
          <w:lang w:val="es-ES_tradnl"/>
        </w:rPr>
        <w:t xml:space="preserve"> </w:t>
      </w:r>
      <w:proofErr w:type="spellStart"/>
      <w:r w:rsidRPr="002B0D45">
        <w:rPr>
          <w:szCs w:val="20"/>
          <w:lang w:val="es-ES_tradnl"/>
        </w:rPr>
        <w:t>específicamente</w:t>
      </w:r>
      <w:proofErr w:type="spellEnd"/>
      <w:r w:rsidRPr="002B0D45">
        <w:rPr>
          <w:szCs w:val="20"/>
          <w:lang w:val="es-ES_tradnl"/>
        </w:rPr>
        <w:t xml:space="preserve"> representa o parece ser y que es lo que la distingue de las </w:t>
      </w:r>
      <w:proofErr w:type="spellStart"/>
      <w:r w:rsidRPr="002B0D45">
        <w:rPr>
          <w:szCs w:val="20"/>
          <w:lang w:val="es-ES_tradnl"/>
        </w:rPr>
        <w:t>demás</w:t>
      </w:r>
      <w:proofErr w:type="spellEnd"/>
      <w:r w:rsidRPr="002B0D45">
        <w:rPr>
          <w:szCs w:val="20"/>
          <w:lang w:val="es-ES_tradnl"/>
        </w:rPr>
        <w:t xml:space="preserve"> personas.</w:t>
      </w:r>
    </w:p>
    <w:p w14:paraId="114EB849" w14:textId="79337077" w:rsidR="00412B5B" w:rsidRDefault="00412B5B" w:rsidP="00412B5B">
      <w:pPr>
        <w:pStyle w:val="Caso"/>
        <w:rPr>
          <w:lang w:val="es-CR"/>
        </w:rPr>
      </w:pPr>
      <w:r w:rsidRPr="009C007D">
        <w:rPr>
          <w:lang w:val="es-CR"/>
        </w:rPr>
        <w:t>Corte IDH. Derechos a la libertad sindical, negociación colectiva y huelga, y su relación con otros derechos, con perspectiva de género (interpretación y alcance de los artículos 13, 15, 16, 24, 25 y 26, en relación con los artículos 1.1 y 2 de la Convención Americana sobre Derechos Humanos, de los artículos 3, 6, 7 y 8 del Protocolo de San Salvador, de los artículos 2, 3, 4, 5 y 6 de la Convención de Belem do Pará, de los artículos 34, 44 y 45 de la Carta de la Organización de los Estados Americanos, y de los artículos II, IV, XIV, XXI y XXII de la Declaración Americana de los Derechos y Deberes del Hombre). Opinión Consultiva OC-27/21 de 5 de mayo de 2021. Serie A No. 27</w:t>
      </w:r>
      <w:r w:rsidR="00144A80">
        <w:rPr>
          <w:rStyle w:val="Refdenotaalpie"/>
          <w:lang w:val="es-CR"/>
        </w:rPr>
        <w:footnoteReference w:id="12"/>
      </w:r>
    </w:p>
    <w:p w14:paraId="296A4F9F" w14:textId="254A7F8D" w:rsidR="00412B5B" w:rsidRPr="00412B5B" w:rsidRDefault="00412B5B" w:rsidP="00412B5B">
      <w:pPr>
        <w:rPr>
          <w:szCs w:val="20"/>
          <w:lang w:val="es-ES_tradnl"/>
        </w:rPr>
      </w:pPr>
      <w:r w:rsidRPr="00412B5B">
        <w:rPr>
          <w:szCs w:val="20"/>
          <w:lang w:val="es-ES_tradnl"/>
        </w:rPr>
        <w:lastRenderedPageBreak/>
        <w:t>152.</w:t>
      </w:r>
      <w:r w:rsidRPr="00412B5B">
        <w:rPr>
          <w:szCs w:val="20"/>
          <w:lang w:val="es-ES_tradnl"/>
        </w:rPr>
        <w:tab/>
        <w:t xml:space="preserve">La Corte ha señalado que la noción de igualdad se desprende directamente de la unidad de la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Los Estados deben abstenerse de realizar acciones que de cualquier manera vayan dirigidas, directa o indirectamente, a crear situaciones de discriminación de </w:t>
      </w:r>
      <w:r w:rsidRPr="00412B5B">
        <w:rPr>
          <w:i/>
          <w:iCs/>
          <w:szCs w:val="20"/>
          <w:lang w:val="es-ES_tradnl"/>
        </w:rPr>
        <w:t>jure</w:t>
      </w:r>
      <w:r w:rsidRPr="00412B5B">
        <w:rPr>
          <w:szCs w:val="20"/>
          <w:lang w:val="es-ES_tradnl"/>
        </w:rPr>
        <w:t xml:space="preserve"> o de</w:t>
      </w:r>
      <w:r>
        <w:rPr>
          <w:szCs w:val="20"/>
          <w:lang w:val="es-ES_tradnl"/>
        </w:rPr>
        <w:t xml:space="preserve"> </w:t>
      </w:r>
      <w:r w:rsidRPr="00412B5B">
        <w:rPr>
          <w:i/>
          <w:iCs/>
          <w:szCs w:val="20"/>
          <w:lang w:val="es-ES_tradnl"/>
        </w:rPr>
        <w:t>facto</w:t>
      </w:r>
      <w:r w:rsidRPr="00412B5B">
        <w:rPr>
          <w:szCs w:val="20"/>
          <w:lang w:val="es-ES_tradnl"/>
        </w:rPr>
        <w:t>. La jurisprudencia de la Corte también ha indicado que, en la actual etapa de la evolución del derecho internacional, el principio fundamental de igualdad y no discriminación ha ingresado en el dominio del ius cogens. Sobre él descansa el andamiaje jurídico del orden público nacional e internacional y permea todo el ordenamiento jurídico.</w:t>
      </w:r>
      <w:r w:rsidR="00E476BB">
        <w:rPr>
          <w:szCs w:val="20"/>
          <w:lang w:val="es-ES_tradnl"/>
        </w:rPr>
        <w:t xml:space="preserve"> </w:t>
      </w:r>
      <w:r w:rsidR="00E476BB" w:rsidRPr="00E476BB">
        <w:rPr>
          <w:rStyle w:val="EnelmismoCar"/>
          <w:lang w:val="es-ES_tradnl"/>
        </w:rPr>
        <w:t>En similar sentido, ver entre otros: Corte IDH. Caso Barbosa de Souza y otros Vs. Brasil. Excepciones preliminares, Fondo, Reparaciones y Costas. Sentencia de 7 de septiembre de 2021. Serie C No. 435</w:t>
      </w:r>
      <w:r w:rsidR="00E476BB" w:rsidRPr="00E476BB">
        <w:rPr>
          <w:rStyle w:val="EnelmismoCar"/>
        </w:rPr>
        <w:t>, párr. 138.</w:t>
      </w:r>
    </w:p>
    <w:p w14:paraId="55B441E2" w14:textId="778D6408" w:rsidR="00412B5B" w:rsidRPr="00412B5B" w:rsidRDefault="00412B5B" w:rsidP="00412B5B">
      <w:pPr>
        <w:rPr>
          <w:szCs w:val="20"/>
          <w:lang w:val="es-ES_tradnl"/>
        </w:rPr>
      </w:pPr>
      <w:r w:rsidRPr="00412B5B">
        <w:rPr>
          <w:szCs w:val="20"/>
          <w:lang w:val="es-ES_tradnl"/>
        </w:rPr>
        <w:t>153.</w:t>
      </w:r>
      <w:r w:rsidRPr="00412B5B">
        <w:rPr>
          <w:szCs w:val="20"/>
          <w:lang w:val="es-ES_tradnl"/>
        </w:rPr>
        <w:tab/>
        <w:t>Este Tribunal ha definido la discriminación como 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p>
    <w:p w14:paraId="221E7CCA" w14:textId="12956D6B" w:rsidR="007269CF" w:rsidRDefault="007269CF" w:rsidP="00F41528">
      <w:pPr>
        <w:pStyle w:val="Caso"/>
        <w:rPr>
          <w:lang w:val="es-ES_tradnl"/>
        </w:rPr>
      </w:pPr>
      <w:r w:rsidRPr="00F41528">
        <w:rPr>
          <w:lang w:val="es-ES_tradnl"/>
        </w:rPr>
        <w:lastRenderedPageBreak/>
        <w:t xml:space="preserve">Corte IDH. Caso de los Empleados de la Fábrica de Fuegos de Santo </w:t>
      </w:r>
      <w:proofErr w:type="spellStart"/>
      <w:r w:rsidRPr="00F41528">
        <w:rPr>
          <w:lang w:val="es-ES_tradnl"/>
        </w:rPr>
        <w:t>Antônio</w:t>
      </w:r>
      <w:proofErr w:type="spellEnd"/>
      <w:r w:rsidRPr="00F41528">
        <w:rPr>
          <w:lang w:val="es-ES_tradnl"/>
        </w:rPr>
        <w:t xml:space="preserve"> de </w:t>
      </w:r>
      <w:proofErr w:type="spellStart"/>
      <w:r w:rsidRPr="00F41528">
        <w:rPr>
          <w:lang w:val="es-ES_tradnl"/>
        </w:rPr>
        <w:t>Jesus</w:t>
      </w:r>
      <w:proofErr w:type="spellEnd"/>
      <w:r w:rsidRPr="00F41528">
        <w:rPr>
          <w:lang w:val="es-ES_tradnl"/>
        </w:rPr>
        <w:t xml:space="preserve"> y sus familiares Vs. Brasil. Excepciones Preliminares, Fondo, Reparaciones y Costas. Sentencia de 15 de julio de 2020. Serie C No. 407</w:t>
      </w:r>
      <w:r>
        <w:rPr>
          <w:rStyle w:val="Refdenotaalpie"/>
          <w:lang w:val="es-ES_tradnl"/>
        </w:rPr>
        <w:footnoteReference w:id="13"/>
      </w:r>
    </w:p>
    <w:p w14:paraId="797381D6" w14:textId="4DDBDCBB" w:rsidR="007269CF" w:rsidRDefault="007269CF" w:rsidP="002B0D45">
      <w:pPr>
        <w:rPr>
          <w:szCs w:val="20"/>
          <w:lang w:val="es-ES_tradnl"/>
        </w:rPr>
      </w:pPr>
      <w:r w:rsidRPr="00F41528">
        <w:rPr>
          <w:szCs w:val="20"/>
          <w:lang w:val="es-ES_tradnl"/>
        </w:rPr>
        <w:t xml:space="preserve">182. Como ha </w:t>
      </w:r>
      <w:proofErr w:type="spellStart"/>
      <w:r w:rsidRPr="00F41528">
        <w:rPr>
          <w:szCs w:val="20"/>
          <w:lang w:val="es-ES_tradnl"/>
        </w:rPr>
        <w:t>señalado</w:t>
      </w:r>
      <w:proofErr w:type="spellEnd"/>
      <w:r w:rsidRPr="00F41528">
        <w:rPr>
          <w:szCs w:val="20"/>
          <w:lang w:val="es-ES_tradnl"/>
        </w:rPr>
        <w:t xml:space="preserve"> en oportunidades previas, la Corte recuerda que, en la actual etapa de </w:t>
      </w:r>
      <w:proofErr w:type="spellStart"/>
      <w:r w:rsidRPr="00F41528">
        <w:rPr>
          <w:szCs w:val="20"/>
          <w:lang w:val="es-ES_tradnl"/>
        </w:rPr>
        <w:t>evolución</w:t>
      </w:r>
      <w:proofErr w:type="spellEnd"/>
      <w:r w:rsidRPr="00F41528">
        <w:rPr>
          <w:szCs w:val="20"/>
          <w:lang w:val="es-ES_tradnl"/>
        </w:rPr>
        <w:t xml:space="preserve"> del derecho internacional, el principio fundamental de igualdad y no discriminación ha ingresado en el dominio del </w:t>
      </w:r>
      <w:proofErr w:type="spellStart"/>
      <w:r w:rsidRPr="00F41528">
        <w:rPr>
          <w:i/>
          <w:iCs/>
          <w:szCs w:val="20"/>
          <w:lang w:val="es-ES_tradnl"/>
        </w:rPr>
        <w:t>jus</w:t>
      </w:r>
      <w:proofErr w:type="spellEnd"/>
      <w:r w:rsidRPr="00F41528">
        <w:rPr>
          <w:i/>
          <w:iCs/>
          <w:szCs w:val="20"/>
          <w:lang w:val="es-ES_tradnl"/>
        </w:rPr>
        <w:t xml:space="preserve"> cogens</w:t>
      </w:r>
      <w:r w:rsidRPr="00F41528">
        <w:rPr>
          <w:szCs w:val="20"/>
          <w:lang w:val="es-ES_tradnl"/>
        </w:rPr>
        <w:t xml:space="preserve"> y permea todo el ordenamiento </w:t>
      </w:r>
      <w:proofErr w:type="spellStart"/>
      <w:r w:rsidRPr="00F41528">
        <w:rPr>
          <w:szCs w:val="20"/>
          <w:lang w:val="es-ES_tradnl"/>
        </w:rPr>
        <w:t>jurídico</w:t>
      </w:r>
      <w:proofErr w:type="spellEnd"/>
      <w:r w:rsidRPr="00F41528">
        <w:rPr>
          <w:szCs w:val="20"/>
          <w:lang w:val="es-ES_tradnl"/>
        </w:rPr>
        <w:t xml:space="preserve">. </w:t>
      </w:r>
      <w:proofErr w:type="spellStart"/>
      <w:r w:rsidRPr="00F41528">
        <w:rPr>
          <w:szCs w:val="20"/>
          <w:lang w:val="es-ES_tradnl"/>
        </w:rPr>
        <w:t>Además</w:t>
      </w:r>
      <w:proofErr w:type="spellEnd"/>
      <w:r w:rsidRPr="00F41528">
        <w:rPr>
          <w:szCs w:val="20"/>
          <w:lang w:val="es-ES_tradnl"/>
        </w:rPr>
        <w:t xml:space="preserve">, sobre este principio descansa el orden </w:t>
      </w:r>
      <w:proofErr w:type="spellStart"/>
      <w:r w:rsidRPr="00F41528">
        <w:rPr>
          <w:szCs w:val="20"/>
          <w:lang w:val="es-ES_tradnl"/>
        </w:rPr>
        <w:t>público</w:t>
      </w:r>
      <w:proofErr w:type="spellEnd"/>
      <w:r w:rsidRPr="00F41528">
        <w:rPr>
          <w:szCs w:val="20"/>
          <w:lang w:val="es-ES_tradnl"/>
        </w:rPr>
        <w:t xml:space="preserve"> nacional e internacional. En consecuencia, los Estados deben abstenerse de realizar acciones que de cualquier manera vayan dirigidas, directa o indirectamente, a crear situaciones de discriminación de jure o de facto. En este sentido, la Convención Americana, en la obligación general establecida en el artículo 1.1, se refiere al deber del Estado de respetar y garantizar “sin discriminación” los derechos contenidos en la Convención, mientras que en el artículo 24 protege el derecho a “igual protección de la ley”. Es decir, el artículo 1.1 garantiza que todos los derechos convencionales sean garantizados sin discriminación, mientras que el 24 ordena que no se otorguen tratos desiguales en las leyes internas de cada Estado o en su </w:t>
      </w:r>
      <w:proofErr w:type="spellStart"/>
      <w:r w:rsidRPr="00F41528">
        <w:rPr>
          <w:szCs w:val="20"/>
          <w:lang w:val="es-ES_tradnl"/>
        </w:rPr>
        <w:t>aplicación</w:t>
      </w:r>
      <w:proofErr w:type="spellEnd"/>
      <w:r w:rsidRPr="00F41528">
        <w:rPr>
          <w:szCs w:val="20"/>
          <w:lang w:val="es-ES_tradnl"/>
        </w:rPr>
        <w:t xml:space="preserve">. De modo que, si un Estado discrimina en el respeto o </w:t>
      </w:r>
      <w:proofErr w:type="spellStart"/>
      <w:r w:rsidRPr="00F41528">
        <w:rPr>
          <w:szCs w:val="20"/>
          <w:lang w:val="es-ES_tradnl"/>
        </w:rPr>
        <w:t>garantía</w:t>
      </w:r>
      <w:proofErr w:type="spellEnd"/>
      <w:r w:rsidRPr="00F41528">
        <w:rPr>
          <w:szCs w:val="20"/>
          <w:lang w:val="es-ES_tradnl"/>
        </w:rPr>
        <w:t xml:space="preserve"> de un derecho convencional, </w:t>
      </w:r>
      <w:proofErr w:type="spellStart"/>
      <w:r w:rsidRPr="00F41528">
        <w:rPr>
          <w:szCs w:val="20"/>
          <w:lang w:val="es-ES_tradnl"/>
        </w:rPr>
        <w:t>incumpliría</w:t>
      </w:r>
      <w:proofErr w:type="spellEnd"/>
      <w:r w:rsidRPr="00F41528">
        <w:rPr>
          <w:szCs w:val="20"/>
          <w:lang w:val="es-ES_tradnl"/>
        </w:rPr>
        <w:t xml:space="preserve"> la obligación establecida en el artículo 1.1 y el derecho sustantivo en </w:t>
      </w:r>
      <w:proofErr w:type="spellStart"/>
      <w:r w:rsidRPr="00F41528">
        <w:rPr>
          <w:szCs w:val="20"/>
          <w:lang w:val="es-ES_tradnl"/>
        </w:rPr>
        <w:t>cuestión</w:t>
      </w:r>
      <w:proofErr w:type="spellEnd"/>
      <w:r w:rsidRPr="00F41528">
        <w:rPr>
          <w:szCs w:val="20"/>
          <w:lang w:val="es-ES_tradnl"/>
        </w:rPr>
        <w:t xml:space="preserve">. En cambio, si la discriminación se refiere a una protección desigual de la ley interna o de su </w:t>
      </w:r>
      <w:proofErr w:type="spellStart"/>
      <w:r w:rsidRPr="00F41528">
        <w:rPr>
          <w:szCs w:val="20"/>
          <w:lang w:val="es-ES_tradnl"/>
        </w:rPr>
        <w:t>aplicación</w:t>
      </w:r>
      <w:proofErr w:type="spellEnd"/>
      <w:r w:rsidRPr="00F41528">
        <w:rPr>
          <w:szCs w:val="20"/>
          <w:lang w:val="es-ES_tradnl"/>
        </w:rPr>
        <w:t>, el hecho debe analizarse a la luz del artículo 24 de la Convención Americana.</w:t>
      </w:r>
      <w:r w:rsidR="007F0D9A">
        <w:rPr>
          <w:szCs w:val="20"/>
          <w:lang w:val="es-ES_tradnl"/>
        </w:rPr>
        <w:t xml:space="preserve"> </w:t>
      </w:r>
      <w:r w:rsidR="007F0D9A" w:rsidRPr="007F0D9A">
        <w:rPr>
          <w:rStyle w:val="EnelmismoCar"/>
          <w:lang w:val="es-ES_tradnl"/>
        </w:rPr>
        <w:t>En similar sentido, ver entre otros: Corte IDH. Caso Barbosa de Souza y otros Vs. Brasil. Excepciones preliminares, Fondo, Reparaciones y Costas. Sentencia de 7 de septiembre de 2021. Serie C No. 435</w:t>
      </w:r>
      <w:r w:rsidR="007F0D9A" w:rsidRPr="007F0D9A">
        <w:rPr>
          <w:rStyle w:val="EnelmismoCar"/>
        </w:rPr>
        <w:t>, párr. 139.</w:t>
      </w:r>
    </w:p>
    <w:p w14:paraId="73A8CF81" w14:textId="1E30138F" w:rsidR="007269CF" w:rsidRPr="00BB63D0" w:rsidRDefault="007269CF" w:rsidP="00A30992">
      <w:pPr>
        <w:pStyle w:val="Ttulo2"/>
      </w:pPr>
      <w:bookmarkStart w:id="2" w:name="_Toc89017865"/>
      <w:r w:rsidRPr="00BB63D0">
        <w:t>Diferencia entre art. 1.1 y art. 24 CADH</w:t>
      </w:r>
      <w:bookmarkEnd w:id="2"/>
    </w:p>
    <w:p w14:paraId="21236472" w14:textId="77777777" w:rsidR="007269CF" w:rsidRPr="00BB63D0" w:rsidRDefault="007269CF" w:rsidP="00BB63D0">
      <w:pPr>
        <w:pStyle w:val="Caso"/>
        <w:rPr>
          <w:lang w:val="es-ES_tradnl"/>
        </w:rPr>
      </w:pPr>
      <w:r w:rsidRPr="00BB63D0">
        <w:rPr>
          <w:lang w:val="es-ES_tradnl"/>
        </w:rPr>
        <w:t>Corte IDH. Propuesta de modificación a la Constitución Política de Costa Rica relacionada con la naturalización. Opinión Consultiva OC-4/84 de 19 de enero de 1984. Serie A No. 4</w:t>
      </w:r>
    </w:p>
    <w:p w14:paraId="65D130E5" w14:textId="40AAFDFF" w:rsidR="007269CF" w:rsidRPr="00BB63D0" w:rsidRDefault="007269CF" w:rsidP="00BB63D0">
      <w:pPr>
        <w:rPr>
          <w:rStyle w:val="EnelmismoCar"/>
        </w:rPr>
      </w:pPr>
      <w:r w:rsidRPr="00BB63D0">
        <w:rPr>
          <w:szCs w:val="20"/>
          <w:lang w:val="es-ES"/>
        </w:rPr>
        <w:t xml:space="preserve">53. </w:t>
      </w:r>
      <w:r w:rsidRPr="00BB63D0">
        <w:rPr>
          <w:szCs w:val="20"/>
          <w:lang w:val="es-ES"/>
        </w:rPr>
        <w:tab/>
        <w:t xml:space="preserve">El artículo 1.1 de la Convención, que es una norma de carácter general cuyo contenido se extiende a todas las disposiciones del tratado,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w:t>
      </w:r>
      <w:r w:rsidR="00651730">
        <w:rPr>
          <w:rStyle w:val="EnelmismoCar"/>
        </w:rPr>
        <w:t>En similar sentido, ver entre otros</w:t>
      </w:r>
      <w:r w:rsidRPr="00BB63D0">
        <w:rPr>
          <w:rStyle w:val="EnelmismoCar"/>
        </w:rPr>
        <w:t xml:space="preserve">: Corte IDH. Condición jurídica y derechos humanos del niño. Opinión Consultiva OC-17/02 de 28 de agosto de 2002. Serie A No. 17, párr. 43. </w:t>
      </w:r>
    </w:p>
    <w:p w14:paraId="254DA5F9" w14:textId="77777777" w:rsidR="007269CF" w:rsidRPr="00BB63D0" w:rsidRDefault="007269CF" w:rsidP="00BB63D0">
      <w:pPr>
        <w:rPr>
          <w:szCs w:val="20"/>
          <w:lang w:val="es-ES"/>
        </w:rPr>
      </w:pPr>
      <w:r w:rsidRPr="00BB63D0">
        <w:rPr>
          <w:szCs w:val="20"/>
          <w:lang w:val="es-ES"/>
        </w:rPr>
        <w:t>54.</w:t>
      </w:r>
      <w:r w:rsidRPr="00BB63D0">
        <w:rPr>
          <w:szCs w:val="20"/>
          <w:lang w:val="es-ES"/>
        </w:rPr>
        <w:tab/>
        <w:t xml:space="preserve">Por su lado el artículo 24 de la Convención establece </w:t>
      </w:r>
    </w:p>
    <w:p w14:paraId="2EE500B3" w14:textId="77777777" w:rsidR="007269CF" w:rsidRPr="00BB63D0" w:rsidRDefault="007269CF" w:rsidP="00BB63D0">
      <w:pPr>
        <w:pStyle w:val="Citacuerpo"/>
        <w:rPr>
          <w:lang w:val="es-ES"/>
        </w:rPr>
      </w:pPr>
      <w:r w:rsidRPr="00BB63D0">
        <w:rPr>
          <w:lang w:val="es-ES"/>
        </w:rPr>
        <w:tab/>
        <w:t xml:space="preserve">Artículo 24. Igualdad ante la Ley </w:t>
      </w:r>
    </w:p>
    <w:p w14:paraId="22589232" w14:textId="30948C74" w:rsidR="007269CF" w:rsidRPr="00BB63D0" w:rsidRDefault="007269CF" w:rsidP="009C67ED">
      <w:pPr>
        <w:pStyle w:val="Citacuerpo"/>
        <w:ind w:left="2124"/>
        <w:rPr>
          <w:lang w:val="es-ES"/>
        </w:rPr>
      </w:pPr>
      <w:r w:rsidRPr="00BB63D0">
        <w:rPr>
          <w:lang w:val="es-ES"/>
        </w:rPr>
        <w:lastRenderedPageBreak/>
        <w:t>Todas las personas son iguales ante la ley. En consecuencia, tienen derecho, sin</w:t>
      </w:r>
      <w:r>
        <w:rPr>
          <w:lang w:val="es-ES"/>
        </w:rPr>
        <w:t xml:space="preserve"> </w:t>
      </w:r>
      <w:r w:rsidRPr="00BB63D0">
        <w:rPr>
          <w:lang w:val="es-ES"/>
        </w:rPr>
        <w:t>discriminación, a igual protección de la ley.</w:t>
      </w:r>
    </w:p>
    <w:p w14:paraId="3AED405C" w14:textId="5740AD0D" w:rsidR="007269CF" w:rsidRPr="009C67ED" w:rsidRDefault="007269CF" w:rsidP="00BB63D0">
      <w:pPr>
        <w:rPr>
          <w:rStyle w:val="EnelmismoCar"/>
        </w:rPr>
      </w:pPr>
      <w:r w:rsidRPr="00BB63D0">
        <w:rPr>
          <w:szCs w:val="20"/>
          <w:lang w:val="es-ES"/>
        </w:rPr>
        <w:t xml:space="preserve">Aunque las nociones no son idénticas y quizás la Corte tendrá en el futuro la oportunidad de precisar las diferencias, dicha disposición reitera en cierta forma el principio establecido en el artículo 1.1. En función del reconocimiento de la igualdad ante la ley se prohíbe todo tratamiento discriminatorio de origen legal. De este modo la prohibición de discriminación ampliamente contenida en el artículo 1.1 respecto de los derechos y garantías estipulados por la Convención, se extiende al derecho interno de los Estados Partes, de tal manera que es posible concluir que, con base en esas disposiciones, éstos se han comprometido, en virtud de la Convención, a no introducir en su ordenamiento jurídico regulaciones discriminatorias referentes a la protección de la ley. </w:t>
      </w:r>
      <w:r w:rsidR="00651730">
        <w:rPr>
          <w:rStyle w:val="EnelmismoCar"/>
        </w:rPr>
        <w:t>En similar sentido, ver entre otros</w:t>
      </w:r>
      <w:r w:rsidRPr="009C67ED">
        <w:rPr>
          <w:rStyle w:val="EnelmismoCar"/>
        </w:rPr>
        <w:t xml:space="preserve">: Corte IDH. Condición jurídica y derechos humanos del niño. Opinión Consultiva OC-17/02 de 28 de agosto de 2002. Serie A No. 17, párr. 44. </w:t>
      </w:r>
    </w:p>
    <w:p w14:paraId="3ACAEC1A" w14:textId="02BDE0E4" w:rsidR="007269CF" w:rsidRPr="00BB63D0" w:rsidRDefault="007269CF" w:rsidP="009C67ED">
      <w:pPr>
        <w:pStyle w:val="Caso"/>
      </w:pPr>
      <w:r w:rsidRPr="00BB63D0">
        <w:t>Corte IDH. Excepciones al agotamiento de los recursos internos (Arts. 46.1, 46.2.a y 46.2.b, Convención Americana sobre Derechos Humanos). Opinión Consultiva OC-11/90 de 10 de agosto de 1990. Serie A No. 11</w:t>
      </w:r>
      <w:r>
        <w:rPr>
          <w:rStyle w:val="Refdenotaalpie"/>
        </w:rPr>
        <w:footnoteReference w:id="14"/>
      </w:r>
    </w:p>
    <w:p w14:paraId="15D083C1" w14:textId="77777777" w:rsidR="007269CF" w:rsidRPr="00BB63D0" w:rsidRDefault="007269CF" w:rsidP="00BB63D0">
      <w:pPr>
        <w:rPr>
          <w:szCs w:val="20"/>
          <w:lang w:val="es-ES"/>
        </w:rPr>
      </w:pPr>
      <w:r w:rsidRPr="00BB63D0">
        <w:rPr>
          <w:szCs w:val="20"/>
          <w:lang w:val="es-ES"/>
        </w:rPr>
        <w:t xml:space="preserve">22. La parte final del artículo 1.1 </w:t>
      </w:r>
      <w:proofErr w:type="spellStart"/>
      <w:r w:rsidRPr="00BB63D0">
        <w:rPr>
          <w:szCs w:val="20"/>
          <w:lang w:val="es-ES"/>
        </w:rPr>
        <w:t>prohibe</w:t>
      </w:r>
      <w:proofErr w:type="spellEnd"/>
      <w:r w:rsidRPr="00BB63D0">
        <w:rPr>
          <w:szCs w:val="20"/>
          <w:lang w:val="es-ES"/>
        </w:rPr>
        <w:t xml:space="preserve"> al Estado discriminar por diversas razones, entre ellas la posición económica. El sentido de la expresión discriminación que menciona el artículo 24 debe ser interpretado, entonces, a la luz de lo que menciona el artículo 1.1. Si una persona que busca la protección de la ley para hacer valer los derechos que la Convención le garantiza, encuentra que su posición económica (en este caso, su indigencia) le impide hacerlo porque no puede pagar la asistencia legal necesaria o cubrir los costos del proceso, queda discriminada por motivo de su posición económica y colocada en condiciones de desigualdad ante la ley.</w:t>
      </w:r>
    </w:p>
    <w:p w14:paraId="7B5B4293" w14:textId="77777777" w:rsidR="007269CF" w:rsidRPr="00BB63D0" w:rsidRDefault="007269CF" w:rsidP="00BB63D0">
      <w:pPr>
        <w:rPr>
          <w:szCs w:val="20"/>
          <w:lang w:val="es-ES"/>
        </w:rPr>
      </w:pPr>
      <w:r w:rsidRPr="00BB63D0">
        <w:rPr>
          <w:szCs w:val="20"/>
          <w:lang w:val="es-ES"/>
        </w:rPr>
        <w:t>23. La protección de la ley la constituyen, básicamente, los recursos que ésta dispone para la protección de los derechos garantizados por la Convención, los cuales, a la luz de la obligación positiva que el artículo 1.1 contempla para los Estados de respetarlos y garantizarlos, implica, como ya lo dijo la Corte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(Caso Velásquez Rodríguez, Sentencia de 29 de julio de 1988. Serie C No. 4, párr. 166; Caso Godínez Cruz, Sentencia de 20 de enero de 1989. Serie C No. 5, párr. 175).</w:t>
      </w:r>
    </w:p>
    <w:p w14:paraId="23C824CF" w14:textId="77777777" w:rsidR="007269CF" w:rsidRPr="00BB63D0" w:rsidRDefault="007269CF" w:rsidP="009C67ED">
      <w:pPr>
        <w:pStyle w:val="Caso"/>
        <w:rPr>
          <w:lang w:val="es-ES_tradnl"/>
        </w:rPr>
      </w:pPr>
      <w:r w:rsidRPr="00BB63D0">
        <w:rPr>
          <w:lang w:val="es-ES_tradnl"/>
        </w:rPr>
        <w:t>Corte IDH. Caso Yatama Vs. Nicaragua. Excepciones Preliminares, Fondo, Reparaciones y Costas. Sentencia de 23 de junio de 2005. Serie C No. 127</w:t>
      </w:r>
    </w:p>
    <w:p w14:paraId="5038EFAA" w14:textId="77777777" w:rsidR="007269CF" w:rsidRPr="00BB63D0" w:rsidRDefault="007269CF" w:rsidP="00BB63D0">
      <w:pPr>
        <w:rPr>
          <w:szCs w:val="20"/>
          <w:lang w:val="es-ES_tradnl"/>
        </w:rPr>
      </w:pPr>
      <w:r w:rsidRPr="00BB63D0">
        <w:rPr>
          <w:szCs w:val="20"/>
          <w:lang w:val="es-ES_tradnl"/>
        </w:rPr>
        <w:t>186.</w:t>
      </w:r>
      <w:r w:rsidRPr="00BB63D0">
        <w:rPr>
          <w:szCs w:val="20"/>
          <w:lang w:val="es-ES_tradnl"/>
        </w:rPr>
        <w:tab/>
        <w:t xml:space="preserve">El artículo 24 de la Convención Americana prohíbe la discriminación de derecho o de hecho, no sólo en cuanto a los derechos consagrados en dicho tratado, sino en lo que respecta a todas las leyes que apruebe el Estado y a su aplicación. Es decir, no se limita a reiterar lo dispuesto en el artículo 1.1 de la misma, respecto de la obligación de los Estados de respetar y garantizar, sin discriminación, los derechos reconocidos en dicho tratado, sino consagra un derecho que también acarrea obligaciones al Estado de respetar y garantizar el principio de igualdad y no </w:t>
      </w:r>
      <w:r w:rsidRPr="00BB63D0">
        <w:rPr>
          <w:szCs w:val="20"/>
          <w:lang w:val="es-ES_tradnl"/>
        </w:rPr>
        <w:lastRenderedPageBreak/>
        <w:t>discriminación en la salvaguardia de otros derechos y en toda la legislación interna que apruebe.</w:t>
      </w:r>
    </w:p>
    <w:p w14:paraId="334F3E20" w14:textId="4AB1E7B8" w:rsidR="007269CF" w:rsidRPr="00CF19D7" w:rsidRDefault="007269CF" w:rsidP="009C67ED">
      <w:pPr>
        <w:pStyle w:val="Caso"/>
      </w:pPr>
      <w:r w:rsidRPr="00BB63D0">
        <w:rPr>
          <w:lang w:val="es-ES_tradnl"/>
        </w:rPr>
        <w:t xml:space="preserve">Corte IDH. Caso </w:t>
      </w:r>
      <w:proofErr w:type="spellStart"/>
      <w:r w:rsidRPr="00BB63D0">
        <w:rPr>
          <w:lang w:val="es-ES_tradnl"/>
        </w:rPr>
        <w:t>Apitz</w:t>
      </w:r>
      <w:proofErr w:type="spellEnd"/>
      <w:r w:rsidRPr="00BB63D0">
        <w:rPr>
          <w:lang w:val="es-ES_tradnl"/>
        </w:rPr>
        <w:t xml:space="preserve"> Barbera y otros (“Corte Primera de lo Contencioso Administrativo”) Vs. Venezuela. Excepción Preliminar, Fondo, Reparaciones y Costas. Sentencia de 5 de agosto de 2008. Serie C No. 182</w:t>
      </w:r>
      <w:r w:rsidRPr="00E259EA">
        <w:rPr>
          <w:rStyle w:val="Refdenotaalpie"/>
        </w:rPr>
        <w:footnoteReference w:id="15"/>
      </w:r>
    </w:p>
    <w:p w14:paraId="020F24A6" w14:textId="7878FDE4" w:rsidR="007269CF" w:rsidRPr="009C67ED" w:rsidRDefault="007269CF" w:rsidP="00BB63D0">
      <w:pPr>
        <w:rPr>
          <w:rStyle w:val="EnelmismoCar"/>
        </w:rPr>
      </w:pPr>
      <w:r w:rsidRPr="009C67ED">
        <w:rPr>
          <w:szCs w:val="20"/>
        </w:rPr>
        <w:t>209.</w:t>
      </w:r>
      <w:r w:rsidRPr="009C67ED">
        <w:rPr>
          <w:szCs w:val="20"/>
        </w:rPr>
        <w:tab/>
        <w:t>Al respecto, la Corte considera que los alegatos del representante no deben analizarse bajo la óptica del artículo 24 convencional, sino bajo la obligación general de no discriminación contenida en el artículo 1.1 de la Convención. La diferencia entre los dos artículos radica en que la obligación general del artículo 1.1 se refiere al deber del Estado de respetar y garantizar “sin discriminación” los derechos contenidos en la Convención Americana, mientras que el artículo 24 protege el derecho a “igual protección de la ley”. En otras palabras, si un Estado discrimina en el respeto o garantía de un derecho convencional, violaría el artículo 1.1 y el derecho sustantivo en cuestión. Si por el contrario la discriminación se refiere a una protección desigual de la ley interna, violaría el artículo 24.</w:t>
      </w:r>
      <w:r w:rsidRPr="00BB63D0">
        <w:rPr>
          <w:szCs w:val="20"/>
        </w:rPr>
        <w:t xml:space="preserve"> […] </w:t>
      </w:r>
      <w:r w:rsidR="00651730">
        <w:rPr>
          <w:rStyle w:val="EnelmismoCar"/>
        </w:rPr>
        <w:t>En similar sentido, ver entre otros</w:t>
      </w:r>
      <w:r w:rsidRPr="009C67ED">
        <w:rPr>
          <w:rStyle w:val="EnelmismoCar"/>
        </w:rPr>
        <w:t xml:space="preserve">: Caso Rosendo Cantú y otra Vs. México. Excepción Preliminar, Fondo, Reparaciones y Costas. Sentencia de 31 de agosto de 2010. Serie C No. 216, párr. 183; Caso Vélez Loor Vs. Panamá. Excepciones Preliminares, Fondo, Reparaciones y Costas. Sentencia de 23 de noviembre de 2010. Serie C No. 218, párr. 253; Caso Comunidad Indígena </w:t>
      </w:r>
      <w:proofErr w:type="spellStart"/>
      <w:r w:rsidRPr="009C67ED">
        <w:rPr>
          <w:rStyle w:val="EnelmismoCar"/>
        </w:rPr>
        <w:t>Xákmok</w:t>
      </w:r>
      <w:proofErr w:type="spellEnd"/>
      <w:r w:rsidRPr="009C67ED">
        <w:rPr>
          <w:rStyle w:val="EnelmismoCar"/>
        </w:rPr>
        <w:t xml:space="preserve"> </w:t>
      </w:r>
      <w:proofErr w:type="spellStart"/>
      <w:r w:rsidRPr="009C67ED">
        <w:rPr>
          <w:rStyle w:val="EnelmismoCar"/>
        </w:rPr>
        <w:t>Kásek</w:t>
      </w:r>
      <w:proofErr w:type="spellEnd"/>
      <w:r w:rsidRPr="009C67ED">
        <w:rPr>
          <w:rStyle w:val="EnelmismoCar"/>
        </w:rPr>
        <w:t xml:space="preserve"> Vs. Paraguay. Fondo, Reparaciones y Costas. Sentencia de 24 de agosto de 2010. Serie C No. 214, párr. 272; Caso </w:t>
      </w:r>
      <w:proofErr w:type="spellStart"/>
      <w:r w:rsidRPr="009C67ED">
        <w:rPr>
          <w:rStyle w:val="EnelmismoCar"/>
        </w:rPr>
        <w:t>Nadege</w:t>
      </w:r>
      <w:proofErr w:type="spellEnd"/>
      <w:r w:rsidRPr="009C67ED">
        <w:rPr>
          <w:rStyle w:val="EnelmismoCar"/>
        </w:rPr>
        <w:t xml:space="preserve"> </w:t>
      </w:r>
      <w:proofErr w:type="spellStart"/>
      <w:r w:rsidRPr="009C67ED">
        <w:rPr>
          <w:rStyle w:val="EnelmismoCar"/>
        </w:rPr>
        <w:t>Dorzema</w:t>
      </w:r>
      <w:proofErr w:type="spellEnd"/>
      <w:r w:rsidRPr="009C67ED">
        <w:rPr>
          <w:rStyle w:val="EnelmismoCar"/>
        </w:rPr>
        <w:t xml:space="preserve"> y otros Vs. República Dominicana. Fondo Reparaciones y Costas. Sentencia de 24 de octubre de 2012. Serie C No. 251, párr. 226; Caso Veliz Franco y otros Vs. Guatemala. Excepciones Preliminares, Fondo, Reparaciones y Costas. Sentencia de 19 de mayo de 2014. Serie C No. 277, párr. 214; Caso </w:t>
      </w:r>
      <w:proofErr w:type="spellStart"/>
      <w:r w:rsidRPr="009C67ED">
        <w:rPr>
          <w:rStyle w:val="EnelmismoCar"/>
        </w:rPr>
        <w:t>Granier</w:t>
      </w:r>
      <w:proofErr w:type="spellEnd"/>
      <w:r w:rsidRPr="009C67ED">
        <w:rPr>
          <w:rStyle w:val="EnelmismoCar"/>
        </w:rPr>
        <w:t xml:space="preserve"> y otros (Radio Caracas Televisión) Vs. Venezuela. Excepciones Preliminares, Fondo, Reparaciones y Costas. Sentencia de 22 de junio de 2015. Serie C No. 293, párr. 217; Caso Gonzales Lluy y otros Vs. Ecuador. Excepciones Preliminares, Fondo, Reparaciones y Costas. Sentencia de 1 de septiembre de 2015. Serie C No. 298, párr. 243; Caso Flor Freire Vs. Ecuador. Excepción Preliminar, Fondo, Reparaciones y Costas. Sentencia de 31 de agosto de 2016. Serie C No. 315, párr. 112.</w:t>
      </w:r>
    </w:p>
    <w:p w14:paraId="19FDB1AC" w14:textId="77777777" w:rsidR="007269CF" w:rsidRPr="00BB63D0" w:rsidRDefault="007269CF" w:rsidP="009C67ED">
      <w:pPr>
        <w:pStyle w:val="Caso"/>
      </w:pPr>
      <w:r w:rsidRPr="00BB63D0">
        <w:t>Corte IDH. Caso Atala Riffo y niñas Vs. Chile. Fondo, Reparaciones y Costas. Sentencia de 24 de febrero de 2012. Serie C No. 239</w:t>
      </w:r>
    </w:p>
    <w:p w14:paraId="3495E443" w14:textId="2934BED3" w:rsidR="007269CF" w:rsidRPr="00BB63D0" w:rsidRDefault="007269CF" w:rsidP="00BB63D0">
      <w:pPr>
        <w:rPr>
          <w:b/>
          <w:szCs w:val="20"/>
        </w:rPr>
      </w:pPr>
      <w:r w:rsidRPr="00BB63D0">
        <w:rPr>
          <w:szCs w:val="20"/>
        </w:rPr>
        <w:t>82.</w:t>
      </w:r>
      <w:r w:rsidRPr="00BB63D0">
        <w:rPr>
          <w:szCs w:val="20"/>
        </w:rPr>
        <w:tab/>
        <w:t xml:space="preserve">La Corte reitera que, mientras la obligación general del artículo 1.1 se refiere al deber del Estado de respetar y garantizar “sin discriminación” los derechos contenidos en la Convención Americana, el artículo 24 protege el derecho a “igual protección de la ley”. Es decir, </w:t>
      </w:r>
      <w:r w:rsidRPr="009C67ED">
        <w:rPr>
          <w:szCs w:val="20"/>
        </w:rPr>
        <w:t>el artículo 24 de la Convención Americana prohíbe la discriminación de derecho o de hecho, no sólo en cuanto a los derechos consagrados en dicho tratado, sino en lo que respecta a todas las leyes que apruebe el Estado y a su aplicación.</w:t>
      </w:r>
      <w:r w:rsidRPr="00BB63D0">
        <w:rPr>
          <w:szCs w:val="20"/>
        </w:rPr>
        <w:t xml:space="preserve">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 </w:t>
      </w:r>
      <w:r w:rsidR="00651730">
        <w:rPr>
          <w:rStyle w:val="EnelmismoCar"/>
        </w:rPr>
        <w:t>En similar sentido, ver entre otros</w:t>
      </w:r>
      <w:r w:rsidRPr="009C67ED">
        <w:rPr>
          <w:rStyle w:val="EnelmismoCar"/>
        </w:rPr>
        <w:t xml:space="preserve">: Caso de las comunidades afrodescendientes desplazadas de la Cuenca del Río Cacarica (Operación Génesis) Vs. Colombia. Excepciones Preliminares, Fondo, Reparaciones y Costas. Sentencia de 20 de noviembre de 2013. Serie C No. 270, párr. 333; Caso Espinoza Gonzáles Vs. Perú. Excepciones Preliminares, Fondo, </w:t>
      </w:r>
      <w:r w:rsidRPr="009C67ED">
        <w:rPr>
          <w:rStyle w:val="EnelmismoCar"/>
        </w:rPr>
        <w:lastRenderedPageBreak/>
        <w:t>Reparaciones y Costas. Sentencia de 20 de noviembre de 2014. Serie C No. 289, párr. 217.</w:t>
      </w:r>
    </w:p>
    <w:p w14:paraId="7562A179" w14:textId="77777777" w:rsidR="007269CF" w:rsidRPr="00BB63D0" w:rsidRDefault="007269CF" w:rsidP="009C67ED">
      <w:pPr>
        <w:pStyle w:val="Caso"/>
      </w:pPr>
      <w:r w:rsidRPr="00BB63D0">
        <w:t>Corte IDH. Caso Norín Catrimán y otros (Dirigentes, miembros y activista del Pueblo Indígena Mapuche) Vs. Chile. Fondo, Reparaciones y Costas. Sentencia de 29 de mayo de 2014. Serie C No. 279</w:t>
      </w:r>
    </w:p>
    <w:p w14:paraId="63D99591" w14:textId="77777777" w:rsidR="007269CF" w:rsidRPr="00BB63D0" w:rsidRDefault="007269CF" w:rsidP="00BB63D0">
      <w:pPr>
        <w:rPr>
          <w:szCs w:val="20"/>
        </w:rPr>
      </w:pPr>
      <w:r w:rsidRPr="00BB63D0">
        <w:rPr>
          <w:szCs w:val="20"/>
        </w:rPr>
        <w:t>199.</w:t>
      </w:r>
      <w:r w:rsidRPr="00BB63D0">
        <w:rPr>
          <w:szCs w:val="20"/>
        </w:rPr>
        <w:tab/>
        <w:t xml:space="preserve">El artículo 24 de la Convención Americana prohíbe la discriminación de derecho o de hecho, no sólo en cuanto a los derechos consagrados en dicho tratado, sino en lo que respecta a todas las leyes que apruebe el Estado y a su aplicación. Es decir, no se limita a reiterar lo dispuesto en el artículo 1.1 de la misma, respecto de la obligación de los Estados de respetar y garantizar, sin discriminación, los derechos reconocidos en dicho tratado, sino consagra un </w:t>
      </w:r>
      <w:r w:rsidRPr="009C67ED">
        <w:rPr>
          <w:szCs w:val="20"/>
        </w:rPr>
        <w:t>derecho que también acarrea obligaciones al Estado de respetar y garantizar el principio de igualdad y no discriminación en la salvaguardia de otros derechos y en toda la legislación interna que apruebe, pues protege el derecho a la “igual protección de la ley”, de modo que veda también la discriminación derivada de una desigualdad proveniente de la ley interna o de su aplicación.</w:t>
      </w:r>
    </w:p>
    <w:p w14:paraId="2D4BCA32" w14:textId="77777777" w:rsidR="007269CF" w:rsidRPr="00BB63D0" w:rsidRDefault="007269CF" w:rsidP="009C67ED">
      <w:pPr>
        <w:pStyle w:val="Caso"/>
      </w:pPr>
      <w:r w:rsidRPr="00BB63D0">
        <w:t>Corte IDH. Caso de personas dominicanas y haitianas expulsadas Vs. República Dominicana. Excepciones Preliminares, Fondo, Reparaciones y Costas. Sentencia de 28 de agosto de 2014. Serie C No. 282</w:t>
      </w:r>
      <w:r w:rsidRPr="00BB63D0">
        <w:rPr>
          <w:rStyle w:val="Refdenotaalpie"/>
        </w:rPr>
        <w:footnoteReference w:id="16"/>
      </w:r>
    </w:p>
    <w:p w14:paraId="4F98B6EE" w14:textId="77777777" w:rsidR="007269CF" w:rsidRPr="00BB63D0" w:rsidRDefault="007269CF" w:rsidP="00BB63D0">
      <w:pPr>
        <w:rPr>
          <w:szCs w:val="20"/>
        </w:rPr>
      </w:pPr>
      <w:r w:rsidRPr="00BB63D0">
        <w:rPr>
          <w:szCs w:val="20"/>
        </w:rPr>
        <w:t>262.</w:t>
      </w:r>
      <w:r w:rsidRPr="00BB63D0">
        <w:rPr>
          <w:szCs w:val="20"/>
        </w:rPr>
        <w:tab/>
        <w:t>La Corte ha sostenido que el artículo 1.1 de la Convención Americana, que establece la obligación de los Estados de respetar y garantizar el pleno y libre ejercicio de los derechos y libertades allí reconocidos “sin discriminación alguna”, es una norma de carácter general cuyo contenido se extiende a todas las disposiciones del tratado. Es decir, cualquiera sea el origen o la forma que asuma, todo tratamiento que pueda ser considerado discriminatorio respecto del ejercicio de cualquiera de los derechos garantizados en la Convención es per se incompatible con la misma. Por otro lado, el artículo 24 consagra el derecho de igual protección de la ley, y es aplicable en el caso de que la discriminación se refiera a una protección desigual de la ley interna o su aplicación.</w:t>
      </w:r>
    </w:p>
    <w:p w14:paraId="30AEAF57" w14:textId="24AEDB00" w:rsidR="007269CF" w:rsidRPr="00BB63D0" w:rsidRDefault="007269CF" w:rsidP="009C67ED">
      <w:pPr>
        <w:pStyle w:val="Caso"/>
      </w:pPr>
      <w:r w:rsidRPr="00BB63D0">
        <w:lastRenderedPageBreak/>
        <w:t>Corte IDH. Caso Espinoza Gonzáles Vs. Perú. Excepciones Preliminares, Fondo, Reparaciones y Costas. Sentencia de 20 de noviembre de 2014. Serie C No. 289</w:t>
      </w:r>
      <w:r w:rsidRPr="000612C4">
        <w:rPr>
          <w:rStyle w:val="Refdenotaalpie"/>
          <w:rFonts w:cstheme="minorHAnsi"/>
        </w:rPr>
        <w:footnoteReference w:id="17"/>
      </w:r>
    </w:p>
    <w:p w14:paraId="38895F24" w14:textId="20CF190F" w:rsidR="007269CF" w:rsidRPr="009C67ED" w:rsidRDefault="007269CF" w:rsidP="00BB63D0">
      <w:pPr>
        <w:rPr>
          <w:rStyle w:val="EnelmismoCar"/>
        </w:rPr>
      </w:pPr>
      <w:r w:rsidRPr="00BB63D0">
        <w:rPr>
          <w:szCs w:val="20"/>
        </w:rPr>
        <w:t>218.</w:t>
      </w:r>
      <w:r w:rsidRPr="00BB63D0">
        <w:rPr>
          <w:szCs w:val="20"/>
        </w:rPr>
        <w:tab/>
        <w:t xml:space="preserve">La Corte ha establecido que el artículo 1.1 de la Convención “es una norma de carácter general cuyo contenido se extiende a todas las disposiciones del tratado, y dispone la obligación de los Estados Partes de respetar y garantizar el pleno y libre ejercicio de los derechos y libertades allí reconocidos sin discriminación alguna”. Es decir, cualquiera sea el origen o la forma que asuma, todo trato que pueda ser considerado discriminatorio respecto del ejercicio de cualquiera de los derechos garantizados en la Convención es per se incompatible con la misma. Por ende, el incumplimiento por el Estado, mediante cualquier trato discriminatorio, de la obligación general de respetar y garantizar los derechos humanos, le genera responsabilidad internacional. Es por ello que la Corte ha sostenido que existe un vínculo indisoluble entre la obligación de respetar y garantizar los derechos humanos y el principio de igualdad y no discriminación. El artículo 24 de la Convención consagra un derecho que también acarrea obligaciones al Estado de respetar y garantizar el principio de igualdad y no discriminación en la salvaguardia de otros derechos y en toda la legislación interna que apruebe, pues protege el derecho a “igual protección de la ley”, de modo que veda también la discriminación derivada de una desigualdad proveniente de la ley interna o de su aplicación. </w:t>
      </w:r>
      <w:r w:rsidR="00651730">
        <w:rPr>
          <w:rStyle w:val="EnelmismoCar"/>
        </w:rPr>
        <w:t>En similar sentido, ver entre otros</w:t>
      </w:r>
      <w:r w:rsidRPr="009C67ED">
        <w:rPr>
          <w:rStyle w:val="EnelmismoCar"/>
        </w:rPr>
        <w:t>: Caso Velásquez Paiz y otros Vs. Guatemala. Excepciones Preliminares, Fondo, Reparaciones y Costas. Sentencia de 19 de noviembre de 2015. Serie C No. 307, párr. 174.</w:t>
      </w:r>
      <w:r w:rsidRPr="009C67ED">
        <w:rPr>
          <w:rStyle w:val="EnelmismoCar"/>
        </w:rPr>
        <w:tab/>
      </w:r>
    </w:p>
    <w:p w14:paraId="41103C03" w14:textId="77777777" w:rsidR="007269CF" w:rsidRPr="00BB63D0" w:rsidRDefault="007269CF" w:rsidP="009C67ED">
      <w:pPr>
        <w:pStyle w:val="Caso"/>
        <w:rPr>
          <w:lang w:val="es-CR"/>
        </w:rPr>
      </w:pPr>
      <w:r w:rsidRPr="00BB63D0">
        <w:rPr>
          <w:lang w:val="es-CR"/>
        </w:rPr>
        <w:t>Corte IDH. Caso Ramírez Escobar y otros Vs. Guatemala. Fondo, Reparaciones y Costas. Sentencia de 9 de marzo de 2018. Serie C No. 351</w:t>
      </w:r>
      <w:r w:rsidRPr="00CF19D7">
        <w:rPr>
          <w:rStyle w:val="Refdenotaalpie"/>
          <w:bCs/>
          <w:lang w:val="es-CR"/>
        </w:rPr>
        <w:footnoteReference w:id="18"/>
      </w:r>
    </w:p>
    <w:p w14:paraId="6F4281E4" w14:textId="2CDF057C" w:rsidR="007269CF" w:rsidRPr="009C67ED" w:rsidRDefault="007269CF" w:rsidP="00BB63D0">
      <w:pPr>
        <w:rPr>
          <w:szCs w:val="20"/>
          <w:vertAlign w:val="superscript"/>
          <w:lang w:val="es-CR"/>
        </w:rPr>
      </w:pPr>
      <w:r w:rsidRPr="00BB63D0">
        <w:rPr>
          <w:szCs w:val="20"/>
          <w:lang w:val="es-CR"/>
        </w:rPr>
        <w:t>269.</w:t>
      </w:r>
      <w:r w:rsidRPr="00BB63D0">
        <w:rPr>
          <w:szCs w:val="20"/>
          <w:lang w:val="es-CR"/>
        </w:rPr>
        <w:tab/>
        <w:t>La Corte ha definido la discriminación como 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r>
        <w:rPr>
          <w:szCs w:val="20"/>
          <w:lang w:val="es-CR"/>
        </w:rPr>
        <w:t>.</w:t>
      </w:r>
    </w:p>
    <w:p w14:paraId="3C80C958" w14:textId="77777777" w:rsidR="007269CF" w:rsidRPr="00BB63D0" w:rsidRDefault="007269CF" w:rsidP="00BB63D0">
      <w:pPr>
        <w:rPr>
          <w:szCs w:val="20"/>
          <w:lang w:val="es-CR"/>
        </w:rPr>
      </w:pPr>
      <w:r w:rsidRPr="00BB63D0">
        <w:rPr>
          <w:szCs w:val="20"/>
          <w:lang w:val="es-CR"/>
        </w:rPr>
        <w:t>270.</w:t>
      </w:r>
      <w:r w:rsidRPr="00BB63D0">
        <w:rPr>
          <w:szCs w:val="20"/>
          <w:lang w:val="es-CR"/>
        </w:rPr>
        <w:tab/>
        <w:t xml:space="preserve">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w:t>
      </w:r>
      <w:r w:rsidRPr="00BB63D0">
        <w:rPr>
          <w:szCs w:val="20"/>
          <w:lang w:val="es-CR"/>
        </w:rPr>
        <w:lastRenderedPageBreak/>
        <w:t xml:space="preserve">considerarlo inferior, lo trate con hostilidad o de cualquier forma lo discrimine del goce de derechos que sí se reconocen a quienes no se consideran incursos en tal situación. Asimismo, el principio fundamental de igualdad y no discriminación ha ingresado en el dominio del </w:t>
      </w:r>
      <w:r w:rsidRPr="00BB63D0">
        <w:rPr>
          <w:i/>
          <w:iCs/>
          <w:szCs w:val="20"/>
          <w:lang w:val="es-CR"/>
        </w:rPr>
        <w:t>ius cogens</w:t>
      </w:r>
      <w:r w:rsidRPr="00BB63D0">
        <w:rPr>
          <w:szCs w:val="20"/>
          <w:lang w:val="es-CR"/>
        </w:rPr>
        <w:t>. Sobre él descansa el andamiaje jurídico del orden público nacional e internacional y permean todo el ordenamiento jurídico. Además, este Tribunal ha establecido que los Estados deben abstenerse de realizar acciones que de cualquier manera vayan dirigidas, directa o indirectamente, a crear situaciones de discriminación de jure o de facto y que están obligados a adoptar medidas positivas para revertir o cambiar situaciones discriminatorias existentes en sus sociedades, en perjuicio de determinado grupo de personas.</w:t>
      </w:r>
    </w:p>
    <w:p w14:paraId="33B8FFAC" w14:textId="77777777" w:rsidR="007269CF" w:rsidRPr="00BB63D0" w:rsidRDefault="007269CF" w:rsidP="00BB63D0">
      <w:pPr>
        <w:rPr>
          <w:szCs w:val="20"/>
          <w:lang w:val="es-CR"/>
        </w:rPr>
      </w:pPr>
      <w:r w:rsidRPr="00BB63D0">
        <w:rPr>
          <w:szCs w:val="20"/>
          <w:lang w:val="es-CR"/>
        </w:rPr>
        <w:t>271.</w:t>
      </w:r>
      <w:r w:rsidRPr="00BB63D0">
        <w:rPr>
          <w:szCs w:val="20"/>
          <w:lang w:val="es-CR"/>
        </w:rPr>
        <w:tab/>
        <w:t>El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El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w:t>
      </w:r>
    </w:p>
    <w:p w14:paraId="5B3546FE" w14:textId="7A6E14AB" w:rsidR="007269CF" w:rsidRPr="00BB63D0" w:rsidRDefault="007269CF" w:rsidP="00BB63D0">
      <w:pPr>
        <w:rPr>
          <w:szCs w:val="20"/>
        </w:rPr>
      </w:pPr>
      <w:r w:rsidRPr="00BB63D0">
        <w:rPr>
          <w:szCs w:val="20"/>
          <w:lang w:val="es-CR"/>
        </w:rPr>
        <w:t>272.</w:t>
      </w:r>
      <w:r w:rsidRPr="00BB63D0">
        <w:rPr>
          <w:szCs w:val="20"/>
          <w:lang w:val="es-CR"/>
        </w:rPr>
        <w:tab/>
        <w:t xml:space="preserve">Mientras que la obligación general del artículo 1.1 se refiere al deber del Estado de respetar y garantizar “sin discriminación” los derechos contenidos en la Convención Americana, el artículo 24 protege el derecho a “igual protección de la ley”. Es decir, el artículo 24 de la Convención Americana prohíbe la discriminación de derecho, no solo en cuanto a los derechos contenidos en dicho tratado, sino en lo que respecta a todas las leyes que apruebe el Estado y a su aplicación.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 la Convención. </w:t>
      </w:r>
      <w:r w:rsidR="00651730">
        <w:rPr>
          <w:rStyle w:val="EnelmismoCar"/>
        </w:rPr>
        <w:t>En similar sentido, ver entre otros</w:t>
      </w:r>
      <w:r w:rsidRPr="009C67ED">
        <w:rPr>
          <w:rStyle w:val="EnelmismoCar"/>
        </w:rPr>
        <w:t>: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párr. 64.</w:t>
      </w:r>
    </w:p>
    <w:p w14:paraId="25F1727D" w14:textId="77777777" w:rsidR="007269CF" w:rsidRPr="00BB63D0" w:rsidRDefault="007269CF" w:rsidP="00BB63D0">
      <w:pPr>
        <w:rPr>
          <w:szCs w:val="20"/>
          <w:lang w:val="es-CR"/>
        </w:rPr>
      </w:pPr>
      <w:r w:rsidRPr="00BB63D0">
        <w:rPr>
          <w:szCs w:val="20"/>
          <w:lang w:val="es-CR"/>
        </w:rPr>
        <w:t>273.</w:t>
      </w:r>
      <w:r w:rsidRPr="00BB63D0">
        <w:rPr>
          <w:szCs w:val="20"/>
          <w:lang w:val="es-CR"/>
        </w:rPr>
        <w:tab/>
        <w:t>En el presente caso no se configuraron hechos relativos a una protección desigual derivada de una ley interna o su aplicación, sino más bien se alega una discriminación ocasionada por el recurso a estereotipos de género, sobre la orientación sexual y la posición económica para justificar la declaratoria de abandono, así como que las prácticas o patrones asociados al contexto de adopciones irregulares en Guatemala afectaron de manera desproporcionada a las familias viviendo en situación de pobreza, como la de este caso. Por tanto, la Corte considera que la situación alegada por los representantes corresponde analizarla bajo la prohibición general de discriminación, consagrada en el artículo 1.1 de la Convención y no bajo el principio de igualdad ante la ley, consagrado en el artículo 24 de la Convención.</w:t>
      </w:r>
    </w:p>
    <w:p w14:paraId="3AC1F4AF" w14:textId="77777777" w:rsidR="007269CF" w:rsidRPr="00BB63D0" w:rsidRDefault="007269CF" w:rsidP="00BB63D0">
      <w:pPr>
        <w:rPr>
          <w:szCs w:val="20"/>
          <w:lang w:val="es-CR"/>
        </w:rPr>
      </w:pPr>
      <w:r w:rsidRPr="00BB63D0">
        <w:rPr>
          <w:szCs w:val="20"/>
          <w:lang w:val="es-CR"/>
        </w:rPr>
        <w:t>[...]</w:t>
      </w:r>
    </w:p>
    <w:p w14:paraId="3DD4BE28" w14:textId="77777777" w:rsidR="007269CF" w:rsidRPr="00BB63D0" w:rsidRDefault="007269CF" w:rsidP="00BB63D0">
      <w:pPr>
        <w:rPr>
          <w:szCs w:val="20"/>
          <w:lang w:val="es-CR"/>
        </w:rPr>
      </w:pPr>
      <w:r w:rsidRPr="00BB63D0">
        <w:rPr>
          <w:szCs w:val="20"/>
          <w:lang w:val="es-CR"/>
        </w:rPr>
        <w:t>303.</w:t>
      </w:r>
      <w:r w:rsidRPr="00BB63D0">
        <w:rPr>
          <w:szCs w:val="20"/>
          <w:lang w:val="es-CR"/>
        </w:rPr>
        <w:tab/>
        <w:t xml:space="preserve">Teniendo en cuenta todas las consideraciones anteriores, la Corte concluye que la decisión de separar a los hermanos Ramírez de su familia biológica se fundamentó en argumentaciones relativas a la posición económica de sus familiares, </w:t>
      </w:r>
      <w:r w:rsidRPr="00BB63D0">
        <w:rPr>
          <w:szCs w:val="20"/>
          <w:lang w:val="es-CR"/>
        </w:rPr>
        <w:lastRenderedPageBreak/>
        <w:t xml:space="preserve">estereotipos de género sobre la atribución de diferentes roles parentales a la madre y al padre, así como la orientación sexual de su abuela materna. Este Tribunal considera que estas constituyeron justificaciones discriminatorias que se utilizaron como base de la separación familiar. En consecuencia, concluye que el Estado es responsable por la violación de la prohibición de discriminación en relación con la obligación de respetar y garantizar los derechos a la vida familiar y la protección de la familia, consagrados en los artículos 11.2 y 17.1 de la Convención, en relación con el artículo 1.1, en perjuicio de Flor de María Ramírez Escobar, Gustavo Tobar Fajardo y </w:t>
      </w:r>
      <w:proofErr w:type="spellStart"/>
      <w:r w:rsidRPr="00BB63D0">
        <w:rPr>
          <w:szCs w:val="20"/>
          <w:lang w:val="es-CR"/>
        </w:rPr>
        <w:t>Osmín</w:t>
      </w:r>
      <w:proofErr w:type="spellEnd"/>
      <w:r w:rsidRPr="00BB63D0">
        <w:rPr>
          <w:szCs w:val="20"/>
          <w:lang w:val="es-CR"/>
        </w:rPr>
        <w:t xml:space="preserve"> Tobar Ramírez, así como en relación con el artículo 19 de la Convención en perjuicio de este último. </w:t>
      </w:r>
    </w:p>
    <w:p w14:paraId="258FE38B" w14:textId="7530A1F7" w:rsidR="007269CF" w:rsidRDefault="007269CF" w:rsidP="00345354">
      <w:pPr>
        <w:pStyle w:val="Caso"/>
        <w:rPr>
          <w:lang w:val="es-CR"/>
        </w:rPr>
      </w:pPr>
      <w:r w:rsidRPr="00345354">
        <w:rPr>
          <w:lang w:val="es-CR"/>
        </w:rPr>
        <w:t xml:space="preserve">Corte IDH. Caso de los Empleados de la Fábrica de Fuegos de Santo </w:t>
      </w:r>
      <w:proofErr w:type="spellStart"/>
      <w:r w:rsidRPr="00345354">
        <w:rPr>
          <w:lang w:val="es-CR"/>
        </w:rPr>
        <w:t>Antônio</w:t>
      </w:r>
      <w:proofErr w:type="spellEnd"/>
      <w:r w:rsidRPr="00345354">
        <w:rPr>
          <w:lang w:val="es-CR"/>
        </w:rPr>
        <w:t xml:space="preserve"> de </w:t>
      </w:r>
      <w:proofErr w:type="spellStart"/>
      <w:r w:rsidRPr="00345354">
        <w:rPr>
          <w:lang w:val="es-CR"/>
        </w:rPr>
        <w:t>Jesus</w:t>
      </w:r>
      <w:proofErr w:type="spellEnd"/>
      <w:r w:rsidRPr="00345354">
        <w:rPr>
          <w:lang w:val="es-CR"/>
        </w:rPr>
        <w:t xml:space="preserve"> y sus familiares Vs. Brasil. Excepciones Preliminares, Fondo, Reparaciones y Costas. Sentencia de 15 de julio de 2020. Serie C No. 407</w:t>
      </w:r>
    </w:p>
    <w:p w14:paraId="65C267D4" w14:textId="40A2F420" w:rsidR="007269CF" w:rsidRDefault="007269CF" w:rsidP="00BB63D0">
      <w:pPr>
        <w:rPr>
          <w:szCs w:val="20"/>
          <w:lang w:val="es-CR"/>
        </w:rPr>
      </w:pPr>
      <w:r w:rsidRPr="00345354">
        <w:rPr>
          <w:szCs w:val="20"/>
          <w:lang w:val="es-CR"/>
        </w:rPr>
        <w:t xml:space="preserve">184. En particular, en </w:t>
      </w:r>
      <w:proofErr w:type="spellStart"/>
      <w:r w:rsidRPr="00345354">
        <w:rPr>
          <w:szCs w:val="20"/>
          <w:lang w:val="es-CR"/>
        </w:rPr>
        <w:t>relación</w:t>
      </w:r>
      <w:proofErr w:type="spellEnd"/>
      <w:r w:rsidRPr="00345354">
        <w:rPr>
          <w:szCs w:val="20"/>
          <w:lang w:val="es-CR"/>
        </w:rPr>
        <w:t xml:space="preserve"> con el artículo 1.1 de la Convención, la Corte ha establecido que se trata de una norma de </w:t>
      </w:r>
      <w:proofErr w:type="spellStart"/>
      <w:r w:rsidRPr="00345354">
        <w:rPr>
          <w:szCs w:val="20"/>
          <w:lang w:val="es-CR"/>
        </w:rPr>
        <w:t>carácter</w:t>
      </w:r>
      <w:proofErr w:type="spellEnd"/>
      <w:r w:rsidRPr="00345354">
        <w:rPr>
          <w:szCs w:val="20"/>
          <w:lang w:val="es-CR"/>
        </w:rPr>
        <w:t xml:space="preserve"> general cuyo contenido se extiende a todas las disposiciones del tratado e implica la obligación de los Estados Parte de respetar y garantizar el pleno y libre ejercicio de los derechos y libertades </w:t>
      </w:r>
      <w:proofErr w:type="spellStart"/>
      <w:r w:rsidRPr="00345354">
        <w:rPr>
          <w:szCs w:val="20"/>
          <w:lang w:val="es-CR"/>
        </w:rPr>
        <w:t>alli</w:t>
      </w:r>
      <w:proofErr w:type="spellEnd"/>
      <w:r w:rsidRPr="00345354">
        <w:rPr>
          <w:szCs w:val="20"/>
          <w:lang w:val="es-CR"/>
        </w:rPr>
        <w:t xml:space="preserve">́ reconocidas “sin discriminación alguna”. Es decir, cualquiera que sea el origen o la forma que asuma un tratamiento que pueda ser considerado discriminatorio respecto del ejercicio de los derechos garantizados en la Convención, es </w:t>
      </w:r>
      <w:r w:rsidRPr="00345354">
        <w:rPr>
          <w:i/>
          <w:iCs/>
          <w:szCs w:val="20"/>
          <w:lang w:val="es-CR"/>
        </w:rPr>
        <w:t>per se</w:t>
      </w:r>
      <w:r w:rsidRPr="00345354">
        <w:rPr>
          <w:szCs w:val="20"/>
          <w:lang w:val="es-CR"/>
        </w:rPr>
        <w:t xml:space="preserve"> incompatible con esta. De modo que el incumplimiento del Estado, mediante cualquier tratamiento discriminatorio, de la obligación general de respetar y garantizar los derechos humanos, le genera responsabilidad internacional. Es por ello que existe un </w:t>
      </w:r>
      <w:proofErr w:type="spellStart"/>
      <w:r w:rsidRPr="00345354">
        <w:rPr>
          <w:szCs w:val="20"/>
          <w:lang w:val="es-CR"/>
        </w:rPr>
        <w:t>vínculo</w:t>
      </w:r>
      <w:proofErr w:type="spellEnd"/>
      <w:r w:rsidRPr="00345354">
        <w:rPr>
          <w:szCs w:val="20"/>
          <w:lang w:val="es-CR"/>
        </w:rPr>
        <w:t xml:space="preserve"> indisoluble entre la obligación de respetar y garantizar los derechos humanos y el principio de igualdad y no discriminación.</w:t>
      </w:r>
    </w:p>
    <w:p w14:paraId="467C4066" w14:textId="49F17C11" w:rsidR="007269CF" w:rsidRDefault="007269CF" w:rsidP="00BB63D0">
      <w:pPr>
        <w:rPr>
          <w:szCs w:val="20"/>
          <w:lang w:val="es-CR"/>
        </w:rPr>
      </w:pPr>
      <w:r>
        <w:rPr>
          <w:szCs w:val="20"/>
          <w:lang w:val="es-CR"/>
        </w:rPr>
        <w:t>[...]</w:t>
      </w:r>
    </w:p>
    <w:p w14:paraId="410A693C" w14:textId="1F95A630" w:rsidR="007269CF" w:rsidRPr="00B12BD9" w:rsidRDefault="007269CF" w:rsidP="00B12BD9">
      <w:pPr>
        <w:rPr>
          <w:szCs w:val="20"/>
          <w:lang w:val="es-CR"/>
        </w:rPr>
      </w:pPr>
      <w:r w:rsidRPr="00B12BD9">
        <w:rPr>
          <w:szCs w:val="20"/>
          <w:lang w:val="es-CR"/>
        </w:rPr>
        <w:t xml:space="preserve">199. Por otra parte, la Corte encuentra que del artículo 24 de la Convención se desprende un mandato orientado a garantizar la igualdad material, lo que no </w:t>
      </w:r>
      <w:proofErr w:type="spellStart"/>
      <w:r w:rsidRPr="00B12BD9">
        <w:rPr>
          <w:szCs w:val="20"/>
          <w:lang w:val="es-CR"/>
        </w:rPr>
        <w:t>sucedio</w:t>
      </w:r>
      <w:proofErr w:type="spellEnd"/>
      <w:r w:rsidRPr="00B12BD9">
        <w:rPr>
          <w:szCs w:val="20"/>
          <w:lang w:val="es-CR"/>
        </w:rPr>
        <w:t xml:space="preserve">́ en el presente caso. En ese sentido, el derecho a la igualdad garantizado por el artículo 24 convencional tiene dos dimensiones, la primera una </w:t>
      </w:r>
      <w:proofErr w:type="spellStart"/>
      <w:r w:rsidRPr="00B12BD9">
        <w:rPr>
          <w:szCs w:val="20"/>
          <w:lang w:val="es-CR"/>
        </w:rPr>
        <w:t>dimensión</w:t>
      </w:r>
      <w:proofErr w:type="spellEnd"/>
      <w:r w:rsidRPr="00B12BD9">
        <w:rPr>
          <w:szCs w:val="20"/>
          <w:lang w:val="es-CR"/>
        </w:rPr>
        <w:t xml:space="preserve"> formal, que establece la igualdad ante la ley. La segunda, una </w:t>
      </w:r>
      <w:proofErr w:type="spellStart"/>
      <w:r w:rsidRPr="00B12BD9">
        <w:rPr>
          <w:szCs w:val="20"/>
          <w:lang w:val="es-CR"/>
        </w:rPr>
        <w:t>dimensión</w:t>
      </w:r>
      <w:proofErr w:type="spellEnd"/>
      <w:r w:rsidRPr="00B12BD9">
        <w:rPr>
          <w:szCs w:val="20"/>
          <w:lang w:val="es-CR"/>
        </w:rPr>
        <w:t xml:space="preserve"> material o sustancial, que ordena la </w:t>
      </w:r>
      <w:proofErr w:type="spellStart"/>
      <w:r w:rsidRPr="00B12BD9">
        <w:rPr>
          <w:szCs w:val="20"/>
          <w:lang w:val="es-CR"/>
        </w:rPr>
        <w:t>adopción</w:t>
      </w:r>
      <w:proofErr w:type="spellEnd"/>
      <w:r w:rsidRPr="00B12BD9">
        <w:rPr>
          <w:szCs w:val="20"/>
          <w:lang w:val="es-CR"/>
        </w:rPr>
        <w:t xml:space="preserve"> de medidas positivas de </w:t>
      </w:r>
      <w:proofErr w:type="spellStart"/>
      <w:r w:rsidRPr="00B12BD9">
        <w:rPr>
          <w:szCs w:val="20"/>
          <w:lang w:val="es-CR"/>
        </w:rPr>
        <w:t>promoción</w:t>
      </w:r>
      <w:proofErr w:type="spellEnd"/>
      <w:r w:rsidRPr="00B12BD9">
        <w:rPr>
          <w:szCs w:val="20"/>
          <w:lang w:val="es-CR"/>
        </w:rPr>
        <w:t xml:space="preserve"> a favor de grupos </w:t>
      </w:r>
      <w:proofErr w:type="spellStart"/>
      <w:r w:rsidRPr="00B12BD9">
        <w:rPr>
          <w:szCs w:val="20"/>
          <w:lang w:val="es-CR"/>
        </w:rPr>
        <w:t>históricamente</w:t>
      </w:r>
      <w:proofErr w:type="spellEnd"/>
      <w:r w:rsidRPr="00B12BD9">
        <w:rPr>
          <w:szCs w:val="20"/>
          <w:lang w:val="es-CR"/>
        </w:rPr>
        <w:t xml:space="preserve"> discriminados o marginados en </w:t>
      </w:r>
      <w:proofErr w:type="spellStart"/>
      <w:r w:rsidRPr="00B12BD9">
        <w:rPr>
          <w:szCs w:val="20"/>
          <w:lang w:val="es-CR"/>
        </w:rPr>
        <w:t>razón</w:t>
      </w:r>
      <w:proofErr w:type="spellEnd"/>
      <w:r w:rsidRPr="00B12BD9">
        <w:rPr>
          <w:szCs w:val="20"/>
          <w:lang w:val="es-CR"/>
        </w:rPr>
        <w:t xml:space="preserve"> de los factores a los que hace referencia el artículo 1.1 de la Convención Americana. Lo anterior quiere decir que el derecho a la igualdad implica la obligación de adoptar medidas para garantizar que la igualdad sea real y efectiva, esto es, corregir las desigualdades existentes, promover la </w:t>
      </w:r>
      <w:proofErr w:type="spellStart"/>
      <w:r w:rsidRPr="00B12BD9">
        <w:rPr>
          <w:szCs w:val="20"/>
          <w:lang w:val="es-CR"/>
        </w:rPr>
        <w:t>inclusión</w:t>
      </w:r>
      <w:proofErr w:type="spellEnd"/>
      <w:r w:rsidRPr="00B12BD9">
        <w:rPr>
          <w:szCs w:val="20"/>
          <w:lang w:val="es-CR"/>
        </w:rPr>
        <w:t xml:space="preserve"> y la </w:t>
      </w:r>
      <w:proofErr w:type="spellStart"/>
      <w:r w:rsidRPr="00B12BD9">
        <w:rPr>
          <w:szCs w:val="20"/>
          <w:lang w:val="es-CR"/>
        </w:rPr>
        <w:t>participación</w:t>
      </w:r>
      <w:proofErr w:type="spellEnd"/>
      <w:r w:rsidRPr="00B12BD9">
        <w:rPr>
          <w:szCs w:val="20"/>
          <w:lang w:val="es-CR"/>
        </w:rPr>
        <w:t xml:space="preserve"> de los grupos </w:t>
      </w:r>
      <w:proofErr w:type="spellStart"/>
      <w:r w:rsidRPr="00B12BD9">
        <w:rPr>
          <w:szCs w:val="20"/>
          <w:lang w:val="es-CR"/>
        </w:rPr>
        <w:t>históricamente</w:t>
      </w:r>
      <w:proofErr w:type="spellEnd"/>
      <w:r w:rsidRPr="00B12BD9">
        <w:rPr>
          <w:szCs w:val="20"/>
          <w:lang w:val="es-CR"/>
        </w:rPr>
        <w:t xml:space="preserve"> marginados, garantizar a las personas o grupos en desventaja el goce efectivo de sus derechos, en suma, brindar a las personas posibilidades concretas de ver realizada, en sus propios casos, la igualdad material. Para ello, los Estados deben enfrentar activamente situaciones de </w:t>
      </w:r>
      <w:proofErr w:type="spellStart"/>
      <w:r w:rsidRPr="00B12BD9">
        <w:rPr>
          <w:szCs w:val="20"/>
          <w:lang w:val="es-CR"/>
        </w:rPr>
        <w:t>exclusión</w:t>
      </w:r>
      <w:proofErr w:type="spellEnd"/>
      <w:r w:rsidRPr="00B12BD9">
        <w:rPr>
          <w:szCs w:val="20"/>
          <w:lang w:val="es-CR"/>
        </w:rPr>
        <w:t xml:space="preserve"> y</w:t>
      </w:r>
      <w:r>
        <w:rPr>
          <w:szCs w:val="20"/>
          <w:lang w:val="es-CR"/>
        </w:rPr>
        <w:t xml:space="preserve"> </w:t>
      </w:r>
      <w:proofErr w:type="spellStart"/>
      <w:r w:rsidRPr="00B12BD9">
        <w:rPr>
          <w:szCs w:val="20"/>
          <w:lang w:val="es-CR"/>
        </w:rPr>
        <w:t>marginación</w:t>
      </w:r>
      <w:proofErr w:type="spellEnd"/>
      <w:r w:rsidRPr="00B12BD9">
        <w:rPr>
          <w:szCs w:val="20"/>
          <w:lang w:val="es-CR"/>
        </w:rPr>
        <w:t>.</w:t>
      </w:r>
    </w:p>
    <w:p w14:paraId="4774058D" w14:textId="77777777" w:rsidR="007269CF" w:rsidRPr="00B12BD9" w:rsidRDefault="007269CF" w:rsidP="00B12BD9">
      <w:pPr>
        <w:rPr>
          <w:szCs w:val="20"/>
          <w:lang w:val="es-CR"/>
        </w:rPr>
      </w:pPr>
      <w:r w:rsidRPr="00B12BD9">
        <w:rPr>
          <w:szCs w:val="20"/>
          <w:lang w:val="es-CR"/>
        </w:rPr>
        <w:t xml:space="preserve">200. En el caso concreto, este Tribunal ha determinado que las empleadas de la </w:t>
      </w:r>
      <w:proofErr w:type="spellStart"/>
      <w:r w:rsidRPr="00B12BD9">
        <w:rPr>
          <w:szCs w:val="20"/>
          <w:lang w:val="es-CR"/>
        </w:rPr>
        <w:t>fábrica</w:t>
      </w:r>
      <w:proofErr w:type="spellEnd"/>
      <w:r w:rsidRPr="00B12BD9">
        <w:rPr>
          <w:szCs w:val="20"/>
          <w:lang w:val="es-CR"/>
        </w:rPr>
        <w:t xml:space="preserve"> de fuegos </w:t>
      </w:r>
      <w:proofErr w:type="spellStart"/>
      <w:r w:rsidRPr="00B12BD9">
        <w:rPr>
          <w:szCs w:val="20"/>
          <w:lang w:val="es-CR"/>
        </w:rPr>
        <w:t>hacían</w:t>
      </w:r>
      <w:proofErr w:type="spellEnd"/>
      <w:r w:rsidRPr="00B12BD9">
        <w:rPr>
          <w:szCs w:val="20"/>
          <w:lang w:val="es-CR"/>
        </w:rPr>
        <w:t xml:space="preserve"> parte de un grupo discriminado o marginado porque se encontraban en una situación de pobreza estructural y eran, en una </w:t>
      </w:r>
      <w:proofErr w:type="spellStart"/>
      <w:r w:rsidRPr="00B12BD9">
        <w:rPr>
          <w:szCs w:val="20"/>
          <w:lang w:val="es-CR"/>
        </w:rPr>
        <w:t>amplísima</w:t>
      </w:r>
      <w:proofErr w:type="spellEnd"/>
      <w:r w:rsidRPr="00B12BD9">
        <w:rPr>
          <w:szCs w:val="20"/>
          <w:lang w:val="es-CR"/>
        </w:rPr>
        <w:t xml:space="preserve"> </w:t>
      </w:r>
      <w:proofErr w:type="spellStart"/>
      <w:r w:rsidRPr="00B12BD9">
        <w:rPr>
          <w:szCs w:val="20"/>
          <w:lang w:val="es-CR"/>
        </w:rPr>
        <w:t>mayoría</w:t>
      </w:r>
      <w:proofErr w:type="spellEnd"/>
      <w:r w:rsidRPr="00B12BD9">
        <w:rPr>
          <w:szCs w:val="20"/>
          <w:lang w:val="es-CR"/>
        </w:rPr>
        <w:t xml:space="preserve">, mujeres y </w:t>
      </w:r>
      <w:proofErr w:type="spellStart"/>
      <w:r w:rsidRPr="00B12BD9">
        <w:rPr>
          <w:szCs w:val="20"/>
          <w:lang w:val="es-CR"/>
        </w:rPr>
        <w:t>niñas</w:t>
      </w:r>
      <w:proofErr w:type="spellEnd"/>
      <w:r w:rsidRPr="00B12BD9">
        <w:rPr>
          <w:szCs w:val="20"/>
          <w:lang w:val="es-CR"/>
        </w:rPr>
        <w:t xml:space="preserve"> afrodescendientes. Sin embargo, el Estado no adoptó ninguna medida que pueda ser valorada por la Corte como una forma de enfrentar o de buscar revertir la situación de pobreza y </w:t>
      </w:r>
      <w:proofErr w:type="spellStart"/>
      <w:r w:rsidRPr="00B12BD9">
        <w:rPr>
          <w:szCs w:val="20"/>
          <w:lang w:val="es-CR"/>
        </w:rPr>
        <w:t>marginación</w:t>
      </w:r>
      <w:proofErr w:type="spellEnd"/>
      <w:r w:rsidRPr="00B12BD9">
        <w:rPr>
          <w:szCs w:val="20"/>
          <w:lang w:val="es-CR"/>
        </w:rPr>
        <w:t xml:space="preserve"> estructural de las trabajadoras de la </w:t>
      </w:r>
      <w:proofErr w:type="spellStart"/>
      <w:r w:rsidRPr="00B12BD9">
        <w:rPr>
          <w:szCs w:val="20"/>
          <w:lang w:val="es-CR"/>
        </w:rPr>
        <w:t>fábrica</w:t>
      </w:r>
      <w:proofErr w:type="spellEnd"/>
      <w:r w:rsidRPr="00B12BD9">
        <w:rPr>
          <w:szCs w:val="20"/>
          <w:lang w:val="es-CR"/>
        </w:rPr>
        <w:t xml:space="preserve"> de fuegos, con atención a los factores de discriminación que </w:t>
      </w:r>
      <w:proofErr w:type="spellStart"/>
      <w:r w:rsidRPr="00B12BD9">
        <w:rPr>
          <w:szCs w:val="20"/>
          <w:lang w:val="es-CR"/>
        </w:rPr>
        <w:t>confluían</w:t>
      </w:r>
      <w:proofErr w:type="spellEnd"/>
      <w:r w:rsidRPr="00B12BD9">
        <w:rPr>
          <w:szCs w:val="20"/>
          <w:lang w:val="es-CR"/>
        </w:rPr>
        <w:t xml:space="preserve"> en el caso concreto.</w:t>
      </w:r>
    </w:p>
    <w:p w14:paraId="4905DB7F" w14:textId="77777777" w:rsidR="007269CF" w:rsidRPr="00B12BD9" w:rsidRDefault="007269CF" w:rsidP="00B12BD9">
      <w:pPr>
        <w:rPr>
          <w:szCs w:val="20"/>
          <w:lang w:val="es-CR"/>
        </w:rPr>
      </w:pPr>
      <w:r w:rsidRPr="00B12BD9">
        <w:rPr>
          <w:szCs w:val="20"/>
          <w:lang w:val="es-CR"/>
        </w:rPr>
        <w:t xml:space="preserve">201. </w:t>
      </w:r>
      <w:proofErr w:type="spellStart"/>
      <w:r w:rsidRPr="00B12BD9">
        <w:rPr>
          <w:szCs w:val="20"/>
          <w:lang w:val="es-CR"/>
        </w:rPr>
        <w:t>Además</w:t>
      </w:r>
      <w:proofErr w:type="spellEnd"/>
      <w:r w:rsidRPr="00B12BD9">
        <w:rPr>
          <w:szCs w:val="20"/>
          <w:lang w:val="es-CR"/>
        </w:rPr>
        <w:t xml:space="preserve">, en este caso la Corte encuentra que el Estado </w:t>
      </w:r>
      <w:proofErr w:type="spellStart"/>
      <w:r w:rsidRPr="00B12BD9">
        <w:rPr>
          <w:szCs w:val="20"/>
          <w:lang w:val="es-CR"/>
        </w:rPr>
        <w:t>tenía</w:t>
      </w:r>
      <w:proofErr w:type="spellEnd"/>
      <w:r w:rsidRPr="00B12BD9">
        <w:rPr>
          <w:szCs w:val="20"/>
          <w:lang w:val="es-CR"/>
        </w:rPr>
        <w:t xml:space="preserve"> conocimiento de la situación de especial vulnerabilidad de las presuntas </w:t>
      </w:r>
      <w:proofErr w:type="spellStart"/>
      <w:r w:rsidRPr="00B12BD9">
        <w:rPr>
          <w:szCs w:val="20"/>
          <w:lang w:val="es-CR"/>
        </w:rPr>
        <w:t>víctimas</w:t>
      </w:r>
      <w:proofErr w:type="spellEnd"/>
      <w:r w:rsidRPr="00B12BD9">
        <w:rPr>
          <w:szCs w:val="20"/>
          <w:lang w:val="es-CR"/>
        </w:rPr>
        <w:t xml:space="preserve">, pues </w:t>
      </w:r>
      <w:proofErr w:type="spellStart"/>
      <w:r w:rsidRPr="00B12BD9">
        <w:rPr>
          <w:szCs w:val="20"/>
          <w:lang w:val="es-CR"/>
        </w:rPr>
        <w:t>según</w:t>
      </w:r>
      <w:proofErr w:type="spellEnd"/>
      <w:r w:rsidRPr="00B12BD9">
        <w:rPr>
          <w:szCs w:val="20"/>
          <w:lang w:val="es-CR"/>
        </w:rPr>
        <w:t xml:space="preserve"> los datos divulgados por </w:t>
      </w:r>
      <w:proofErr w:type="spellStart"/>
      <w:r w:rsidRPr="00B12BD9">
        <w:rPr>
          <w:szCs w:val="20"/>
          <w:lang w:val="es-CR"/>
        </w:rPr>
        <w:t>órganos</w:t>
      </w:r>
      <w:proofErr w:type="spellEnd"/>
      <w:r w:rsidRPr="00B12BD9">
        <w:rPr>
          <w:szCs w:val="20"/>
          <w:lang w:val="es-CR"/>
        </w:rPr>
        <w:t xml:space="preserve"> del mismo Estado, una cifra significativa de la </w:t>
      </w:r>
      <w:proofErr w:type="spellStart"/>
      <w:r w:rsidRPr="00B12BD9">
        <w:rPr>
          <w:szCs w:val="20"/>
          <w:lang w:val="es-CR"/>
        </w:rPr>
        <w:t>población</w:t>
      </w:r>
      <w:proofErr w:type="spellEnd"/>
      <w:r w:rsidRPr="00B12BD9">
        <w:rPr>
          <w:szCs w:val="20"/>
          <w:lang w:val="es-CR"/>
        </w:rPr>
        <w:t xml:space="preserve"> del </w:t>
      </w:r>
      <w:r w:rsidRPr="00B12BD9">
        <w:rPr>
          <w:szCs w:val="20"/>
          <w:lang w:val="es-CR"/>
        </w:rPr>
        <w:lastRenderedPageBreak/>
        <w:t xml:space="preserve">municipio de Santo </w:t>
      </w:r>
      <w:proofErr w:type="spellStart"/>
      <w:r w:rsidRPr="00B12BD9">
        <w:rPr>
          <w:szCs w:val="20"/>
          <w:lang w:val="es-CR"/>
        </w:rPr>
        <w:t>Anto</w:t>
      </w:r>
      <w:r w:rsidRPr="00B12BD9">
        <w:rPr>
          <w:rFonts w:ascii="Arial" w:hAnsi="Arial" w:cs="Arial"/>
          <w:szCs w:val="20"/>
          <w:lang w:val="es-CR"/>
        </w:rPr>
        <w:t>̂</w:t>
      </w:r>
      <w:r w:rsidRPr="00B12BD9">
        <w:rPr>
          <w:szCs w:val="20"/>
          <w:lang w:val="es-CR"/>
        </w:rPr>
        <w:t>nio</w:t>
      </w:r>
      <w:proofErr w:type="spellEnd"/>
      <w:r w:rsidRPr="00B12BD9">
        <w:rPr>
          <w:szCs w:val="20"/>
          <w:lang w:val="es-CR"/>
        </w:rPr>
        <w:t xml:space="preserve"> de </w:t>
      </w:r>
      <w:proofErr w:type="spellStart"/>
      <w:r w:rsidRPr="00B12BD9">
        <w:rPr>
          <w:szCs w:val="20"/>
          <w:lang w:val="es-CR"/>
        </w:rPr>
        <w:t>Jesus</w:t>
      </w:r>
      <w:proofErr w:type="spellEnd"/>
      <w:r w:rsidRPr="00B12BD9">
        <w:rPr>
          <w:szCs w:val="20"/>
          <w:lang w:val="es-CR"/>
        </w:rPr>
        <w:t xml:space="preserve">, para la fecha de los hechos, </w:t>
      </w:r>
      <w:proofErr w:type="spellStart"/>
      <w:r w:rsidRPr="00B12BD9">
        <w:rPr>
          <w:szCs w:val="20"/>
          <w:lang w:val="es-CR"/>
        </w:rPr>
        <w:t>vivía</w:t>
      </w:r>
      <w:proofErr w:type="spellEnd"/>
      <w:r w:rsidRPr="00B12BD9">
        <w:rPr>
          <w:szCs w:val="20"/>
          <w:lang w:val="es-CR"/>
        </w:rPr>
        <w:t xml:space="preserve"> en situación de pobreza. También, de acuerdo con bases de datos estatales, era de conocimiento del Estado que las mujeres afrodescendientes se encontraban en particular situación de vulnerabilidad toda vez que, entre otros factores, </w:t>
      </w:r>
      <w:proofErr w:type="spellStart"/>
      <w:r w:rsidRPr="00B12BD9">
        <w:rPr>
          <w:szCs w:val="20"/>
          <w:lang w:val="es-CR"/>
        </w:rPr>
        <w:t>tenían</w:t>
      </w:r>
      <w:proofErr w:type="spellEnd"/>
      <w:r w:rsidRPr="00B12BD9">
        <w:rPr>
          <w:szCs w:val="20"/>
          <w:lang w:val="es-CR"/>
        </w:rPr>
        <w:t xml:space="preserve"> menor acceso a trabajos formales. En este sentido, al permitir la </w:t>
      </w:r>
      <w:proofErr w:type="spellStart"/>
      <w:r w:rsidRPr="00B12BD9">
        <w:rPr>
          <w:szCs w:val="20"/>
          <w:lang w:val="es-CR"/>
        </w:rPr>
        <w:t>instalación</w:t>
      </w:r>
      <w:proofErr w:type="spellEnd"/>
      <w:r w:rsidRPr="00B12BD9">
        <w:rPr>
          <w:szCs w:val="20"/>
          <w:lang w:val="es-CR"/>
        </w:rPr>
        <w:t xml:space="preserve"> y funcionamiento de la </w:t>
      </w:r>
      <w:proofErr w:type="spellStart"/>
      <w:r w:rsidRPr="00B12BD9">
        <w:rPr>
          <w:szCs w:val="20"/>
          <w:lang w:val="es-CR"/>
        </w:rPr>
        <w:t>fábrica</w:t>
      </w:r>
      <w:proofErr w:type="spellEnd"/>
      <w:r w:rsidRPr="00B12BD9">
        <w:rPr>
          <w:szCs w:val="20"/>
          <w:lang w:val="es-CR"/>
        </w:rPr>
        <w:t xml:space="preserve"> de fuegos en una zona en la que una parte sustancial de la </w:t>
      </w:r>
      <w:proofErr w:type="spellStart"/>
      <w:r w:rsidRPr="00B12BD9">
        <w:rPr>
          <w:szCs w:val="20"/>
          <w:lang w:val="es-CR"/>
        </w:rPr>
        <w:t>población</w:t>
      </w:r>
      <w:proofErr w:type="spellEnd"/>
      <w:r w:rsidRPr="00B12BD9">
        <w:rPr>
          <w:szCs w:val="20"/>
          <w:lang w:val="es-CR"/>
        </w:rPr>
        <w:t xml:space="preserve"> es vulnerable, el Estado </w:t>
      </w:r>
      <w:proofErr w:type="spellStart"/>
      <w:r w:rsidRPr="00B12BD9">
        <w:rPr>
          <w:szCs w:val="20"/>
          <w:lang w:val="es-CR"/>
        </w:rPr>
        <w:t>tenía</w:t>
      </w:r>
      <w:proofErr w:type="spellEnd"/>
      <w:r w:rsidRPr="00B12BD9">
        <w:rPr>
          <w:szCs w:val="20"/>
          <w:lang w:val="es-CR"/>
        </w:rPr>
        <w:t xml:space="preserve"> una obligación reforzada de fiscalizar las condiciones de funcionamiento de las instalaciones y de garantizar que efectivamente se adoptaran medidas para la protección de la vida y la salud de las trabajadoras y para garantizar su derecho a la igualdad material. Por ello, al no haber fiscalizado las condiciones de higiene, salud y seguridad del trabajo en la </w:t>
      </w:r>
      <w:proofErr w:type="spellStart"/>
      <w:r w:rsidRPr="00B12BD9">
        <w:rPr>
          <w:szCs w:val="20"/>
          <w:lang w:val="es-CR"/>
        </w:rPr>
        <w:t>fábrica</w:t>
      </w:r>
      <w:proofErr w:type="spellEnd"/>
      <w:r w:rsidRPr="00B12BD9">
        <w:rPr>
          <w:szCs w:val="20"/>
          <w:lang w:val="es-CR"/>
        </w:rPr>
        <w:t xml:space="preserve">, ni la actividad de </w:t>
      </w:r>
      <w:proofErr w:type="spellStart"/>
      <w:r w:rsidRPr="00B12BD9">
        <w:rPr>
          <w:szCs w:val="20"/>
          <w:lang w:val="es-CR"/>
        </w:rPr>
        <w:t>fabricación</w:t>
      </w:r>
      <w:proofErr w:type="spellEnd"/>
      <w:r w:rsidRPr="00B12BD9">
        <w:rPr>
          <w:szCs w:val="20"/>
          <w:lang w:val="es-CR"/>
        </w:rPr>
        <w:t xml:space="preserve"> de fuegos artificiales para, especialmente, evitar accidentes de trabajo, el Estado de Brasil no solo dejó de garantizar el derecho a condiciones equitativas y satisfactorias de trabajo de las presuntas </w:t>
      </w:r>
      <w:proofErr w:type="spellStart"/>
      <w:r w:rsidRPr="00B12BD9">
        <w:rPr>
          <w:szCs w:val="20"/>
          <w:lang w:val="es-CR"/>
        </w:rPr>
        <w:t>víctimas</w:t>
      </w:r>
      <w:proofErr w:type="spellEnd"/>
      <w:r w:rsidRPr="00B12BD9">
        <w:rPr>
          <w:szCs w:val="20"/>
          <w:lang w:val="es-CR"/>
        </w:rPr>
        <w:t>, sino también contribuyó a agravar las condiciones de discriminación estructural en que se encontraban.</w:t>
      </w:r>
    </w:p>
    <w:p w14:paraId="00C278D9" w14:textId="77777777" w:rsidR="007269CF" w:rsidRPr="00B12BD9" w:rsidRDefault="007269CF" w:rsidP="00B12BD9">
      <w:pPr>
        <w:rPr>
          <w:szCs w:val="20"/>
          <w:lang w:val="es-CR"/>
        </w:rPr>
      </w:pPr>
      <w:r w:rsidRPr="00B12BD9">
        <w:rPr>
          <w:szCs w:val="20"/>
          <w:lang w:val="es-CR"/>
        </w:rPr>
        <w:t xml:space="preserve">202. El Estado, al referirse a las alegadas violaciones al artículo 24 de la Convención, indicó que dispone de una estructura legal efectiva para la </w:t>
      </w:r>
      <w:proofErr w:type="spellStart"/>
      <w:r w:rsidRPr="00B12BD9">
        <w:rPr>
          <w:szCs w:val="20"/>
          <w:lang w:val="es-CR"/>
        </w:rPr>
        <w:t>reducción</w:t>
      </w:r>
      <w:proofErr w:type="spellEnd"/>
      <w:r w:rsidRPr="00B12BD9">
        <w:rPr>
          <w:szCs w:val="20"/>
          <w:lang w:val="es-CR"/>
        </w:rPr>
        <w:t xml:space="preserve"> de las desigualdades y que ha adelantado diversas </w:t>
      </w:r>
      <w:proofErr w:type="spellStart"/>
      <w:r w:rsidRPr="00B12BD9">
        <w:rPr>
          <w:szCs w:val="20"/>
          <w:lang w:val="es-CR"/>
        </w:rPr>
        <w:t>políticas</w:t>
      </w:r>
      <w:proofErr w:type="spellEnd"/>
      <w:r w:rsidRPr="00B12BD9">
        <w:rPr>
          <w:szCs w:val="20"/>
          <w:lang w:val="es-CR"/>
        </w:rPr>
        <w:t xml:space="preserve"> </w:t>
      </w:r>
      <w:proofErr w:type="spellStart"/>
      <w:r w:rsidRPr="00B12BD9">
        <w:rPr>
          <w:szCs w:val="20"/>
          <w:lang w:val="es-CR"/>
        </w:rPr>
        <w:t>públicas</w:t>
      </w:r>
      <w:proofErr w:type="spellEnd"/>
      <w:r w:rsidRPr="00B12BD9">
        <w:rPr>
          <w:szCs w:val="20"/>
          <w:lang w:val="es-CR"/>
        </w:rPr>
        <w:t xml:space="preserve"> con ese mismo objetivo en el municipio de Santo </w:t>
      </w:r>
      <w:proofErr w:type="spellStart"/>
      <w:r w:rsidRPr="00B12BD9">
        <w:rPr>
          <w:szCs w:val="20"/>
          <w:lang w:val="es-CR"/>
        </w:rPr>
        <w:t>Anto</w:t>
      </w:r>
      <w:r w:rsidRPr="00B12BD9">
        <w:rPr>
          <w:rFonts w:ascii="Arial" w:hAnsi="Arial" w:cs="Arial"/>
          <w:szCs w:val="20"/>
          <w:lang w:val="es-CR"/>
        </w:rPr>
        <w:t>̂</w:t>
      </w:r>
      <w:r w:rsidRPr="00B12BD9">
        <w:rPr>
          <w:szCs w:val="20"/>
          <w:lang w:val="es-CR"/>
        </w:rPr>
        <w:t>nio</w:t>
      </w:r>
      <w:proofErr w:type="spellEnd"/>
      <w:r w:rsidRPr="00B12BD9">
        <w:rPr>
          <w:szCs w:val="20"/>
          <w:lang w:val="es-CR"/>
        </w:rPr>
        <w:t xml:space="preserve"> de </w:t>
      </w:r>
      <w:proofErr w:type="spellStart"/>
      <w:r w:rsidRPr="00B12BD9">
        <w:rPr>
          <w:szCs w:val="20"/>
          <w:lang w:val="es-CR"/>
        </w:rPr>
        <w:t>Jesus</w:t>
      </w:r>
      <w:proofErr w:type="spellEnd"/>
      <w:r w:rsidRPr="00B12BD9">
        <w:rPr>
          <w:szCs w:val="20"/>
          <w:lang w:val="es-CR"/>
        </w:rPr>
        <w:t xml:space="preserve">. Sin embargo, la Corte encuentra que el Estado no probó que la situación de discriminación estructural padecida por las mujeres que se dedican a la </w:t>
      </w:r>
      <w:proofErr w:type="spellStart"/>
      <w:r w:rsidRPr="00B12BD9">
        <w:rPr>
          <w:szCs w:val="20"/>
          <w:lang w:val="es-CR"/>
        </w:rPr>
        <w:t>fabricación</w:t>
      </w:r>
      <w:proofErr w:type="spellEnd"/>
      <w:r w:rsidRPr="00B12BD9">
        <w:rPr>
          <w:szCs w:val="20"/>
          <w:lang w:val="es-CR"/>
        </w:rPr>
        <w:t xml:space="preserve"> de fuegos artificiales haya cambiado.</w:t>
      </w:r>
    </w:p>
    <w:p w14:paraId="503181AD" w14:textId="56BDB299" w:rsidR="007269CF" w:rsidRDefault="007269CF" w:rsidP="00B12BD9">
      <w:pPr>
        <w:rPr>
          <w:szCs w:val="20"/>
          <w:lang w:val="es-CR"/>
        </w:rPr>
      </w:pPr>
      <w:r w:rsidRPr="00B12BD9">
        <w:rPr>
          <w:szCs w:val="20"/>
          <w:lang w:val="es-CR"/>
        </w:rPr>
        <w:t xml:space="preserve">203. En suma, la Corte encuentra que la situación de pobreza de las presuntas </w:t>
      </w:r>
      <w:proofErr w:type="spellStart"/>
      <w:r w:rsidRPr="00B12BD9">
        <w:rPr>
          <w:szCs w:val="20"/>
          <w:lang w:val="es-CR"/>
        </w:rPr>
        <w:t>víctimas</w:t>
      </w:r>
      <w:proofErr w:type="spellEnd"/>
      <w:r w:rsidRPr="00B12BD9">
        <w:rPr>
          <w:szCs w:val="20"/>
          <w:lang w:val="es-CR"/>
        </w:rPr>
        <w:t xml:space="preserve">, aunada a los factores </w:t>
      </w:r>
      <w:proofErr w:type="spellStart"/>
      <w:r w:rsidRPr="00B12BD9">
        <w:rPr>
          <w:szCs w:val="20"/>
          <w:lang w:val="es-CR"/>
        </w:rPr>
        <w:t>interseccionales</w:t>
      </w:r>
      <w:proofErr w:type="spellEnd"/>
      <w:r w:rsidRPr="00B12BD9">
        <w:rPr>
          <w:szCs w:val="20"/>
          <w:lang w:val="es-CR"/>
        </w:rPr>
        <w:t xml:space="preserve"> de discriminación ya mencionados, que agravaban la condición de vulnerabilidad, (i) facilitó la </w:t>
      </w:r>
      <w:proofErr w:type="spellStart"/>
      <w:r w:rsidRPr="00B12BD9">
        <w:rPr>
          <w:szCs w:val="20"/>
          <w:lang w:val="es-CR"/>
        </w:rPr>
        <w:t>instalación</w:t>
      </w:r>
      <w:proofErr w:type="spellEnd"/>
      <w:r w:rsidRPr="00B12BD9">
        <w:rPr>
          <w:szCs w:val="20"/>
          <w:lang w:val="es-CR"/>
        </w:rPr>
        <w:t xml:space="preserve"> y funcionamiento de una </w:t>
      </w:r>
      <w:proofErr w:type="spellStart"/>
      <w:r w:rsidRPr="00B12BD9">
        <w:rPr>
          <w:szCs w:val="20"/>
          <w:lang w:val="es-CR"/>
        </w:rPr>
        <w:t>fábrica</w:t>
      </w:r>
      <w:proofErr w:type="spellEnd"/>
      <w:r w:rsidRPr="00B12BD9">
        <w:rPr>
          <w:szCs w:val="20"/>
          <w:lang w:val="es-CR"/>
        </w:rPr>
        <w:t xml:space="preserve"> dedicada a una actividad especialmente peligrosa, sin </w:t>
      </w:r>
      <w:proofErr w:type="spellStart"/>
      <w:r w:rsidRPr="00B12BD9">
        <w:rPr>
          <w:szCs w:val="20"/>
          <w:lang w:val="es-CR"/>
        </w:rPr>
        <w:t>fiscalización</w:t>
      </w:r>
      <w:proofErr w:type="spellEnd"/>
      <w:r w:rsidRPr="00B12BD9">
        <w:rPr>
          <w:szCs w:val="20"/>
          <w:lang w:val="es-CR"/>
        </w:rPr>
        <w:t xml:space="preserve"> ni de la actividad peligrosa, ni de las condiciones de higiene y seguridad en el trabajo por parte del Estado; y (ii) llevó a las presuntas </w:t>
      </w:r>
      <w:proofErr w:type="spellStart"/>
      <w:r w:rsidRPr="00B12BD9">
        <w:rPr>
          <w:szCs w:val="20"/>
          <w:lang w:val="es-CR"/>
        </w:rPr>
        <w:t>víctimas</w:t>
      </w:r>
      <w:proofErr w:type="spellEnd"/>
      <w:r w:rsidRPr="00B12BD9">
        <w:rPr>
          <w:szCs w:val="20"/>
          <w:lang w:val="es-CR"/>
        </w:rPr>
        <w:t xml:space="preserve"> a aceptar un trabajo que </w:t>
      </w:r>
      <w:proofErr w:type="spellStart"/>
      <w:r w:rsidRPr="00B12BD9">
        <w:rPr>
          <w:szCs w:val="20"/>
          <w:lang w:val="es-CR"/>
        </w:rPr>
        <w:t>ponía</w:t>
      </w:r>
      <w:proofErr w:type="spellEnd"/>
      <w:r w:rsidRPr="00B12BD9">
        <w:rPr>
          <w:szCs w:val="20"/>
          <w:lang w:val="es-CR"/>
        </w:rPr>
        <w:t xml:space="preserve"> en riesgo su vida e integridad y la de sus hijas e hijos menores de edad. </w:t>
      </w:r>
      <w:proofErr w:type="spellStart"/>
      <w:r w:rsidRPr="00B12BD9">
        <w:rPr>
          <w:szCs w:val="20"/>
          <w:lang w:val="es-CR"/>
        </w:rPr>
        <w:t>Además</w:t>
      </w:r>
      <w:proofErr w:type="spellEnd"/>
      <w:r w:rsidRPr="00B12BD9">
        <w:rPr>
          <w:szCs w:val="20"/>
          <w:lang w:val="es-CR"/>
        </w:rPr>
        <w:t xml:space="preserve">, (iii) el Estado no adoptó medidas dirigidas a garantizar la igualdad material en el derecho al trabajo respecto de un grupo de mujeres en situación de </w:t>
      </w:r>
      <w:proofErr w:type="spellStart"/>
      <w:r w:rsidRPr="00B12BD9">
        <w:rPr>
          <w:szCs w:val="20"/>
          <w:lang w:val="es-CR"/>
        </w:rPr>
        <w:t>marginación</w:t>
      </w:r>
      <w:proofErr w:type="spellEnd"/>
      <w:r w:rsidRPr="00B12BD9">
        <w:rPr>
          <w:szCs w:val="20"/>
          <w:lang w:val="es-CR"/>
        </w:rPr>
        <w:t xml:space="preserve"> y discriminación. Esta situación implica que, en el presente caso, no se garantizó el derecho a condiciones de trabajo equitativas y satisfactorias sin discriminación, </w:t>
      </w:r>
      <w:proofErr w:type="spellStart"/>
      <w:r w:rsidRPr="00B12BD9">
        <w:rPr>
          <w:szCs w:val="20"/>
          <w:lang w:val="es-CR"/>
        </w:rPr>
        <w:t>asi</w:t>
      </w:r>
      <w:proofErr w:type="spellEnd"/>
      <w:r w:rsidRPr="00B12BD9">
        <w:rPr>
          <w:szCs w:val="20"/>
          <w:lang w:val="es-CR"/>
        </w:rPr>
        <w:t xml:space="preserve">́ como el derecho a la igualdad previstos en los </w:t>
      </w:r>
      <w:proofErr w:type="spellStart"/>
      <w:r w:rsidRPr="00B12BD9">
        <w:rPr>
          <w:szCs w:val="20"/>
          <w:lang w:val="es-CR"/>
        </w:rPr>
        <w:t>artículos</w:t>
      </w:r>
      <w:proofErr w:type="spellEnd"/>
      <w:r w:rsidRPr="00B12BD9">
        <w:rPr>
          <w:szCs w:val="20"/>
          <w:lang w:val="es-CR"/>
        </w:rPr>
        <w:t xml:space="preserve"> 24 y 26, en </w:t>
      </w:r>
      <w:proofErr w:type="spellStart"/>
      <w:r w:rsidRPr="00B12BD9">
        <w:rPr>
          <w:szCs w:val="20"/>
          <w:lang w:val="es-CR"/>
        </w:rPr>
        <w:t>relación</w:t>
      </w:r>
      <w:proofErr w:type="spellEnd"/>
      <w:r w:rsidRPr="00B12BD9">
        <w:rPr>
          <w:szCs w:val="20"/>
          <w:lang w:val="es-CR"/>
        </w:rPr>
        <w:t xml:space="preserve"> con el artículo 1.1 de la Convención.</w:t>
      </w:r>
    </w:p>
    <w:p w14:paraId="46796A9A" w14:textId="7E9119CD" w:rsidR="007269CF" w:rsidRDefault="007269CF" w:rsidP="00945B61">
      <w:pPr>
        <w:pStyle w:val="Caso"/>
        <w:rPr>
          <w:lang w:val="es-CR"/>
        </w:rPr>
      </w:pPr>
      <w:r w:rsidRPr="00A62CD3">
        <w:rPr>
          <w:lang w:val="es-CR"/>
        </w:rPr>
        <w:t>Corte IDH. Caso Vicky Hernández y otras Vs. Honduras. Fondo, Reparaciones y Costas. Sentencia de 26 de marzo de 2021. Serie C No. 422</w:t>
      </w:r>
      <w:r>
        <w:rPr>
          <w:rStyle w:val="Refdenotaalpie"/>
          <w:lang w:val="es-CR"/>
        </w:rPr>
        <w:footnoteReference w:id="19"/>
      </w:r>
    </w:p>
    <w:p w14:paraId="361AE17E" w14:textId="2A066481" w:rsidR="007269CF" w:rsidRPr="00A62CD3" w:rsidRDefault="007269CF" w:rsidP="00A62CD3">
      <w:pPr>
        <w:rPr>
          <w:szCs w:val="20"/>
          <w:lang w:val="es-CR"/>
        </w:rPr>
      </w:pPr>
      <w:r w:rsidRPr="00A62CD3">
        <w:rPr>
          <w:szCs w:val="20"/>
          <w:lang w:val="es-CR"/>
        </w:rPr>
        <w:t xml:space="preserve">64. La Corte ha </w:t>
      </w:r>
      <w:proofErr w:type="spellStart"/>
      <w:r w:rsidRPr="00A62CD3">
        <w:rPr>
          <w:szCs w:val="20"/>
          <w:lang w:val="es-CR"/>
        </w:rPr>
        <w:t>señalado</w:t>
      </w:r>
      <w:proofErr w:type="spellEnd"/>
      <w:r w:rsidRPr="00A62CD3">
        <w:rPr>
          <w:szCs w:val="20"/>
          <w:lang w:val="es-CR"/>
        </w:rPr>
        <w:t xml:space="preserve"> que los Estados deben abstenerse de realizar acciones que de cualquier manera vayan dirigidas, directa o indirectamente, a crear situaciones de </w:t>
      </w:r>
      <w:r w:rsidRPr="00A62CD3">
        <w:rPr>
          <w:szCs w:val="20"/>
          <w:lang w:val="es-CR"/>
        </w:rPr>
        <w:lastRenderedPageBreak/>
        <w:t xml:space="preserve">discriminación de jure o de facto. En este sentido, ha establecido que el artículo 1.1 de la Convención es una norma de </w:t>
      </w:r>
      <w:proofErr w:type="spellStart"/>
      <w:r w:rsidRPr="00A62CD3">
        <w:rPr>
          <w:szCs w:val="20"/>
          <w:lang w:val="es-CR"/>
        </w:rPr>
        <w:t>carácter</w:t>
      </w:r>
      <w:proofErr w:type="spellEnd"/>
      <w:r w:rsidRPr="00A62CD3">
        <w:rPr>
          <w:szCs w:val="20"/>
          <w:lang w:val="es-CR"/>
        </w:rPr>
        <w:t xml:space="preserve"> general cuyo contenido se extiende a todas las disposiciones del tratado, y dispone la obligación de los Estados Parte de respetar y garantizar el pleno y libre ejercicio de los derechos y libertades </w:t>
      </w:r>
      <w:proofErr w:type="spellStart"/>
      <w:r w:rsidRPr="00A62CD3">
        <w:rPr>
          <w:szCs w:val="20"/>
          <w:lang w:val="es-CR"/>
        </w:rPr>
        <w:t>alli</w:t>
      </w:r>
      <w:proofErr w:type="spellEnd"/>
      <w:r w:rsidRPr="00A62CD3">
        <w:rPr>
          <w:szCs w:val="20"/>
          <w:lang w:val="es-CR"/>
        </w:rPr>
        <w:t xml:space="preserve">́ reconocidos “sin discriminación alguna”. Es decir, cualquiera sea el origen o la forma que asuma, todo tratamiento que pueda ser considerado discriminatorio respecto del ejercicio de cualquiera de los derechos garantizados en la Convención es, per se, incompatible con la misma. El incumplimiento por el Estado de la obligación general de respetar y garantizar los derechos humanos, mediante cualquier trato diferente que pueda resultar discriminatorio, es decir, que no persiga finalidades </w:t>
      </w:r>
      <w:proofErr w:type="spellStart"/>
      <w:r w:rsidRPr="00A62CD3">
        <w:rPr>
          <w:szCs w:val="20"/>
          <w:lang w:val="es-CR"/>
        </w:rPr>
        <w:t>legítimas</w:t>
      </w:r>
      <w:proofErr w:type="spellEnd"/>
      <w:r w:rsidRPr="00A62CD3">
        <w:rPr>
          <w:szCs w:val="20"/>
          <w:lang w:val="es-CR"/>
        </w:rPr>
        <w:t xml:space="preserve">, sea innecesario y/o desproporcionado, le genera responsabilidad internacional. Es por ello que existe un </w:t>
      </w:r>
      <w:proofErr w:type="spellStart"/>
      <w:r w:rsidRPr="00A62CD3">
        <w:rPr>
          <w:szCs w:val="20"/>
          <w:lang w:val="es-CR"/>
        </w:rPr>
        <w:t>vínculo</w:t>
      </w:r>
      <w:proofErr w:type="spellEnd"/>
      <w:r w:rsidRPr="00A62CD3">
        <w:rPr>
          <w:szCs w:val="20"/>
          <w:lang w:val="es-CR"/>
        </w:rPr>
        <w:t xml:space="preserve"> indisoluble entre la obligación</w:t>
      </w:r>
      <w:r>
        <w:rPr>
          <w:szCs w:val="20"/>
          <w:lang w:val="es-CR"/>
        </w:rPr>
        <w:t xml:space="preserve"> </w:t>
      </w:r>
      <w:r w:rsidRPr="00A62CD3">
        <w:rPr>
          <w:szCs w:val="20"/>
          <w:lang w:val="es-CR"/>
        </w:rPr>
        <w:t>de respetar y garantizar los derechos humanos y el principio de igualdad y no discriminación.</w:t>
      </w:r>
    </w:p>
    <w:p w14:paraId="40497C49" w14:textId="7C3B7C36" w:rsidR="007269CF" w:rsidRPr="00A62CD3" w:rsidRDefault="007269CF" w:rsidP="00A62CD3">
      <w:pPr>
        <w:rPr>
          <w:szCs w:val="20"/>
          <w:lang w:val="es-CR"/>
        </w:rPr>
      </w:pPr>
      <w:r w:rsidRPr="00A62CD3">
        <w:rPr>
          <w:szCs w:val="20"/>
          <w:lang w:val="es-CR"/>
        </w:rPr>
        <w:t xml:space="preserve">65. Por otra parte, mientras que la obligación general del artículo 1.1 se refiere al deber del Estado de respetar y garantizar “sin discriminación” los derechos contenidos en la Convención Americana, el artículo 24 protege el derecho a “igual protección de la ley”. Es decir, el artículo 24 de la Convención Americana </w:t>
      </w:r>
      <w:proofErr w:type="spellStart"/>
      <w:r w:rsidRPr="00A62CD3">
        <w:rPr>
          <w:szCs w:val="20"/>
          <w:lang w:val="es-CR"/>
        </w:rPr>
        <w:t>prohíbe</w:t>
      </w:r>
      <w:proofErr w:type="spellEnd"/>
      <w:r w:rsidRPr="00A62CD3">
        <w:rPr>
          <w:szCs w:val="20"/>
          <w:lang w:val="es-CR"/>
        </w:rPr>
        <w:t xml:space="preserve"> la discriminación de derecho, no </w:t>
      </w:r>
      <w:proofErr w:type="spellStart"/>
      <w:r w:rsidRPr="00A62CD3">
        <w:rPr>
          <w:szCs w:val="20"/>
          <w:lang w:val="es-CR"/>
        </w:rPr>
        <w:t>sólo</w:t>
      </w:r>
      <w:proofErr w:type="spellEnd"/>
      <w:r w:rsidRPr="00A62CD3">
        <w:rPr>
          <w:szCs w:val="20"/>
          <w:lang w:val="es-CR"/>
        </w:rPr>
        <w:t xml:space="preserve"> en cuanto a los derechos contenidos en dicho tratado, sino en lo que respecta a todas las leyes que apruebe el Estado y a su </w:t>
      </w:r>
      <w:proofErr w:type="spellStart"/>
      <w:r w:rsidRPr="00A62CD3">
        <w:rPr>
          <w:szCs w:val="20"/>
          <w:lang w:val="es-CR"/>
        </w:rPr>
        <w:t>aplicación</w:t>
      </w:r>
      <w:proofErr w:type="spellEnd"/>
      <w:r w:rsidRPr="00A62CD3">
        <w:rPr>
          <w:szCs w:val="20"/>
          <w:lang w:val="es-CR"/>
        </w:rPr>
        <w:t xml:space="preserve">. En otras palabras, si un Estado discrimina en el respeto o </w:t>
      </w:r>
      <w:proofErr w:type="spellStart"/>
      <w:r w:rsidRPr="00A62CD3">
        <w:rPr>
          <w:szCs w:val="20"/>
          <w:lang w:val="es-CR"/>
        </w:rPr>
        <w:t>garantía</w:t>
      </w:r>
      <w:proofErr w:type="spellEnd"/>
      <w:r w:rsidRPr="00A62CD3">
        <w:rPr>
          <w:szCs w:val="20"/>
          <w:lang w:val="es-CR"/>
        </w:rPr>
        <w:t xml:space="preserve"> de un derecho convencional, </w:t>
      </w:r>
      <w:proofErr w:type="spellStart"/>
      <w:r w:rsidRPr="00A62CD3">
        <w:rPr>
          <w:szCs w:val="20"/>
          <w:lang w:val="es-CR"/>
        </w:rPr>
        <w:t>incumpliría</w:t>
      </w:r>
      <w:proofErr w:type="spellEnd"/>
      <w:r w:rsidRPr="00A62CD3">
        <w:rPr>
          <w:szCs w:val="20"/>
          <w:lang w:val="es-CR"/>
        </w:rPr>
        <w:t xml:space="preserve"> la obligación establecida en el artículo 1.1 y el derecho sustantivo en </w:t>
      </w:r>
      <w:proofErr w:type="spellStart"/>
      <w:r w:rsidRPr="00A62CD3">
        <w:rPr>
          <w:szCs w:val="20"/>
          <w:lang w:val="es-CR"/>
        </w:rPr>
        <w:t>cuestión</w:t>
      </w:r>
      <w:proofErr w:type="spellEnd"/>
      <w:r w:rsidRPr="00A62CD3">
        <w:rPr>
          <w:szCs w:val="20"/>
          <w:lang w:val="es-CR"/>
        </w:rPr>
        <w:t xml:space="preserve">. Si, por el contrario, la discriminación se refiere a una protección desigual de la ley interna o su </w:t>
      </w:r>
      <w:proofErr w:type="spellStart"/>
      <w:r w:rsidRPr="00A62CD3">
        <w:rPr>
          <w:szCs w:val="20"/>
          <w:lang w:val="es-CR"/>
        </w:rPr>
        <w:t>aplicación</w:t>
      </w:r>
      <w:proofErr w:type="spellEnd"/>
      <w:r w:rsidRPr="00A62CD3">
        <w:rPr>
          <w:szCs w:val="20"/>
          <w:lang w:val="es-CR"/>
        </w:rPr>
        <w:t xml:space="preserve">, el hecho debe analizarse a la luz del artículo 24 de la Convención Americana, en </w:t>
      </w:r>
      <w:proofErr w:type="spellStart"/>
      <w:r w:rsidRPr="00A62CD3">
        <w:rPr>
          <w:szCs w:val="20"/>
          <w:lang w:val="es-CR"/>
        </w:rPr>
        <w:t>relación</w:t>
      </w:r>
      <w:proofErr w:type="spellEnd"/>
      <w:r w:rsidRPr="00A62CD3">
        <w:rPr>
          <w:szCs w:val="20"/>
          <w:lang w:val="es-CR"/>
        </w:rPr>
        <w:t xml:space="preserve"> con las </w:t>
      </w:r>
      <w:proofErr w:type="spellStart"/>
      <w:r w:rsidRPr="00A62CD3">
        <w:rPr>
          <w:szCs w:val="20"/>
          <w:lang w:val="es-CR"/>
        </w:rPr>
        <w:t>categorías</w:t>
      </w:r>
      <w:proofErr w:type="spellEnd"/>
      <w:r w:rsidRPr="00A62CD3">
        <w:rPr>
          <w:szCs w:val="20"/>
          <w:lang w:val="es-CR"/>
        </w:rPr>
        <w:t xml:space="preserve"> protegidas por el artículo 1.1 del mismo instrumento90.</w:t>
      </w:r>
    </w:p>
    <w:p w14:paraId="12237D82" w14:textId="17E3D961" w:rsidR="007269CF" w:rsidRDefault="007269CF" w:rsidP="00A62CD3">
      <w:pPr>
        <w:rPr>
          <w:szCs w:val="20"/>
          <w:lang w:val="es-CR"/>
        </w:rPr>
      </w:pPr>
      <w:r w:rsidRPr="00A62CD3">
        <w:rPr>
          <w:szCs w:val="20"/>
          <w:lang w:val="es-CR"/>
        </w:rPr>
        <w:t xml:space="preserve">66. Por ello es que, en virtud de la obligación de no discriminar, los Estados </w:t>
      </w:r>
      <w:proofErr w:type="spellStart"/>
      <w:r w:rsidRPr="00A62CD3">
        <w:rPr>
          <w:szCs w:val="20"/>
          <w:lang w:val="es-CR"/>
        </w:rPr>
        <w:t>están</w:t>
      </w:r>
      <w:proofErr w:type="spellEnd"/>
      <w:r w:rsidRPr="00A62CD3">
        <w:rPr>
          <w:szCs w:val="20"/>
          <w:lang w:val="es-CR"/>
        </w:rPr>
        <w:t xml:space="preserve"> obligados, </w:t>
      </w:r>
      <w:proofErr w:type="spellStart"/>
      <w:r w:rsidRPr="00A62CD3">
        <w:rPr>
          <w:szCs w:val="20"/>
          <w:lang w:val="es-CR"/>
        </w:rPr>
        <w:t>además</w:t>
      </w:r>
      <w:proofErr w:type="spellEnd"/>
      <w:r w:rsidRPr="00A62CD3">
        <w:rPr>
          <w:szCs w:val="20"/>
          <w:lang w:val="es-CR"/>
        </w:rPr>
        <w:t xml:space="preserve">, a adoptar medidas positivas para revertir o cambiar situaciones discriminatorias existentes en sus sociedades, en perjuicio de determinado grupo de personas. Esto implica el deber especial de protección que el Estado debe ejercer con respecto a actuaciones y </w:t>
      </w:r>
      <w:proofErr w:type="spellStart"/>
      <w:r w:rsidRPr="00A62CD3">
        <w:rPr>
          <w:szCs w:val="20"/>
          <w:lang w:val="es-CR"/>
        </w:rPr>
        <w:t>prácticas</w:t>
      </w:r>
      <w:proofErr w:type="spellEnd"/>
      <w:r w:rsidRPr="00A62CD3">
        <w:rPr>
          <w:szCs w:val="20"/>
          <w:lang w:val="es-CR"/>
        </w:rPr>
        <w:t xml:space="preserve"> de terceros que, bajo su tolerancia o aquiescencia, creen, mantengan o favorezcan las situaciones discriminatorias. En este sentido, la discriminación efectuada en </w:t>
      </w:r>
      <w:proofErr w:type="spellStart"/>
      <w:r w:rsidRPr="00A62CD3">
        <w:rPr>
          <w:szCs w:val="20"/>
          <w:lang w:val="es-CR"/>
        </w:rPr>
        <w:t>razón</w:t>
      </w:r>
      <w:proofErr w:type="spellEnd"/>
      <w:r w:rsidRPr="00A62CD3">
        <w:rPr>
          <w:szCs w:val="20"/>
          <w:lang w:val="es-CR"/>
        </w:rPr>
        <w:t xml:space="preserve"> de una de las </w:t>
      </w:r>
      <w:proofErr w:type="spellStart"/>
      <w:r w:rsidRPr="00A62CD3">
        <w:rPr>
          <w:szCs w:val="20"/>
          <w:lang w:val="es-CR"/>
        </w:rPr>
        <w:t>categorías</w:t>
      </w:r>
      <w:proofErr w:type="spellEnd"/>
      <w:r w:rsidRPr="00A62CD3">
        <w:rPr>
          <w:szCs w:val="20"/>
          <w:lang w:val="es-CR"/>
        </w:rPr>
        <w:t xml:space="preserve"> </w:t>
      </w:r>
      <w:proofErr w:type="spellStart"/>
      <w:r w:rsidRPr="00A62CD3">
        <w:rPr>
          <w:szCs w:val="20"/>
          <w:lang w:val="es-CR"/>
        </w:rPr>
        <w:t>señaladas</w:t>
      </w:r>
      <w:proofErr w:type="spellEnd"/>
      <w:r w:rsidRPr="00A62CD3">
        <w:rPr>
          <w:szCs w:val="20"/>
          <w:lang w:val="es-CR"/>
        </w:rPr>
        <w:t xml:space="preserve"> a </w:t>
      </w:r>
      <w:proofErr w:type="spellStart"/>
      <w:r w:rsidRPr="00A62CD3">
        <w:rPr>
          <w:szCs w:val="20"/>
          <w:lang w:val="es-CR"/>
        </w:rPr>
        <w:t>título</w:t>
      </w:r>
      <w:proofErr w:type="spellEnd"/>
      <w:r w:rsidRPr="00A62CD3">
        <w:rPr>
          <w:szCs w:val="20"/>
          <w:lang w:val="es-CR"/>
        </w:rPr>
        <w:t xml:space="preserve"> ilustrativo en el artículo 1.1 de la Convención, amerita una particular o peculiar </w:t>
      </w:r>
      <w:proofErr w:type="spellStart"/>
      <w:r w:rsidRPr="00A62CD3">
        <w:rPr>
          <w:szCs w:val="20"/>
          <w:lang w:val="es-CR"/>
        </w:rPr>
        <w:t>consideración</w:t>
      </w:r>
      <w:proofErr w:type="spellEnd"/>
      <w:r w:rsidRPr="00A62CD3">
        <w:rPr>
          <w:szCs w:val="20"/>
          <w:lang w:val="es-CR"/>
        </w:rPr>
        <w:t xml:space="preserve">, habida cuenta que el respectivo hecho </w:t>
      </w:r>
      <w:proofErr w:type="spellStart"/>
      <w:r w:rsidRPr="00A62CD3">
        <w:rPr>
          <w:szCs w:val="20"/>
          <w:lang w:val="es-CR"/>
        </w:rPr>
        <w:t>ilícito</w:t>
      </w:r>
      <w:proofErr w:type="spellEnd"/>
      <w:r w:rsidRPr="00A62CD3">
        <w:rPr>
          <w:szCs w:val="20"/>
          <w:lang w:val="es-CR"/>
        </w:rPr>
        <w:t xml:space="preserve"> que su ejercicio significa, tiene lugar en </w:t>
      </w:r>
      <w:proofErr w:type="spellStart"/>
      <w:r w:rsidRPr="00A62CD3">
        <w:rPr>
          <w:szCs w:val="20"/>
          <w:lang w:val="es-CR"/>
        </w:rPr>
        <w:t>razón</w:t>
      </w:r>
      <w:proofErr w:type="spellEnd"/>
      <w:r w:rsidRPr="00A62CD3">
        <w:rPr>
          <w:szCs w:val="20"/>
          <w:lang w:val="es-CR"/>
        </w:rPr>
        <w:t xml:space="preserve"> de lo que la presunta </w:t>
      </w:r>
      <w:proofErr w:type="spellStart"/>
      <w:r w:rsidRPr="00A62CD3">
        <w:rPr>
          <w:szCs w:val="20"/>
          <w:lang w:val="es-CR"/>
        </w:rPr>
        <w:t>víctima</w:t>
      </w:r>
      <w:proofErr w:type="spellEnd"/>
      <w:r w:rsidRPr="00A62CD3">
        <w:rPr>
          <w:szCs w:val="20"/>
          <w:lang w:val="es-CR"/>
        </w:rPr>
        <w:t xml:space="preserve"> </w:t>
      </w:r>
      <w:proofErr w:type="spellStart"/>
      <w:r w:rsidRPr="00A62CD3">
        <w:rPr>
          <w:szCs w:val="20"/>
          <w:lang w:val="es-CR"/>
        </w:rPr>
        <w:t>específicamente</w:t>
      </w:r>
      <w:proofErr w:type="spellEnd"/>
      <w:r w:rsidRPr="00A62CD3">
        <w:rPr>
          <w:szCs w:val="20"/>
          <w:lang w:val="es-CR"/>
        </w:rPr>
        <w:t xml:space="preserve"> representa o parece ser y que es lo que la distingue de las </w:t>
      </w:r>
      <w:proofErr w:type="spellStart"/>
      <w:r w:rsidRPr="00A62CD3">
        <w:rPr>
          <w:szCs w:val="20"/>
          <w:lang w:val="es-CR"/>
        </w:rPr>
        <w:t>demás</w:t>
      </w:r>
      <w:proofErr w:type="spellEnd"/>
      <w:r w:rsidRPr="00A62CD3">
        <w:rPr>
          <w:szCs w:val="20"/>
          <w:lang w:val="es-CR"/>
        </w:rPr>
        <w:t xml:space="preserve"> personas.</w:t>
      </w:r>
    </w:p>
    <w:p w14:paraId="1B172CFE" w14:textId="3550F034" w:rsidR="007269CF" w:rsidRDefault="007269CF" w:rsidP="00306C18">
      <w:pPr>
        <w:pStyle w:val="Caso"/>
        <w:rPr>
          <w:lang w:val="es-CR"/>
        </w:rPr>
      </w:pPr>
      <w:r w:rsidRPr="00306C18">
        <w:rPr>
          <w:lang w:val="es-CR"/>
        </w:rPr>
        <w:t xml:space="preserve">Corte IDH. Caso </w:t>
      </w:r>
      <w:proofErr w:type="spellStart"/>
      <w:r w:rsidRPr="00306C18">
        <w:rPr>
          <w:lang w:val="es-CR"/>
        </w:rPr>
        <w:t>Guachalá</w:t>
      </w:r>
      <w:proofErr w:type="spellEnd"/>
      <w:r w:rsidRPr="00306C18">
        <w:rPr>
          <w:lang w:val="es-CR"/>
        </w:rPr>
        <w:t xml:space="preserve"> Chimbo y otros Vs. Ecuador. Fondo, Reparaciones y Costas. Sentencia de 26 de marzo de 2021. Serie C No. 423</w:t>
      </w:r>
      <w:r>
        <w:rPr>
          <w:rStyle w:val="Refdenotaalpie"/>
          <w:lang w:val="es-CR"/>
        </w:rPr>
        <w:footnoteReference w:id="20"/>
      </w:r>
    </w:p>
    <w:p w14:paraId="09BF09CA" w14:textId="0AB80C4D" w:rsidR="007269CF" w:rsidRPr="00306C18" w:rsidRDefault="007269CF" w:rsidP="00306C18">
      <w:pPr>
        <w:rPr>
          <w:szCs w:val="20"/>
          <w:lang w:val="es-CR"/>
        </w:rPr>
      </w:pPr>
      <w:r w:rsidRPr="00306C18">
        <w:rPr>
          <w:szCs w:val="20"/>
          <w:lang w:val="es-CR"/>
        </w:rPr>
        <w:lastRenderedPageBreak/>
        <w:t xml:space="preserve">166. La Corte recuerda que, como condición transversal de la accesibilidad a los servicios de salud, el Estado está obligado a garantizar un trato igualitario a todas las personas. De esta forma, de conformidad con el artículo 1.1 de la Convención Americana, no son permitidos tratos discriminatorios por motivos de discapacidad </w:t>
      </w:r>
      <w:r w:rsidR="005B7B62">
        <w:rPr>
          <w:szCs w:val="20"/>
          <w:lang w:val="es-CR"/>
        </w:rPr>
        <w:t>[...]</w:t>
      </w:r>
      <w:r w:rsidRPr="00306C18">
        <w:rPr>
          <w:szCs w:val="20"/>
          <w:lang w:val="es-CR"/>
        </w:rPr>
        <w:t>.</w:t>
      </w:r>
    </w:p>
    <w:p w14:paraId="00E745CE" w14:textId="67A870C5" w:rsidR="007269CF" w:rsidRPr="00306C18" w:rsidRDefault="007269CF" w:rsidP="00306C18">
      <w:pPr>
        <w:rPr>
          <w:szCs w:val="20"/>
          <w:lang w:val="es-CR"/>
        </w:rPr>
      </w:pPr>
      <w:r w:rsidRPr="00306C18">
        <w:rPr>
          <w:szCs w:val="20"/>
          <w:lang w:val="es-CR"/>
        </w:rPr>
        <w:t xml:space="preserve">167. Por otra parte, la Corte ha </w:t>
      </w:r>
      <w:proofErr w:type="spellStart"/>
      <w:r w:rsidRPr="00306C18">
        <w:rPr>
          <w:szCs w:val="20"/>
          <w:lang w:val="es-CR"/>
        </w:rPr>
        <w:t>señalado</w:t>
      </w:r>
      <w:proofErr w:type="spellEnd"/>
      <w:r w:rsidRPr="00306C18">
        <w:rPr>
          <w:szCs w:val="20"/>
          <w:lang w:val="es-CR"/>
        </w:rPr>
        <w:t xml:space="preserve"> que el derecho a la igualdad garantizado por el artículo 24 convencional tiene dos dimensiones; la primera, una </w:t>
      </w:r>
      <w:proofErr w:type="spellStart"/>
      <w:r w:rsidRPr="00306C18">
        <w:rPr>
          <w:szCs w:val="20"/>
          <w:lang w:val="es-CR"/>
        </w:rPr>
        <w:t>dimensión</w:t>
      </w:r>
      <w:proofErr w:type="spellEnd"/>
      <w:r w:rsidRPr="00306C18">
        <w:rPr>
          <w:szCs w:val="20"/>
          <w:lang w:val="es-CR"/>
        </w:rPr>
        <w:t xml:space="preserve"> formal, que establece la igualdad ante la ley. La segunda, una </w:t>
      </w:r>
      <w:proofErr w:type="spellStart"/>
      <w:r w:rsidRPr="00306C18">
        <w:rPr>
          <w:szCs w:val="20"/>
          <w:lang w:val="es-CR"/>
        </w:rPr>
        <w:t>dimensión</w:t>
      </w:r>
      <w:proofErr w:type="spellEnd"/>
      <w:r w:rsidRPr="00306C18">
        <w:rPr>
          <w:szCs w:val="20"/>
          <w:lang w:val="es-CR"/>
        </w:rPr>
        <w:t xml:space="preserve"> material o sustancial, que ordena la </w:t>
      </w:r>
      <w:proofErr w:type="spellStart"/>
      <w:r w:rsidRPr="00306C18">
        <w:rPr>
          <w:szCs w:val="20"/>
          <w:lang w:val="es-CR"/>
        </w:rPr>
        <w:t>adopción</w:t>
      </w:r>
      <w:proofErr w:type="spellEnd"/>
      <w:r w:rsidRPr="00306C18">
        <w:rPr>
          <w:szCs w:val="20"/>
          <w:lang w:val="es-CR"/>
        </w:rPr>
        <w:t xml:space="preserve"> de medidas positivas de </w:t>
      </w:r>
      <w:proofErr w:type="spellStart"/>
      <w:r w:rsidRPr="00306C18">
        <w:rPr>
          <w:szCs w:val="20"/>
          <w:lang w:val="es-CR"/>
        </w:rPr>
        <w:t>promoción</w:t>
      </w:r>
      <w:proofErr w:type="spellEnd"/>
      <w:r w:rsidRPr="00306C18">
        <w:rPr>
          <w:szCs w:val="20"/>
          <w:lang w:val="es-CR"/>
        </w:rPr>
        <w:t xml:space="preserve"> a favor de grupos </w:t>
      </w:r>
      <w:proofErr w:type="spellStart"/>
      <w:r w:rsidRPr="00306C18">
        <w:rPr>
          <w:szCs w:val="20"/>
          <w:lang w:val="es-CR"/>
        </w:rPr>
        <w:t>históricamente</w:t>
      </w:r>
      <w:proofErr w:type="spellEnd"/>
      <w:r w:rsidRPr="00306C18">
        <w:rPr>
          <w:szCs w:val="20"/>
          <w:lang w:val="es-CR"/>
        </w:rPr>
        <w:t xml:space="preserve"> discriminados o marginados en </w:t>
      </w:r>
      <w:proofErr w:type="spellStart"/>
      <w:r w:rsidRPr="00306C18">
        <w:rPr>
          <w:szCs w:val="20"/>
          <w:lang w:val="es-CR"/>
        </w:rPr>
        <w:t>razón</w:t>
      </w:r>
      <w:proofErr w:type="spellEnd"/>
      <w:r w:rsidRPr="00306C18">
        <w:rPr>
          <w:szCs w:val="20"/>
          <w:lang w:val="es-CR"/>
        </w:rPr>
        <w:t xml:space="preserve"> de los factores a los que hace referencia el artículo 1.1 de la Convención Americana. Lo anterior quiere decir que el derecho a la igualdad implica la obligación de adoptar medidas para garantizar que la igualdad sea real y efectiva, esto es, corregir las desigualdades existentes, promover la </w:t>
      </w:r>
      <w:proofErr w:type="spellStart"/>
      <w:r w:rsidRPr="00306C18">
        <w:rPr>
          <w:szCs w:val="20"/>
          <w:lang w:val="es-CR"/>
        </w:rPr>
        <w:t>inclusión</w:t>
      </w:r>
      <w:proofErr w:type="spellEnd"/>
      <w:r w:rsidRPr="00306C18">
        <w:rPr>
          <w:szCs w:val="20"/>
          <w:lang w:val="es-CR"/>
        </w:rPr>
        <w:t xml:space="preserve"> y la </w:t>
      </w:r>
      <w:proofErr w:type="spellStart"/>
      <w:r w:rsidRPr="00306C18">
        <w:rPr>
          <w:szCs w:val="20"/>
          <w:lang w:val="es-CR"/>
        </w:rPr>
        <w:t>participación</w:t>
      </w:r>
      <w:proofErr w:type="spellEnd"/>
      <w:r w:rsidRPr="00306C18">
        <w:rPr>
          <w:szCs w:val="20"/>
          <w:lang w:val="es-CR"/>
        </w:rPr>
        <w:t xml:space="preserve"> de los grupos </w:t>
      </w:r>
      <w:proofErr w:type="spellStart"/>
      <w:r w:rsidRPr="00306C18">
        <w:rPr>
          <w:szCs w:val="20"/>
          <w:lang w:val="es-CR"/>
        </w:rPr>
        <w:t>históricamente</w:t>
      </w:r>
      <w:proofErr w:type="spellEnd"/>
      <w:r w:rsidRPr="00306C18">
        <w:rPr>
          <w:szCs w:val="20"/>
          <w:lang w:val="es-CR"/>
        </w:rPr>
        <w:t xml:space="preserve"> marginados, garantizar a las personas o grupos en desventaja el goce efectivo de sus derechos, en suma, brindar a las personas posibilidades concretas de ver realizada, en sus propios casos, la igualdad material. Para ello, los Estados deben enfrentar activamente situaciones de </w:t>
      </w:r>
      <w:proofErr w:type="spellStart"/>
      <w:r w:rsidRPr="00306C18">
        <w:rPr>
          <w:szCs w:val="20"/>
          <w:lang w:val="es-CR"/>
        </w:rPr>
        <w:t>exclusión</w:t>
      </w:r>
      <w:proofErr w:type="spellEnd"/>
      <w:r w:rsidRPr="00306C18">
        <w:rPr>
          <w:szCs w:val="20"/>
          <w:lang w:val="es-CR"/>
        </w:rPr>
        <w:t xml:space="preserve"> y </w:t>
      </w:r>
      <w:proofErr w:type="spellStart"/>
      <w:r w:rsidRPr="00306C18">
        <w:rPr>
          <w:szCs w:val="20"/>
          <w:lang w:val="es-CR"/>
        </w:rPr>
        <w:t>marginación</w:t>
      </w:r>
      <w:proofErr w:type="spellEnd"/>
      <w:r w:rsidRPr="00306C18">
        <w:rPr>
          <w:szCs w:val="20"/>
          <w:lang w:val="es-CR"/>
        </w:rPr>
        <w:t>.</w:t>
      </w:r>
    </w:p>
    <w:p w14:paraId="436DA4E3" w14:textId="77777777" w:rsidR="007269CF" w:rsidRPr="00306C18" w:rsidRDefault="007269CF" w:rsidP="00306C18">
      <w:pPr>
        <w:rPr>
          <w:szCs w:val="20"/>
          <w:lang w:val="es-CR"/>
        </w:rPr>
      </w:pPr>
      <w:r w:rsidRPr="00306C18">
        <w:rPr>
          <w:szCs w:val="20"/>
          <w:lang w:val="es-CR"/>
        </w:rPr>
        <w:t>168. Esta obligación de garantizar la igualdad material es concordante con el artículo 5 de la CDPD, el cual establece que:</w:t>
      </w:r>
    </w:p>
    <w:p w14:paraId="605B6305" w14:textId="77777777" w:rsidR="007269CF" w:rsidRPr="00306C18" w:rsidRDefault="007269CF" w:rsidP="00306C18">
      <w:pPr>
        <w:pStyle w:val="Citacuerpo"/>
        <w:rPr>
          <w:lang w:val="es-CR"/>
        </w:rPr>
      </w:pPr>
      <w:r w:rsidRPr="00306C18">
        <w:rPr>
          <w:lang w:val="es-CR"/>
        </w:rPr>
        <w:t>Los Estados Partes reconocen que todas las personas son iguales ante la ley y en virtud de ella y que tienen derecho a igual protección legal y a beneficiarse de la ley en igual medida sin discriminación alguna.</w:t>
      </w:r>
    </w:p>
    <w:p w14:paraId="190CAB57" w14:textId="7DA055A0" w:rsidR="007269CF" w:rsidRDefault="007269CF" w:rsidP="00306C18">
      <w:pPr>
        <w:pStyle w:val="Citacuerpo"/>
        <w:rPr>
          <w:lang w:val="es-CR"/>
        </w:rPr>
      </w:pPr>
      <w:r w:rsidRPr="00306C18">
        <w:rPr>
          <w:lang w:val="es-CR"/>
        </w:rPr>
        <w:t xml:space="preserve">2. Los Estados Partes </w:t>
      </w:r>
      <w:proofErr w:type="spellStart"/>
      <w:r w:rsidRPr="00306C18">
        <w:rPr>
          <w:lang w:val="es-CR"/>
        </w:rPr>
        <w:t>prohibirán</w:t>
      </w:r>
      <w:proofErr w:type="spellEnd"/>
      <w:r w:rsidRPr="00306C18">
        <w:rPr>
          <w:lang w:val="es-CR"/>
        </w:rPr>
        <w:t xml:space="preserve"> toda discriminación por motivos de discapacidad y </w:t>
      </w:r>
      <w:proofErr w:type="spellStart"/>
      <w:r w:rsidRPr="00306C18">
        <w:rPr>
          <w:lang w:val="es-CR"/>
        </w:rPr>
        <w:t>garantizarán</w:t>
      </w:r>
      <w:proofErr w:type="spellEnd"/>
      <w:r w:rsidRPr="00306C18">
        <w:rPr>
          <w:lang w:val="es-CR"/>
        </w:rPr>
        <w:t xml:space="preserve"> a todas las personas con discapacidad protección legal igual y efectiva contra la discriminación por cualquier motivo.</w:t>
      </w:r>
    </w:p>
    <w:p w14:paraId="12A2AFB1" w14:textId="77777777" w:rsidR="007269CF" w:rsidRPr="00306C18" w:rsidRDefault="007269CF" w:rsidP="00306C18">
      <w:pPr>
        <w:pStyle w:val="Citacuerpo"/>
        <w:rPr>
          <w:lang w:val="es-CR"/>
        </w:rPr>
      </w:pPr>
      <w:r w:rsidRPr="00306C18">
        <w:rPr>
          <w:lang w:val="es-CR"/>
        </w:rPr>
        <w:t xml:space="preserve">3. A fin de promover la igualdad y eliminar la discriminación, los Estados Partes </w:t>
      </w:r>
      <w:proofErr w:type="spellStart"/>
      <w:r w:rsidRPr="00306C18">
        <w:rPr>
          <w:lang w:val="es-CR"/>
        </w:rPr>
        <w:t>adoptarán</w:t>
      </w:r>
      <w:proofErr w:type="spellEnd"/>
      <w:r w:rsidRPr="00306C18">
        <w:rPr>
          <w:lang w:val="es-CR"/>
        </w:rPr>
        <w:t xml:space="preserve"> todas las medidas pertinentes para asegurar la </w:t>
      </w:r>
      <w:proofErr w:type="spellStart"/>
      <w:r w:rsidRPr="00306C18">
        <w:rPr>
          <w:lang w:val="es-CR"/>
        </w:rPr>
        <w:t>realización</w:t>
      </w:r>
      <w:proofErr w:type="spellEnd"/>
      <w:r w:rsidRPr="00306C18">
        <w:rPr>
          <w:lang w:val="es-CR"/>
        </w:rPr>
        <w:t xml:space="preserve"> de ajustes razonables.</w:t>
      </w:r>
    </w:p>
    <w:p w14:paraId="063AD16D" w14:textId="77777777" w:rsidR="007269CF" w:rsidRPr="00306C18" w:rsidRDefault="007269CF" w:rsidP="00306C18">
      <w:pPr>
        <w:pStyle w:val="Citacuerpo"/>
        <w:rPr>
          <w:lang w:val="es-CR"/>
        </w:rPr>
      </w:pPr>
      <w:r w:rsidRPr="00306C18">
        <w:rPr>
          <w:lang w:val="es-CR"/>
        </w:rPr>
        <w:t xml:space="preserve">4. No se </w:t>
      </w:r>
      <w:proofErr w:type="spellStart"/>
      <w:r w:rsidRPr="00306C18">
        <w:rPr>
          <w:lang w:val="es-CR"/>
        </w:rPr>
        <w:t>considerarán</w:t>
      </w:r>
      <w:proofErr w:type="spellEnd"/>
      <w:r w:rsidRPr="00306C18">
        <w:rPr>
          <w:lang w:val="es-CR"/>
        </w:rPr>
        <w:t xml:space="preserve"> discriminatorias, en virtud de la presente Convención, las medidas </w:t>
      </w:r>
      <w:proofErr w:type="spellStart"/>
      <w:r w:rsidRPr="00306C18">
        <w:rPr>
          <w:lang w:val="es-CR"/>
        </w:rPr>
        <w:t>específicas</w:t>
      </w:r>
      <w:proofErr w:type="spellEnd"/>
      <w:r w:rsidRPr="00306C18">
        <w:rPr>
          <w:lang w:val="es-CR"/>
        </w:rPr>
        <w:t xml:space="preserve"> que sean necesarias para acelerar o lograr la igualdad de hecho de las personas con discapacidad.</w:t>
      </w:r>
    </w:p>
    <w:p w14:paraId="1980F7F3" w14:textId="156EA05C" w:rsidR="007269CF" w:rsidRPr="00306C18" w:rsidRDefault="007269CF" w:rsidP="00306C18">
      <w:pPr>
        <w:rPr>
          <w:szCs w:val="20"/>
          <w:lang w:val="es-CR"/>
        </w:rPr>
      </w:pPr>
      <w:r w:rsidRPr="00306C18">
        <w:rPr>
          <w:szCs w:val="20"/>
          <w:lang w:val="es-CR"/>
        </w:rPr>
        <w:t xml:space="preserve">169. Dicha obligación </w:t>
      </w:r>
      <w:proofErr w:type="spellStart"/>
      <w:r w:rsidRPr="00306C18">
        <w:rPr>
          <w:szCs w:val="20"/>
          <w:lang w:val="es-CR"/>
        </w:rPr>
        <w:t>además</w:t>
      </w:r>
      <w:proofErr w:type="spellEnd"/>
      <w:r w:rsidRPr="00306C18">
        <w:rPr>
          <w:szCs w:val="20"/>
          <w:lang w:val="es-CR"/>
        </w:rPr>
        <w:t xml:space="preserve"> es retomada por la CDPD en su artículo de derecho a la salud al establecer que “[l]os Estados Partes reconocen que las personas con discapacidad tienen derecho a gozar del </w:t>
      </w:r>
      <w:proofErr w:type="spellStart"/>
      <w:r w:rsidRPr="00306C18">
        <w:rPr>
          <w:szCs w:val="20"/>
          <w:lang w:val="es-CR"/>
        </w:rPr>
        <w:t>más</w:t>
      </w:r>
      <w:proofErr w:type="spellEnd"/>
      <w:r w:rsidRPr="00306C18">
        <w:rPr>
          <w:szCs w:val="20"/>
          <w:lang w:val="es-CR"/>
        </w:rPr>
        <w:t xml:space="preserve"> alto nivel posible de salud sin discriminación por motivos de discapacidad”.</w:t>
      </w:r>
    </w:p>
    <w:p w14:paraId="03B4E558" w14:textId="4B2F73FF" w:rsidR="007269CF" w:rsidRPr="00306C18" w:rsidRDefault="007269CF" w:rsidP="00306C18">
      <w:pPr>
        <w:rPr>
          <w:szCs w:val="20"/>
          <w:lang w:val="es-CR"/>
        </w:rPr>
      </w:pPr>
      <w:r w:rsidRPr="00306C18">
        <w:rPr>
          <w:szCs w:val="20"/>
          <w:lang w:val="es-CR"/>
        </w:rPr>
        <w:t>170. Asimismo, la CIADDIS establece que los Estados parte se comprometen a “[a]</w:t>
      </w:r>
      <w:proofErr w:type="spellStart"/>
      <w:r w:rsidRPr="00306C18">
        <w:rPr>
          <w:szCs w:val="20"/>
          <w:lang w:val="es-CR"/>
        </w:rPr>
        <w:t>doptar</w:t>
      </w:r>
      <w:proofErr w:type="spellEnd"/>
      <w:r w:rsidRPr="00306C18">
        <w:rPr>
          <w:szCs w:val="20"/>
          <w:lang w:val="es-CR"/>
        </w:rPr>
        <w:t xml:space="preserve"> las medidas de </w:t>
      </w:r>
      <w:proofErr w:type="spellStart"/>
      <w:r w:rsidRPr="00306C18">
        <w:rPr>
          <w:szCs w:val="20"/>
          <w:lang w:val="es-CR"/>
        </w:rPr>
        <w:t>carácter</w:t>
      </w:r>
      <w:proofErr w:type="spellEnd"/>
      <w:r w:rsidRPr="00306C18">
        <w:rPr>
          <w:szCs w:val="20"/>
          <w:lang w:val="es-CR"/>
        </w:rPr>
        <w:t xml:space="preserve"> legislativo, social, educativo, laboral o de cualquier otra </w:t>
      </w:r>
      <w:proofErr w:type="spellStart"/>
      <w:r w:rsidRPr="00306C18">
        <w:rPr>
          <w:szCs w:val="20"/>
          <w:lang w:val="es-CR"/>
        </w:rPr>
        <w:t>índole</w:t>
      </w:r>
      <w:proofErr w:type="spellEnd"/>
      <w:r w:rsidRPr="00306C18">
        <w:rPr>
          <w:szCs w:val="20"/>
          <w:lang w:val="es-CR"/>
        </w:rPr>
        <w:t xml:space="preserve">, necesarias para eliminar la discriminación contra las personas con discapacidad y propiciar su plena </w:t>
      </w:r>
      <w:proofErr w:type="spellStart"/>
      <w:r w:rsidRPr="00306C18">
        <w:rPr>
          <w:szCs w:val="20"/>
          <w:lang w:val="es-CR"/>
        </w:rPr>
        <w:t>integración</w:t>
      </w:r>
      <w:proofErr w:type="spellEnd"/>
      <w:r w:rsidRPr="00306C18">
        <w:rPr>
          <w:szCs w:val="20"/>
          <w:lang w:val="es-CR"/>
        </w:rPr>
        <w:t xml:space="preserve"> en la sociedad”</w:t>
      </w:r>
      <w:r>
        <w:rPr>
          <w:szCs w:val="20"/>
          <w:lang w:val="es-CR"/>
        </w:rPr>
        <w:t>.</w:t>
      </w:r>
      <w:r w:rsidRPr="00306C18">
        <w:rPr>
          <w:szCs w:val="20"/>
          <w:lang w:val="es-CR"/>
        </w:rPr>
        <w:t xml:space="preserve"> En el mismo sentido, la CDPD establece que la discriminación por motivos de discapacidad también ocurre cuando se deniegan los ajustes razonables. Al respecto, el </w:t>
      </w:r>
      <w:proofErr w:type="spellStart"/>
      <w:r w:rsidRPr="00306C18">
        <w:rPr>
          <w:szCs w:val="20"/>
          <w:lang w:val="es-CR"/>
        </w:rPr>
        <w:t>Comite</w:t>
      </w:r>
      <w:proofErr w:type="spellEnd"/>
      <w:r w:rsidRPr="00306C18">
        <w:rPr>
          <w:szCs w:val="20"/>
          <w:lang w:val="es-CR"/>
        </w:rPr>
        <w:t xml:space="preserve">́ sobre los Derechos de las Personas con Discapacidad ha </w:t>
      </w:r>
      <w:proofErr w:type="spellStart"/>
      <w:r w:rsidRPr="00306C18">
        <w:rPr>
          <w:szCs w:val="20"/>
          <w:lang w:val="es-CR"/>
        </w:rPr>
        <w:t>señalado</w:t>
      </w:r>
      <w:proofErr w:type="spellEnd"/>
      <w:r w:rsidRPr="00306C18">
        <w:rPr>
          <w:szCs w:val="20"/>
          <w:lang w:val="es-CR"/>
        </w:rPr>
        <w:t xml:space="preserve"> que “[l]os ajustes razonables son una parte </w:t>
      </w:r>
      <w:proofErr w:type="spellStart"/>
      <w:r w:rsidRPr="00306C18">
        <w:rPr>
          <w:szCs w:val="20"/>
          <w:lang w:val="es-CR"/>
        </w:rPr>
        <w:t>intrínseca</w:t>
      </w:r>
      <w:proofErr w:type="spellEnd"/>
      <w:r w:rsidRPr="00306C18">
        <w:rPr>
          <w:szCs w:val="20"/>
          <w:lang w:val="es-CR"/>
        </w:rPr>
        <w:t xml:space="preserve"> de la obligación, de cumplimiento inmediato, de no discriminar en el contexto de la discapacidad”. En este sentido, explicó que “un ajuste es razonable si logra el objetivo (o los objetivos) para el que se realiza y si está </w:t>
      </w:r>
      <w:proofErr w:type="spellStart"/>
      <w:r w:rsidRPr="00306C18">
        <w:rPr>
          <w:szCs w:val="20"/>
          <w:lang w:val="es-CR"/>
        </w:rPr>
        <w:t>diseñado</w:t>
      </w:r>
      <w:proofErr w:type="spellEnd"/>
      <w:r w:rsidRPr="00306C18">
        <w:rPr>
          <w:szCs w:val="20"/>
          <w:lang w:val="es-CR"/>
        </w:rPr>
        <w:t xml:space="preserve"> para satisfacer los requerimientos de la persona con discapacidad”.</w:t>
      </w:r>
    </w:p>
    <w:p w14:paraId="4DCF200F" w14:textId="69967A01" w:rsidR="007269CF" w:rsidRPr="00306C18" w:rsidRDefault="007269CF" w:rsidP="00306C18">
      <w:pPr>
        <w:rPr>
          <w:szCs w:val="20"/>
          <w:lang w:val="es-CR"/>
        </w:rPr>
      </w:pPr>
      <w:r w:rsidRPr="00306C18">
        <w:rPr>
          <w:szCs w:val="20"/>
          <w:lang w:val="es-CR"/>
        </w:rPr>
        <w:lastRenderedPageBreak/>
        <w:t xml:space="preserve">171. </w:t>
      </w:r>
      <w:proofErr w:type="spellStart"/>
      <w:r w:rsidRPr="00306C18">
        <w:rPr>
          <w:szCs w:val="20"/>
          <w:lang w:val="es-CR"/>
        </w:rPr>
        <w:t>Específicamente</w:t>
      </w:r>
      <w:proofErr w:type="spellEnd"/>
      <w:r w:rsidRPr="00306C18">
        <w:rPr>
          <w:szCs w:val="20"/>
          <w:lang w:val="es-CR"/>
        </w:rPr>
        <w:t xml:space="preserve">, para la toma de decisiones médicas, los Estados tienen la obligación de brindar el apoyo necesario para que este tome una </w:t>
      </w:r>
      <w:proofErr w:type="spellStart"/>
      <w:r w:rsidRPr="00306C18">
        <w:rPr>
          <w:szCs w:val="20"/>
          <w:lang w:val="es-CR"/>
        </w:rPr>
        <w:t>decisión</w:t>
      </w:r>
      <w:proofErr w:type="spellEnd"/>
      <w:r w:rsidRPr="00306C18">
        <w:rPr>
          <w:szCs w:val="20"/>
          <w:lang w:val="es-CR"/>
        </w:rPr>
        <w:t xml:space="preserve"> propia e informada. En ese sentido, se reitera que, de acuerdo a la Relatora Especial de Naciones Unidas sobre los Derechos de las Personas con Discapacidad, “[e]l acceso a un apoyo adecuado es, sin lugar a dudas, una condición necesaria para que las personas con discapacidad puedan ejercer efectivamente sus derechos humanos en igualdad de condiciones con las </w:t>
      </w:r>
      <w:proofErr w:type="spellStart"/>
      <w:r w:rsidRPr="00306C18">
        <w:rPr>
          <w:szCs w:val="20"/>
          <w:lang w:val="es-CR"/>
        </w:rPr>
        <w:t>demás</w:t>
      </w:r>
      <w:proofErr w:type="spellEnd"/>
      <w:r w:rsidRPr="00306C18">
        <w:rPr>
          <w:szCs w:val="20"/>
          <w:lang w:val="es-CR"/>
        </w:rPr>
        <w:t xml:space="preserve"> y, de ese modo, vivir con dignidad y </w:t>
      </w:r>
      <w:proofErr w:type="spellStart"/>
      <w:r w:rsidRPr="00306C18">
        <w:rPr>
          <w:szCs w:val="20"/>
          <w:lang w:val="es-CR"/>
        </w:rPr>
        <w:t>autonomía</w:t>
      </w:r>
      <w:proofErr w:type="spellEnd"/>
      <w:r w:rsidRPr="00306C18">
        <w:rPr>
          <w:szCs w:val="20"/>
          <w:lang w:val="es-CR"/>
        </w:rPr>
        <w:t xml:space="preserve"> en la comunidad.</w:t>
      </w:r>
    </w:p>
    <w:p w14:paraId="1E0DB70B" w14:textId="77777777" w:rsidR="007269CF" w:rsidRPr="00306C18" w:rsidRDefault="007269CF" w:rsidP="00306C18">
      <w:pPr>
        <w:rPr>
          <w:szCs w:val="20"/>
          <w:lang w:val="es-CR"/>
        </w:rPr>
      </w:pPr>
      <w:r w:rsidRPr="00306C18">
        <w:rPr>
          <w:szCs w:val="20"/>
          <w:lang w:val="es-CR"/>
        </w:rPr>
        <w:t xml:space="preserve">172. En el caso concreto, la Corte resalta que el Estado no tomó medidas para apoyar al </w:t>
      </w:r>
      <w:proofErr w:type="spellStart"/>
      <w:r w:rsidRPr="00306C18">
        <w:rPr>
          <w:szCs w:val="20"/>
          <w:lang w:val="es-CR"/>
        </w:rPr>
        <w:t>señor</w:t>
      </w:r>
      <w:proofErr w:type="spellEnd"/>
      <w:r w:rsidRPr="00306C18">
        <w:rPr>
          <w:szCs w:val="20"/>
          <w:lang w:val="es-CR"/>
        </w:rPr>
        <w:t xml:space="preserve"> </w:t>
      </w:r>
      <w:proofErr w:type="spellStart"/>
      <w:r w:rsidRPr="00306C18">
        <w:rPr>
          <w:szCs w:val="20"/>
          <w:lang w:val="es-CR"/>
        </w:rPr>
        <w:t>Guachala</w:t>
      </w:r>
      <w:proofErr w:type="spellEnd"/>
      <w:r w:rsidRPr="00306C18">
        <w:rPr>
          <w:szCs w:val="20"/>
          <w:lang w:val="es-CR"/>
        </w:rPr>
        <w:t xml:space="preserve">́ en el proceso de </w:t>
      </w:r>
      <w:proofErr w:type="spellStart"/>
      <w:r w:rsidRPr="00306C18">
        <w:rPr>
          <w:szCs w:val="20"/>
          <w:lang w:val="es-CR"/>
        </w:rPr>
        <w:t>decisión</w:t>
      </w:r>
      <w:proofErr w:type="spellEnd"/>
      <w:r w:rsidRPr="00306C18">
        <w:rPr>
          <w:szCs w:val="20"/>
          <w:lang w:val="es-CR"/>
        </w:rPr>
        <w:t xml:space="preserve"> relativo a su </w:t>
      </w:r>
      <w:proofErr w:type="spellStart"/>
      <w:r w:rsidRPr="00306C18">
        <w:rPr>
          <w:szCs w:val="20"/>
          <w:lang w:val="es-CR"/>
        </w:rPr>
        <w:t>internación</w:t>
      </w:r>
      <w:proofErr w:type="spellEnd"/>
      <w:r w:rsidRPr="00306C18">
        <w:rPr>
          <w:szCs w:val="20"/>
          <w:lang w:val="es-CR"/>
        </w:rPr>
        <w:t xml:space="preserve"> y tratamiento a seguir. Por el contrario, el Estado sustituyó la voluntad del </w:t>
      </w:r>
      <w:proofErr w:type="spellStart"/>
      <w:r w:rsidRPr="00306C18">
        <w:rPr>
          <w:szCs w:val="20"/>
          <w:lang w:val="es-CR"/>
        </w:rPr>
        <w:t>señor</w:t>
      </w:r>
      <w:proofErr w:type="spellEnd"/>
      <w:r w:rsidRPr="00306C18">
        <w:rPr>
          <w:szCs w:val="20"/>
          <w:lang w:val="es-CR"/>
        </w:rPr>
        <w:t xml:space="preserve"> </w:t>
      </w:r>
      <w:proofErr w:type="spellStart"/>
      <w:r w:rsidRPr="00306C18">
        <w:rPr>
          <w:szCs w:val="20"/>
          <w:lang w:val="es-CR"/>
        </w:rPr>
        <w:t>Guachala</w:t>
      </w:r>
      <w:proofErr w:type="spellEnd"/>
      <w:r w:rsidRPr="00306C18">
        <w:rPr>
          <w:szCs w:val="20"/>
          <w:lang w:val="es-CR"/>
        </w:rPr>
        <w:t xml:space="preserve">́, directamente solicitando el consentimiento de su madre. En su peritaje, el </w:t>
      </w:r>
      <w:proofErr w:type="spellStart"/>
      <w:r w:rsidRPr="00306C18">
        <w:rPr>
          <w:szCs w:val="20"/>
          <w:lang w:val="es-CR"/>
        </w:rPr>
        <w:t>señor</w:t>
      </w:r>
      <w:proofErr w:type="spellEnd"/>
      <w:r w:rsidRPr="00306C18">
        <w:rPr>
          <w:szCs w:val="20"/>
          <w:lang w:val="es-CR"/>
        </w:rPr>
        <w:t xml:space="preserve"> Christian Courtis </w:t>
      </w:r>
      <w:proofErr w:type="spellStart"/>
      <w:r w:rsidRPr="00306C18">
        <w:rPr>
          <w:szCs w:val="20"/>
          <w:lang w:val="es-CR"/>
        </w:rPr>
        <w:t>señalo</w:t>
      </w:r>
      <w:proofErr w:type="spellEnd"/>
      <w:r w:rsidRPr="00306C18">
        <w:rPr>
          <w:szCs w:val="20"/>
          <w:lang w:val="es-CR"/>
        </w:rPr>
        <w:t>́ que:</w:t>
      </w:r>
    </w:p>
    <w:p w14:paraId="0B01D8EF" w14:textId="5CBD4D24" w:rsidR="007269CF" w:rsidRDefault="007269CF" w:rsidP="00306C18">
      <w:pPr>
        <w:pStyle w:val="Citacuerpo"/>
        <w:rPr>
          <w:lang w:val="es-CR"/>
        </w:rPr>
      </w:pPr>
      <w:r w:rsidRPr="00306C18">
        <w:rPr>
          <w:lang w:val="es-CR"/>
        </w:rPr>
        <w:t xml:space="preserve">la negación de facto de la capacidad de obrar de la presunta </w:t>
      </w:r>
      <w:proofErr w:type="spellStart"/>
      <w:r w:rsidRPr="00306C18">
        <w:rPr>
          <w:lang w:val="es-CR"/>
        </w:rPr>
        <w:t>víctima</w:t>
      </w:r>
      <w:proofErr w:type="spellEnd"/>
      <w:r w:rsidRPr="00306C18">
        <w:rPr>
          <w:lang w:val="es-CR"/>
        </w:rPr>
        <w:t xml:space="preserve"> en su </w:t>
      </w:r>
      <w:proofErr w:type="spellStart"/>
      <w:r w:rsidRPr="00306C18">
        <w:rPr>
          <w:lang w:val="es-CR"/>
        </w:rPr>
        <w:t>internación</w:t>
      </w:r>
      <w:proofErr w:type="spellEnd"/>
      <w:r w:rsidRPr="00306C18">
        <w:rPr>
          <w:lang w:val="es-CR"/>
        </w:rPr>
        <w:t xml:space="preserve"> en una </w:t>
      </w:r>
      <w:proofErr w:type="spellStart"/>
      <w:r w:rsidRPr="00306C18">
        <w:rPr>
          <w:lang w:val="es-CR"/>
        </w:rPr>
        <w:t>institución</w:t>
      </w:r>
      <w:proofErr w:type="spellEnd"/>
      <w:r w:rsidRPr="00306C18">
        <w:rPr>
          <w:lang w:val="es-CR"/>
        </w:rPr>
        <w:t xml:space="preserve"> </w:t>
      </w:r>
      <w:proofErr w:type="spellStart"/>
      <w:r w:rsidRPr="00306C18">
        <w:rPr>
          <w:lang w:val="es-CR"/>
        </w:rPr>
        <w:t>psiquiátrica</w:t>
      </w:r>
      <w:proofErr w:type="spellEnd"/>
      <w:r w:rsidRPr="00306C18">
        <w:rPr>
          <w:lang w:val="es-CR"/>
        </w:rPr>
        <w:t xml:space="preserve">, pese a que era mayor de edad y que ni siquiera consta en el expediente que haya sido formalmente declarado incapaz, independientemente de la incompatibilidad de esa medida con la Convención sobre los Derechos de las Personas con Discapacidad, constituye un caso de discriminación directa por motivos de discapacidad, ya que es un supuesto claro de trato desigual basado en la capacidad, que tiene el efecto de obstaculizar o dejar sin efecto el ejercicio, en igualdad de condiciones, de los derechos al reconocimiento de la personalidad </w:t>
      </w:r>
      <w:proofErr w:type="spellStart"/>
      <w:r w:rsidRPr="00306C18">
        <w:rPr>
          <w:lang w:val="es-CR"/>
        </w:rPr>
        <w:t>jurídica</w:t>
      </w:r>
      <w:proofErr w:type="spellEnd"/>
      <w:r w:rsidRPr="00306C18">
        <w:rPr>
          <w:lang w:val="es-CR"/>
        </w:rPr>
        <w:t>, a la libertad personal, a la integridad personal y a la salud, entre otros.</w:t>
      </w:r>
    </w:p>
    <w:p w14:paraId="09D9A573" w14:textId="38ACED88" w:rsidR="007269CF" w:rsidRPr="00306C18" w:rsidRDefault="007269CF" w:rsidP="00306C18">
      <w:pPr>
        <w:rPr>
          <w:szCs w:val="20"/>
          <w:lang w:val="es-CR"/>
        </w:rPr>
      </w:pPr>
      <w:r w:rsidRPr="00306C18">
        <w:rPr>
          <w:szCs w:val="20"/>
          <w:lang w:val="es-CR"/>
        </w:rPr>
        <w:t xml:space="preserve">173. En este sentido, el Estado utilizó la discapacidad de la presunta </w:t>
      </w:r>
      <w:proofErr w:type="spellStart"/>
      <w:r w:rsidRPr="00306C18">
        <w:rPr>
          <w:szCs w:val="20"/>
          <w:lang w:val="es-CR"/>
        </w:rPr>
        <w:t>víctima</w:t>
      </w:r>
      <w:proofErr w:type="spellEnd"/>
      <w:r w:rsidRPr="00306C18">
        <w:rPr>
          <w:szCs w:val="20"/>
          <w:lang w:val="es-CR"/>
        </w:rPr>
        <w:t xml:space="preserve"> para justificar que era innecesario su consentimiento informado para el internamiento y </w:t>
      </w:r>
      <w:proofErr w:type="spellStart"/>
      <w:r w:rsidRPr="00306C18">
        <w:rPr>
          <w:szCs w:val="20"/>
          <w:lang w:val="es-CR"/>
        </w:rPr>
        <w:t>administración</w:t>
      </w:r>
      <w:proofErr w:type="spellEnd"/>
      <w:r w:rsidRPr="00306C18">
        <w:rPr>
          <w:szCs w:val="20"/>
          <w:lang w:val="es-CR"/>
        </w:rPr>
        <w:t xml:space="preserve"> forzada de tratamientos </w:t>
      </w:r>
      <w:proofErr w:type="spellStart"/>
      <w:r w:rsidRPr="00306C18">
        <w:rPr>
          <w:szCs w:val="20"/>
          <w:lang w:val="es-CR"/>
        </w:rPr>
        <w:t>médicos</w:t>
      </w:r>
      <w:proofErr w:type="spellEnd"/>
      <w:r w:rsidRPr="00306C18">
        <w:rPr>
          <w:szCs w:val="20"/>
          <w:lang w:val="es-CR"/>
        </w:rPr>
        <w:t xml:space="preserve">, lo cual, no solo profundizó las barreras en su entorno que le </w:t>
      </w:r>
      <w:proofErr w:type="spellStart"/>
      <w:r w:rsidRPr="00306C18">
        <w:rPr>
          <w:szCs w:val="20"/>
          <w:lang w:val="es-CR"/>
        </w:rPr>
        <w:t>impedía</w:t>
      </w:r>
      <w:proofErr w:type="spellEnd"/>
      <w:r w:rsidRPr="00306C18">
        <w:rPr>
          <w:szCs w:val="20"/>
          <w:lang w:val="es-CR"/>
        </w:rPr>
        <w:t xml:space="preserve"> ejercer sus derechos de manera efectiva, sino que </w:t>
      </w:r>
      <w:proofErr w:type="spellStart"/>
      <w:r w:rsidRPr="00306C18">
        <w:rPr>
          <w:szCs w:val="20"/>
          <w:lang w:val="es-CR"/>
        </w:rPr>
        <w:t>además</w:t>
      </w:r>
      <w:proofErr w:type="spellEnd"/>
      <w:r w:rsidRPr="00306C18">
        <w:rPr>
          <w:szCs w:val="20"/>
          <w:lang w:val="es-CR"/>
        </w:rPr>
        <w:t xml:space="preserve"> constituyó discriminación en </w:t>
      </w:r>
      <w:proofErr w:type="spellStart"/>
      <w:r w:rsidRPr="00306C18">
        <w:rPr>
          <w:szCs w:val="20"/>
          <w:lang w:val="es-CR"/>
        </w:rPr>
        <w:t>razón</w:t>
      </w:r>
      <w:proofErr w:type="spellEnd"/>
      <w:r w:rsidRPr="00306C18">
        <w:rPr>
          <w:szCs w:val="20"/>
          <w:lang w:val="es-CR"/>
        </w:rPr>
        <w:t xml:space="preserve"> de la discapacidad.</w:t>
      </w:r>
    </w:p>
    <w:p w14:paraId="7DACEF63" w14:textId="77777777" w:rsidR="007269CF" w:rsidRPr="00306C18" w:rsidRDefault="007269CF" w:rsidP="00306C18">
      <w:pPr>
        <w:rPr>
          <w:szCs w:val="20"/>
          <w:lang w:val="es-CR"/>
        </w:rPr>
      </w:pPr>
      <w:r w:rsidRPr="00306C18">
        <w:rPr>
          <w:szCs w:val="20"/>
          <w:lang w:val="es-CR"/>
        </w:rPr>
        <w:t xml:space="preserve">174. Adicionalmente, se advierte que el Estado no adoptó medidas para enfrentar o buscar modificar el modelo de </w:t>
      </w:r>
      <w:proofErr w:type="spellStart"/>
      <w:r w:rsidRPr="00306C18">
        <w:rPr>
          <w:szCs w:val="20"/>
          <w:lang w:val="es-CR"/>
        </w:rPr>
        <w:t>sustitución</w:t>
      </w:r>
      <w:proofErr w:type="spellEnd"/>
      <w:r w:rsidRPr="00306C18">
        <w:rPr>
          <w:szCs w:val="20"/>
          <w:lang w:val="es-CR"/>
        </w:rPr>
        <w:t xml:space="preserve"> de voluntad utilizado en el presente caso, el cual impide la igualdad material de las personas con discapacidad, como la presunta </w:t>
      </w:r>
      <w:proofErr w:type="spellStart"/>
      <w:r w:rsidRPr="00306C18">
        <w:rPr>
          <w:szCs w:val="20"/>
          <w:lang w:val="es-CR"/>
        </w:rPr>
        <w:t>víctima</w:t>
      </w:r>
      <w:proofErr w:type="spellEnd"/>
      <w:r w:rsidRPr="00306C18">
        <w:rPr>
          <w:szCs w:val="20"/>
          <w:lang w:val="es-CR"/>
        </w:rPr>
        <w:t xml:space="preserve">. Sobre este punto se advierte que la </w:t>
      </w:r>
      <w:proofErr w:type="spellStart"/>
      <w:r w:rsidRPr="00306C18">
        <w:rPr>
          <w:szCs w:val="20"/>
          <w:lang w:val="es-CR"/>
        </w:rPr>
        <w:t>legislación</w:t>
      </w:r>
      <w:proofErr w:type="spellEnd"/>
      <w:r w:rsidRPr="00306C18">
        <w:rPr>
          <w:szCs w:val="20"/>
          <w:lang w:val="es-CR"/>
        </w:rPr>
        <w:t xml:space="preserve"> aplicable al momento de los hechos relativa al consentimiento informado no menciona la necesidad de brindar medidas de apoyo a las personas con discapacidad. </w:t>
      </w:r>
      <w:proofErr w:type="spellStart"/>
      <w:r w:rsidRPr="00306C18">
        <w:rPr>
          <w:szCs w:val="20"/>
          <w:lang w:val="es-CR"/>
        </w:rPr>
        <w:t>Además</w:t>
      </w:r>
      <w:proofErr w:type="spellEnd"/>
      <w:r w:rsidRPr="00306C18">
        <w:rPr>
          <w:szCs w:val="20"/>
          <w:lang w:val="es-CR"/>
        </w:rPr>
        <w:t xml:space="preserve">, la normativa del Hospital Julio Endara </w:t>
      </w:r>
      <w:proofErr w:type="spellStart"/>
      <w:r w:rsidRPr="00306C18">
        <w:rPr>
          <w:szCs w:val="20"/>
          <w:lang w:val="es-CR"/>
        </w:rPr>
        <w:t>asumía</w:t>
      </w:r>
      <w:proofErr w:type="spellEnd"/>
      <w:r w:rsidRPr="00306C18">
        <w:rPr>
          <w:szCs w:val="20"/>
          <w:lang w:val="es-CR"/>
        </w:rPr>
        <w:t xml:space="preserve"> que siempre </w:t>
      </w:r>
      <w:proofErr w:type="spellStart"/>
      <w:r w:rsidRPr="00306C18">
        <w:rPr>
          <w:szCs w:val="20"/>
          <w:lang w:val="es-CR"/>
        </w:rPr>
        <w:t>serían</w:t>
      </w:r>
      <w:proofErr w:type="spellEnd"/>
      <w:r w:rsidRPr="00306C18">
        <w:rPr>
          <w:szCs w:val="20"/>
          <w:lang w:val="es-CR"/>
        </w:rPr>
        <w:t xml:space="preserve"> los familiares quienes </w:t>
      </w:r>
      <w:proofErr w:type="spellStart"/>
      <w:r w:rsidRPr="00306C18">
        <w:rPr>
          <w:szCs w:val="20"/>
          <w:lang w:val="es-CR"/>
        </w:rPr>
        <w:t>darían</w:t>
      </w:r>
      <w:proofErr w:type="spellEnd"/>
      <w:r w:rsidRPr="00306C18">
        <w:rPr>
          <w:szCs w:val="20"/>
          <w:lang w:val="es-CR"/>
        </w:rPr>
        <w:t xml:space="preserve"> la autorización para la </w:t>
      </w:r>
      <w:proofErr w:type="spellStart"/>
      <w:r w:rsidRPr="00306C18">
        <w:rPr>
          <w:szCs w:val="20"/>
          <w:lang w:val="es-CR"/>
        </w:rPr>
        <w:t>internación</w:t>
      </w:r>
      <w:proofErr w:type="spellEnd"/>
      <w:r w:rsidRPr="00306C18">
        <w:rPr>
          <w:szCs w:val="20"/>
          <w:lang w:val="es-CR"/>
        </w:rPr>
        <w:t xml:space="preserve"> y que los pacientes solo </w:t>
      </w:r>
      <w:proofErr w:type="spellStart"/>
      <w:r w:rsidRPr="00306C18">
        <w:rPr>
          <w:szCs w:val="20"/>
          <w:lang w:val="es-CR"/>
        </w:rPr>
        <w:t>tenían</w:t>
      </w:r>
      <w:proofErr w:type="spellEnd"/>
      <w:r w:rsidRPr="00306C18">
        <w:rPr>
          <w:szCs w:val="20"/>
          <w:lang w:val="es-CR"/>
        </w:rPr>
        <w:t xml:space="preserve"> derecho a recibir </w:t>
      </w:r>
      <w:proofErr w:type="spellStart"/>
      <w:r w:rsidRPr="00306C18">
        <w:rPr>
          <w:szCs w:val="20"/>
          <w:lang w:val="es-CR"/>
        </w:rPr>
        <w:t>información</w:t>
      </w:r>
      <w:proofErr w:type="spellEnd"/>
      <w:r w:rsidRPr="00306C18">
        <w:rPr>
          <w:szCs w:val="20"/>
          <w:lang w:val="es-CR"/>
        </w:rPr>
        <w:t xml:space="preserve">, cuando el </w:t>
      </w:r>
      <w:proofErr w:type="spellStart"/>
      <w:r w:rsidRPr="00306C18">
        <w:rPr>
          <w:szCs w:val="20"/>
          <w:lang w:val="es-CR"/>
        </w:rPr>
        <w:t>médico</w:t>
      </w:r>
      <w:proofErr w:type="spellEnd"/>
      <w:r w:rsidRPr="00306C18">
        <w:rPr>
          <w:szCs w:val="20"/>
          <w:lang w:val="es-CR"/>
        </w:rPr>
        <w:t xml:space="preserve"> tratante lo considerara pertinente. Al respecto, la Corte nota que el </w:t>
      </w:r>
      <w:proofErr w:type="spellStart"/>
      <w:r w:rsidRPr="00306C18">
        <w:rPr>
          <w:szCs w:val="20"/>
          <w:lang w:val="es-CR"/>
        </w:rPr>
        <w:t>Comite</w:t>
      </w:r>
      <w:proofErr w:type="spellEnd"/>
      <w:r w:rsidRPr="00306C18">
        <w:rPr>
          <w:szCs w:val="20"/>
          <w:lang w:val="es-CR"/>
        </w:rPr>
        <w:t>́ sobre los Derechos de las Personas con Discapacidad en sus Observaciones finales sobre Ecuador en 2014 resaltó que:</w:t>
      </w:r>
    </w:p>
    <w:p w14:paraId="6E689529" w14:textId="0F08F853" w:rsidR="007269CF" w:rsidRPr="00306C18" w:rsidRDefault="007269CF" w:rsidP="00306C18">
      <w:pPr>
        <w:pStyle w:val="Citacuerpo"/>
        <w:rPr>
          <w:lang w:val="es-CR"/>
        </w:rPr>
      </w:pPr>
      <w:r w:rsidRPr="00306C18">
        <w:rPr>
          <w:lang w:val="es-CR"/>
        </w:rPr>
        <w:t xml:space="preserve">Preocupa al </w:t>
      </w:r>
      <w:proofErr w:type="spellStart"/>
      <w:r w:rsidRPr="00306C18">
        <w:rPr>
          <w:lang w:val="es-CR"/>
        </w:rPr>
        <w:t>Comite</w:t>
      </w:r>
      <w:proofErr w:type="spellEnd"/>
      <w:r w:rsidRPr="00306C18">
        <w:rPr>
          <w:lang w:val="es-CR"/>
        </w:rPr>
        <w:t xml:space="preserve">́ que la </w:t>
      </w:r>
      <w:proofErr w:type="spellStart"/>
      <w:r w:rsidRPr="00306C18">
        <w:rPr>
          <w:lang w:val="es-CR"/>
        </w:rPr>
        <w:t>legislación</w:t>
      </w:r>
      <w:proofErr w:type="spellEnd"/>
      <w:r w:rsidRPr="00306C18">
        <w:rPr>
          <w:lang w:val="es-CR"/>
        </w:rPr>
        <w:t xml:space="preserve"> civil del Estado parte prevea el modelo de </w:t>
      </w:r>
      <w:proofErr w:type="spellStart"/>
      <w:r w:rsidRPr="00306C18">
        <w:rPr>
          <w:lang w:val="es-CR"/>
        </w:rPr>
        <w:t>sustitución</w:t>
      </w:r>
      <w:proofErr w:type="spellEnd"/>
      <w:r w:rsidRPr="00306C18">
        <w:rPr>
          <w:lang w:val="es-CR"/>
        </w:rPr>
        <w:t xml:space="preserve"> de la voluntad mediante la </w:t>
      </w:r>
      <w:proofErr w:type="spellStart"/>
      <w:r w:rsidRPr="00306C18">
        <w:rPr>
          <w:lang w:val="es-CR"/>
        </w:rPr>
        <w:t>incorporación</w:t>
      </w:r>
      <w:proofErr w:type="spellEnd"/>
      <w:r w:rsidRPr="00306C18">
        <w:rPr>
          <w:lang w:val="es-CR"/>
        </w:rPr>
        <w:t xml:space="preserve"> de figuras como la tutela y la curatela y que no exista un programa inmediato para reformar el </w:t>
      </w:r>
      <w:proofErr w:type="spellStart"/>
      <w:r w:rsidRPr="00306C18">
        <w:rPr>
          <w:lang w:val="es-CR"/>
        </w:rPr>
        <w:t>Código</w:t>
      </w:r>
      <w:proofErr w:type="spellEnd"/>
      <w:r w:rsidRPr="00306C18">
        <w:rPr>
          <w:lang w:val="es-CR"/>
        </w:rPr>
        <w:t xml:space="preserve"> Civil y el </w:t>
      </w:r>
      <w:proofErr w:type="spellStart"/>
      <w:r w:rsidRPr="00306C18">
        <w:rPr>
          <w:lang w:val="es-CR"/>
        </w:rPr>
        <w:t>Código</w:t>
      </w:r>
      <w:proofErr w:type="spellEnd"/>
      <w:r w:rsidRPr="00306C18">
        <w:rPr>
          <w:lang w:val="es-CR"/>
        </w:rPr>
        <w:t xml:space="preserve"> de Procedimientos Civiles a efecto de incorporar el modelo de toma de decisiones con apoyo, tal como lo recomienda la </w:t>
      </w:r>
      <w:proofErr w:type="spellStart"/>
      <w:r w:rsidRPr="00306C18">
        <w:rPr>
          <w:lang w:val="es-CR"/>
        </w:rPr>
        <w:t>Observación</w:t>
      </w:r>
      <w:proofErr w:type="spellEnd"/>
      <w:r w:rsidRPr="00306C18">
        <w:rPr>
          <w:lang w:val="es-CR"/>
        </w:rPr>
        <w:t xml:space="preserve"> general </w:t>
      </w:r>
      <w:proofErr w:type="spellStart"/>
      <w:r w:rsidRPr="00306C18">
        <w:rPr>
          <w:lang w:val="es-CR"/>
        </w:rPr>
        <w:t>N.o</w:t>
      </w:r>
      <w:proofErr w:type="spellEnd"/>
      <w:r w:rsidRPr="00306C18">
        <w:rPr>
          <w:lang w:val="es-CR"/>
        </w:rPr>
        <w:t xml:space="preserve"> 1 (2014) sobre igual reconocimiento como persona ante la ley.</w:t>
      </w:r>
    </w:p>
    <w:p w14:paraId="3D2F2AD3" w14:textId="77777777" w:rsidR="007269CF" w:rsidRPr="00306C18" w:rsidRDefault="007269CF" w:rsidP="00306C18">
      <w:pPr>
        <w:rPr>
          <w:szCs w:val="20"/>
          <w:lang w:val="es-CR"/>
        </w:rPr>
      </w:pPr>
      <w:r w:rsidRPr="00306C18">
        <w:rPr>
          <w:szCs w:val="20"/>
          <w:lang w:val="es-CR"/>
        </w:rPr>
        <w:t xml:space="preserve">175. En el mismo sentido, en sus Observaciones finales sobre Ecuador en 2010 </w:t>
      </w:r>
      <w:proofErr w:type="spellStart"/>
      <w:r w:rsidRPr="00306C18">
        <w:rPr>
          <w:szCs w:val="20"/>
          <w:lang w:val="es-CR"/>
        </w:rPr>
        <w:t>recomendo</w:t>
      </w:r>
      <w:proofErr w:type="spellEnd"/>
      <w:r w:rsidRPr="00306C18">
        <w:rPr>
          <w:szCs w:val="20"/>
          <w:lang w:val="es-CR"/>
        </w:rPr>
        <w:t>́ al Estado, entre otros:</w:t>
      </w:r>
    </w:p>
    <w:p w14:paraId="558AADE7" w14:textId="7F9013BF" w:rsidR="007269CF" w:rsidRPr="00306C18" w:rsidRDefault="007269CF" w:rsidP="00306C18">
      <w:pPr>
        <w:pStyle w:val="Citacuerpo"/>
        <w:rPr>
          <w:lang w:val="es-CR"/>
        </w:rPr>
      </w:pPr>
      <w:r w:rsidRPr="00306C18">
        <w:rPr>
          <w:lang w:val="es-CR"/>
        </w:rPr>
        <w:t xml:space="preserve">Reemplace los sistemas de toma de decisiones sustituida, incluidas la tutela y curatela, con sistemas de apoyo para la toma de decisiones; tome todas las </w:t>
      </w:r>
      <w:r w:rsidRPr="00306C18">
        <w:rPr>
          <w:lang w:val="es-CR"/>
        </w:rPr>
        <w:lastRenderedPageBreak/>
        <w:t>medidas apropiadas para el apoyo individualizado; informe adecuadamente a las personas con discapacidad sobre tales alternativas, y capacite al personal involucrado, de conformidad con el artículo 12 de la Convención.</w:t>
      </w:r>
    </w:p>
    <w:p w14:paraId="443E5B2C" w14:textId="5E165976" w:rsidR="007269CF" w:rsidRPr="00306C18" w:rsidRDefault="007269CF" w:rsidP="00306C18">
      <w:pPr>
        <w:rPr>
          <w:szCs w:val="20"/>
          <w:lang w:val="es-CR"/>
        </w:rPr>
      </w:pPr>
      <w:r w:rsidRPr="00306C18">
        <w:rPr>
          <w:szCs w:val="20"/>
          <w:lang w:val="es-CR"/>
        </w:rPr>
        <w:t xml:space="preserve">176. Por otra parte, la Ley sobre Discapacidades, </w:t>
      </w:r>
      <w:proofErr w:type="spellStart"/>
      <w:r w:rsidRPr="00306C18">
        <w:rPr>
          <w:szCs w:val="20"/>
          <w:lang w:val="es-CR"/>
        </w:rPr>
        <w:t>establecía</w:t>
      </w:r>
      <w:proofErr w:type="spellEnd"/>
      <w:r w:rsidRPr="00306C18">
        <w:rPr>
          <w:szCs w:val="20"/>
          <w:lang w:val="es-CR"/>
        </w:rPr>
        <w:t xml:space="preserve"> que: “El Estado a través de sus organismos y entidades garantiza el pleno ejercicio de los derechos que la </w:t>
      </w:r>
      <w:proofErr w:type="spellStart"/>
      <w:r w:rsidRPr="00306C18">
        <w:rPr>
          <w:szCs w:val="20"/>
          <w:lang w:val="es-CR"/>
        </w:rPr>
        <w:t>Constitución</w:t>
      </w:r>
      <w:proofErr w:type="spellEnd"/>
      <w:r w:rsidRPr="00306C18">
        <w:rPr>
          <w:szCs w:val="20"/>
          <w:lang w:val="es-CR"/>
        </w:rPr>
        <w:t xml:space="preserve"> y las leyes reconocen a todas las personas con discapacidad, mediante [... la] </w:t>
      </w:r>
      <w:proofErr w:type="spellStart"/>
      <w:r w:rsidRPr="00306C18">
        <w:rPr>
          <w:szCs w:val="20"/>
          <w:lang w:val="es-CR"/>
        </w:rPr>
        <w:t>eliminación</w:t>
      </w:r>
      <w:proofErr w:type="spellEnd"/>
      <w:r w:rsidRPr="00306C18">
        <w:rPr>
          <w:szCs w:val="20"/>
          <w:lang w:val="es-CR"/>
        </w:rPr>
        <w:t xml:space="preserve"> de barreras </w:t>
      </w:r>
      <w:proofErr w:type="spellStart"/>
      <w:r w:rsidRPr="00306C18">
        <w:rPr>
          <w:szCs w:val="20"/>
          <w:lang w:val="es-CR"/>
        </w:rPr>
        <w:t>físicas</w:t>
      </w:r>
      <w:proofErr w:type="spellEnd"/>
      <w:r w:rsidRPr="00306C18">
        <w:rPr>
          <w:szCs w:val="20"/>
          <w:lang w:val="es-CR"/>
        </w:rPr>
        <w:t xml:space="preserve">, </w:t>
      </w:r>
      <w:proofErr w:type="spellStart"/>
      <w:r w:rsidRPr="00306C18">
        <w:rPr>
          <w:szCs w:val="20"/>
          <w:lang w:val="es-CR"/>
        </w:rPr>
        <w:t>psicológicas</w:t>
      </w:r>
      <w:proofErr w:type="spellEnd"/>
      <w:r w:rsidRPr="00306C18">
        <w:rPr>
          <w:szCs w:val="20"/>
          <w:lang w:val="es-CR"/>
        </w:rPr>
        <w:t xml:space="preserve">, sociales y comunicacionales”, entre otras acciones. Sin embargo, no queda claro si la </w:t>
      </w:r>
      <w:proofErr w:type="spellStart"/>
      <w:r w:rsidRPr="00306C18">
        <w:rPr>
          <w:szCs w:val="20"/>
          <w:lang w:val="es-CR"/>
        </w:rPr>
        <w:t>eliminación</w:t>
      </w:r>
      <w:proofErr w:type="spellEnd"/>
      <w:r w:rsidRPr="00306C18">
        <w:rPr>
          <w:szCs w:val="20"/>
          <w:lang w:val="es-CR"/>
        </w:rPr>
        <w:t xml:space="preserve"> de dichas barreras </w:t>
      </w:r>
      <w:proofErr w:type="spellStart"/>
      <w:r w:rsidRPr="00306C18">
        <w:rPr>
          <w:szCs w:val="20"/>
          <w:lang w:val="es-CR"/>
        </w:rPr>
        <w:t>incluiría</w:t>
      </w:r>
      <w:proofErr w:type="spellEnd"/>
      <w:r w:rsidRPr="00306C18">
        <w:rPr>
          <w:szCs w:val="20"/>
          <w:lang w:val="es-CR"/>
        </w:rPr>
        <w:t xml:space="preserve"> la necesidad de brindar apoyos al momento de solicitar un consentimiento informado.</w:t>
      </w:r>
    </w:p>
    <w:p w14:paraId="7226353B" w14:textId="4ABF494E" w:rsidR="007269CF" w:rsidRDefault="007269CF" w:rsidP="00306C18">
      <w:pPr>
        <w:rPr>
          <w:szCs w:val="20"/>
          <w:lang w:val="es-CR"/>
        </w:rPr>
      </w:pPr>
      <w:r w:rsidRPr="00306C18">
        <w:rPr>
          <w:szCs w:val="20"/>
          <w:lang w:val="es-CR"/>
        </w:rPr>
        <w:t xml:space="preserve">177. Adicionalmente, esta Corte advierte que, tomando en cuenta las circunstancias particulares del presente caso </w:t>
      </w:r>
      <w:r w:rsidR="005B7B62">
        <w:rPr>
          <w:szCs w:val="20"/>
          <w:lang w:val="es-CR"/>
        </w:rPr>
        <w:t>[...]</w:t>
      </w:r>
      <w:r w:rsidRPr="00306C18">
        <w:rPr>
          <w:szCs w:val="20"/>
          <w:lang w:val="es-CR"/>
        </w:rPr>
        <w:t xml:space="preserve">, los ajustes razonables necesarios para lograr la igualdad material </w:t>
      </w:r>
      <w:proofErr w:type="spellStart"/>
      <w:r w:rsidRPr="00306C18">
        <w:rPr>
          <w:szCs w:val="20"/>
          <w:lang w:val="es-CR"/>
        </w:rPr>
        <w:t>requerían</w:t>
      </w:r>
      <w:proofErr w:type="spellEnd"/>
      <w:r w:rsidRPr="00306C18">
        <w:rPr>
          <w:szCs w:val="20"/>
          <w:lang w:val="es-CR"/>
        </w:rPr>
        <w:t xml:space="preserve"> una atención preferente al </w:t>
      </w:r>
      <w:proofErr w:type="spellStart"/>
      <w:r w:rsidRPr="00306C18">
        <w:rPr>
          <w:szCs w:val="20"/>
          <w:lang w:val="es-CR"/>
        </w:rPr>
        <w:t>señor</w:t>
      </w:r>
      <w:proofErr w:type="spellEnd"/>
      <w:r w:rsidRPr="00306C18">
        <w:rPr>
          <w:szCs w:val="20"/>
          <w:lang w:val="es-CR"/>
        </w:rPr>
        <w:t xml:space="preserve"> </w:t>
      </w:r>
      <w:proofErr w:type="spellStart"/>
      <w:r w:rsidRPr="00306C18">
        <w:rPr>
          <w:szCs w:val="20"/>
          <w:lang w:val="es-CR"/>
        </w:rPr>
        <w:t>Guachala</w:t>
      </w:r>
      <w:proofErr w:type="spellEnd"/>
      <w:r w:rsidRPr="00306C18">
        <w:rPr>
          <w:szCs w:val="20"/>
          <w:lang w:val="es-CR"/>
        </w:rPr>
        <w:t xml:space="preserve">́ mediante el proveimiento gratuito de los medicamentos prescritos para su tratamiento </w:t>
      </w:r>
      <w:proofErr w:type="spellStart"/>
      <w:r w:rsidRPr="00306C18">
        <w:rPr>
          <w:szCs w:val="20"/>
          <w:lang w:val="es-CR"/>
        </w:rPr>
        <w:t>médico</w:t>
      </w:r>
      <w:proofErr w:type="spellEnd"/>
      <w:r w:rsidRPr="00306C18">
        <w:rPr>
          <w:szCs w:val="20"/>
          <w:lang w:val="es-CR"/>
        </w:rPr>
        <w:t xml:space="preserve"> y el seguimiento </w:t>
      </w:r>
      <w:proofErr w:type="spellStart"/>
      <w:r w:rsidRPr="00306C18">
        <w:rPr>
          <w:szCs w:val="20"/>
          <w:lang w:val="es-CR"/>
        </w:rPr>
        <w:t>médico</w:t>
      </w:r>
      <w:proofErr w:type="spellEnd"/>
      <w:r w:rsidRPr="00306C18">
        <w:rPr>
          <w:szCs w:val="20"/>
          <w:lang w:val="es-CR"/>
        </w:rPr>
        <w:t xml:space="preserve"> adecuado. Al no otorgarle dichos medicamentos, no se tomaron las medidas necesarias para prevenir la </w:t>
      </w:r>
      <w:proofErr w:type="spellStart"/>
      <w:r w:rsidRPr="00306C18">
        <w:rPr>
          <w:szCs w:val="20"/>
          <w:lang w:val="es-CR"/>
        </w:rPr>
        <w:t>aparición</w:t>
      </w:r>
      <w:proofErr w:type="spellEnd"/>
      <w:r w:rsidRPr="00306C18">
        <w:rPr>
          <w:szCs w:val="20"/>
          <w:lang w:val="es-CR"/>
        </w:rPr>
        <w:t xml:space="preserve"> de discapacidades y reducir las posibilidades del aumento de las mismas.</w:t>
      </w:r>
    </w:p>
    <w:p w14:paraId="0048A1C3" w14:textId="4C5F507E" w:rsidR="007269CF" w:rsidRDefault="007269CF" w:rsidP="00306C18">
      <w:pPr>
        <w:rPr>
          <w:szCs w:val="20"/>
          <w:lang w:val="es-CR"/>
        </w:rPr>
      </w:pPr>
      <w:r w:rsidRPr="00306C18">
        <w:rPr>
          <w:szCs w:val="20"/>
          <w:lang w:val="es-CR"/>
        </w:rPr>
        <w:t xml:space="preserve">178. En suma, la Corte encuentra que la </w:t>
      </w:r>
      <w:proofErr w:type="spellStart"/>
      <w:r w:rsidRPr="00306C18">
        <w:rPr>
          <w:szCs w:val="20"/>
          <w:lang w:val="es-CR"/>
        </w:rPr>
        <w:t>utilización</w:t>
      </w:r>
      <w:proofErr w:type="spellEnd"/>
      <w:r w:rsidRPr="00306C18">
        <w:rPr>
          <w:szCs w:val="20"/>
          <w:lang w:val="es-CR"/>
        </w:rPr>
        <w:t xml:space="preserve"> de la discapacidad de la presunta </w:t>
      </w:r>
      <w:proofErr w:type="spellStart"/>
      <w:r w:rsidRPr="00306C18">
        <w:rPr>
          <w:szCs w:val="20"/>
          <w:lang w:val="es-CR"/>
        </w:rPr>
        <w:t>víctima</w:t>
      </w:r>
      <w:proofErr w:type="spellEnd"/>
      <w:r w:rsidRPr="00306C18">
        <w:rPr>
          <w:szCs w:val="20"/>
          <w:lang w:val="es-CR"/>
        </w:rPr>
        <w:t xml:space="preserve"> para justificar que era innecesario su consentimiento informado para el internamiento y </w:t>
      </w:r>
      <w:proofErr w:type="spellStart"/>
      <w:r w:rsidRPr="00306C18">
        <w:rPr>
          <w:szCs w:val="20"/>
          <w:lang w:val="es-CR"/>
        </w:rPr>
        <w:t>medicación</w:t>
      </w:r>
      <w:proofErr w:type="spellEnd"/>
      <w:r w:rsidRPr="00306C18">
        <w:rPr>
          <w:szCs w:val="20"/>
          <w:lang w:val="es-CR"/>
        </w:rPr>
        <w:t xml:space="preserve">, y la falta de acceso a los medicamentos necesarios, constituyó discriminación en </w:t>
      </w:r>
      <w:proofErr w:type="spellStart"/>
      <w:r w:rsidRPr="00306C18">
        <w:rPr>
          <w:szCs w:val="20"/>
          <w:lang w:val="es-CR"/>
        </w:rPr>
        <w:t>razón</w:t>
      </w:r>
      <w:proofErr w:type="spellEnd"/>
      <w:r w:rsidRPr="00306C18">
        <w:rPr>
          <w:szCs w:val="20"/>
          <w:lang w:val="es-CR"/>
        </w:rPr>
        <w:t xml:space="preserve"> de la discapacidad. Por tanto, el Estado no adoptó medidas dirigidas a garantizar la igualdad material en el derecho a la salud respecto de las personas con discapacidad y, en particular, respecto de Luis Eduardo </w:t>
      </w:r>
      <w:proofErr w:type="spellStart"/>
      <w:r w:rsidRPr="00306C18">
        <w:rPr>
          <w:szCs w:val="20"/>
          <w:lang w:val="es-CR"/>
        </w:rPr>
        <w:t>Guachala</w:t>
      </w:r>
      <w:proofErr w:type="spellEnd"/>
      <w:r w:rsidRPr="00306C18">
        <w:rPr>
          <w:szCs w:val="20"/>
          <w:lang w:val="es-CR"/>
        </w:rPr>
        <w:t xml:space="preserve">́ Chimbo. Esta situación implica que, en el presente caso, no se garantizó el derecho a la salud sin discriminación, </w:t>
      </w:r>
      <w:proofErr w:type="spellStart"/>
      <w:r w:rsidRPr="00306C18">
        <w:rPr>
          <w:szCs w:val="20"/>
          <w:lang w:val="es-CR"/>
        </w:rPr>
        <w:t>asi</w:t>
      </w:r>
      <w:proofErr w:type="spellEnd"/>
      <w:r w:rsidRPr="00306C18">
        <w:rPr>
          <w:szCs w:val="20"/>
          <w:lang w:val="es-CR"/>
        </w:rPr>
        <w:t xml:space="preserve">́ como el derecho a la igualdad previstos en los </w:t>
      </w:r>
      <w:proofErr w:type="spellStart"/>
      <w:r w:rsidRPr="00306C18">
        <w:rPr>
          <w:szCs w:val="20"/>
          <w:lang w:val="es-CR"/>
        </w:rPr>
        <w:t>artículos</w:t>
      </w:r>
      <w:proofErr w:type="spellEnd"/>
      <w:r w:rsidRPr="00306C18">
        <w:rPr>
          <w:szCs w:val="20"/>
          <w:lang w:val="es-CR"/>
        </w:rPr>
        <w:t xml:space="preserve"> 24 y 26, en </w:t>
      </w:r>
      <w:proofErr w:type="spellStart"/>
      <w:r w:rsidRPr="00306C18">
        <w:rPr>
          <w:szCs w:val="20"/>
          <w:lang w:val="es-CR"/>
        </w:rPr>
        <w:t>relación</w:t>
      </w:r>
      <w:proofErr w:type="spellEnd"/>
      <w:r w:rsidRPr="00306C18">
        <w:rPr>
          <w:szCs w:val="20"/>
          <w:lang w:val="es-CR"/>
        </w:rPr>
        <w:t xml:space="preserve"> con el artículo 1.1 de la Convención.</w:t>
      </w:r>
    </w:p>
    <w:p w14:paraId="7F9FCD1C" w14:textId="4E1E9BE3" w:rsidR="00144A80" w:rsidRDefault="00144A80" w:rsidP="00144A80">
      <w:pPr>
        <w:pStyle w:val="Caso"/>
        <w:rPr>
          <w:lang w:val="es-CR"/>
        </w:rPr>
      </w:pPr>
      <w:r w:rsidRPr="00144A80">
        <w:rPr>
          <w:lang w:val="es-CR"/>
        </w:rPr>
        <w:t>Corte IDH. Derechos a la libertad sindical, negociación colectiva y huelga, y su relación con otros derechos, con perspectiva de género (interpretación y alcance de los artículos 13, 15, 16, 24, 25 y 26, en relación con los artículos 1.1 y 2 de la Convención Americana sobre Derechos Humanos, de los artículos 3, 6, 7 y 8 del Protocolo de San Salvador, de los artículos 2, 3, 4, 5 y 6 de la Convención de Belem do Pará, de los artículos 34, 44 y 45 de la Carta de la Organización de los Estados Americanos, y de los artículos II, IV, XIV, XXI y XXII de la Declaración Americana de los Derechos y Deberes del Hombre). Opinión Consultiva OC-27/21 de 5 de mayo de 2021. Serie A No. 27</w:t>
      </w:r>
    </w:p>
    <w:p w14:paraId="08A9A12E" w14:textId="77777777" w:rsidR="00144A80" w:rsidRPr="00144A80" w:rsidRDefault="00144A80" w:rsidP="00144A80">
      <w:pPr>
        <w:rPr>
          <w:szCs w:val="20"/>
          <w:lang w:val="es-CR"/>
        </w:rPr>
      </w:pPr>
      <w:r w:rsidRPr="00144A80">
        <w:rPr>
          <w:szCs w:val="20"/>
          <w:lang w:val="es-CR"/>
        </w:rPr>
        <w:t>154.</w:t>
      </w:r>
      <w:r w:rsidRPr="00144A80">
        <w:rPr>
          <w:szCs w:val="20"/>
          <w:lang w:val="es-CR"/>
        </w:rPr>
        <w:tab/>
        <w:t>En este sentido, la Corte ha establecido que el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El incumplimiento por el Estado de la obligación general de respetar y garantizar los derechos humanos, mediante cualquier trato diferente que pueda resultar discriminatorio, es decir, que no persiga finalidades legítimas, sea innecesario y/o desproporcionado, le genera responsabilidad internacional. Es por ello que existe un vínculo indisoluble entre la obligación de respetar y garantizar los derechos humanos y el principio de igualdad y no discriminación.</w:t>
      </w:r>
    </w:p>
    <w:p w14:paraId="6E9928F7" w14:textId="6D398C0C" w:rsidR="00144A80" w:rsidRPr="00144A80" w:rsidRDefault="00144A80" w:rsidP="00144A80">
      <w:pPr>
        <w:rPr>
          <w:szCs w:val="20"/>
          <w:lang w:val="es-CR"/>
        </w:rPr>
      </w:pPr>
      <w:r w:rsidRPr="00144A80">
        <w:rPr>
          <w:szCs w:val="20"/>
          <w:lang w:val="es-CR"/>
        </w:rPr>
        <w:t>156.</w:t>
      </w:r>
      <w:r w:rsidRPr="00144A80">
        <w:rPr>
          <w:szCs w:val="20"/>
          <w:lang w:val="es-CR"/>
        </w:rPr>
        <w:tab/>
        <w:t xml:space="preserve">Por otra parte, mientras que la obligación general del artículo 1.1 se refiere al deber del Estado de respetar y garantizar “sin discriminación” los derechos contenidos en la Convención Americana, el artículo 24 protege el derecho a “igual </w:t>
      </w:r>
      <w:r w:rsidRPr="00144A80">
        <w:rPr>
          <w:szCs w:val="20"/>
          <w:lang w:val="es-CR"/>
        </w:rPr>
        <w:lastRenderedPageBreak/>
        <w:t>protección de la ley”. Es decir, el artículo 24 de la Convención Americana prohíbe la discriminación de derecho, no sólo en cuanto a los derechos contenidos en dicho tratado, sino en lo que respecta a todas las leyes que apruebe el Estado y a su aplicación.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 la Convención. Por otra parte, la Corte ha señalado que del artículo 24 de la Convención se desprende un mandato orientado a garantizar la igualdad material.</w:t>
      </w:r>
      <w:r w:rsidR="00063918">
        <w:rPr>
          <w:szCs w:val="20"/>
          <w:lang w:val="es-CR"/>
        </w:rPr>
        <w:t xml:space="preserve"> </w:t>
      </w:r>
      <w:r w:rsidR="00063918" w:rsidRPr="00063918">
        <w:rPr>
          <w:szCs w:val="20"/>
          <w:lang w:val="es-CR"/>
        </w:rPr>
        <w:t xml:space="preserve">En similar sentido, ver entre otros: </w:t>
      </w:r>
      <w:r w:rsidR="00063918" w:rsidRPr="00063918">
        <w:rPr>
          <w:rStyle w:val="EnelmismoCar"/>
          <w:lang w:val="es-CR"/>
        </w:rPr>
        <w:t>Corte IDH. Caso Barbosa de Souza y otros Vs. Brasil. Excepciones preliminares, Fondo, Reparaciones y Costas. Sentencia de 7 de septiembre de 2021. Serie C No. 435</w:t>
      </w:r>
      <w:r w:rsidR="00063918" w:rsidRPr="00063918">
        <w:rPr>
          <w:rStyle w:val="EnelmismoCar"/>
        </w:rPr>
        <w:t>, párr. 140.</w:t>
      </w:r>
    </w:p>
    <w:p w14:paraId="04C581F9" w14:textId="77777777" w:rsidR="00144A80" w:rsidRPr="00144A80" w:rsidRDefault="00144A80" w:rsidP="00144A80">
      <w:pPr>
        <w:rPr>
          <w:szCs w:val="20"/>
          <w:lang w:val="es-CR"/>
        </w:rPr>
      </w:pPr>
      <w:r w:rsidRPr="00144A80">
        <w:rPr>
          <w:szCs w:val="20"/>
          <w:lang w:val="es-CR"/>
        </w:rPr>
        <w:t>157.</w:t>
      </w:r>
      <w:r w:rsidRPr="00144A80">
        <w:rPr>
          <w:szCs w:val="20"/>
          <w:lang w:val="es-CR"/>
        </w:rPr>
        <w:tab/>
        <w:t>En ese sentido, el derecho a la igualdad, garantizado por el artículo 24 convencional, tiene dos dimensiones. La primera, una dimensión formal, que establece la igualdad ante la ley. La segunda, una dimensión material o sustancial, que ordena la adopción de medidas positivas de promoción a favor de grupos históricamente discriminados o marginados en razón de los factores a los que hace referencia el artículo 1.1 de la Convención Americana. Lo anterior quiere decir que el derecho a la igualdad implica la obligación de adoptar medidas para garantizar que dicha igualdad sea real y efectiva, esto es, que se dirija a corregir las desigualdades existentes, promover la inclusión y la participación de los grupos históricamente marginados, y garantizar a las personas o grupos en desventaja el goce efectivo de sus derechos. En suma, brindar a las personas posibilidades concretas de ver realizada, en sus propios casos, la igualdad material. Para ello, los Estados deben enfrentar activamente situaciones de exclusión y marginación.</w:t>
      </w:r>
    </w:p>
    <w:p w14:paraId="2817D2D9" w14:textId="77777777" w:rsidR="00144A80" w:rsidRPr="00144A80" w:rsidRDefault="00144A80" w:rsidP="00144A80">
      <w:pPr>
        <w:rPr>
          <w:szCs w:val="20"/>
          <w:lang w:val="es-CR"/>
        </w:rPr>
      </w:pPr>
      <w:r w:rsidRPr="00144A80">
        <w:rPr>
          <w:szCs w:val="20"/>
          <w:lang w:val="es-CR"/>
        </w:rPr>
        <w:t>158.</w:t>
      </w:r>
      <w:r w:rsidRPr="00144A80">
        <w:rPr>
          <w:szCs w:val="20"/>
          <w:lang w:val="es-CR"/>
        </w:rPr>
        <w:tab/>
        <w:t>De esta forma, el derecho a la igualdad y no discriminación abarca dos concepciones: una relacionada con la prohibición de diferencias de trato arbitrarias, y una relacionada con la obligación de los Estados de crear condiciones de igualdad real frente a grupos que han sido históricamente excluidos o que se encuentran en mayor riesgo de ser discriminados.</w:t>
      </w:r>
    </w:p>
    <w:p w14:paraId="35009ACF" w14:textId="77777777" w:rsidR="00144A80" w:rsidRPr="00144A80" w:rsidRDefault="00144A80" w:rsidP="00144A80">
      <w:pPr>
        <w:rPr>
          <w:szCs w:val="20"/>
          <w:lang w:val="es-CR"/>
        </w:rPr>
      </w:pPr>
      <w:r w:rsidRPr="00144A80">
        <w:rPr>
          <w:szCs w:val="20"/>
          <w:lang w:val="es-CR"/>
        </w:rPr>
        <w:t>159.</w:t>
      </w:r>
      <w:r w:rsidRPr="00144A80">
        <w:rPr>
          <w:szCs w:val="20"/>
          <w:lang w:val="es-CR"/>
        </w:rPr>
        <w:tab/>
        <w:t>Respecto de la primera concepción, la Corte advierte que no toda diferencia de trato será reputada discriminatoria, sino solo aquella que se base en criterios que no puedan ser racionalmente apreciados como objetivos y razonables, es decir, cuando no persigue un fin legítimo y no existe una relación razonable de proporcionalidad entre los medios utilizados y el fin perseguido. Asimismo, en casos de tratos diferentes desfavorables, cuando el criterio diferenciador se corresponde con uno de aquellos protegidos por el artículo 1.1 de la Convención, que aluden a: i) rasgos permanentes de las personas de los cuales éstas no pueden prescindir sin perder su identidad; ii) grupos tradicionalmente marginados, excluidos o subordinados, y iii) criterios irrelevantes para una distribución equitativa de bienes, derechos o cargas sociales, la Corte se encuentra ante un indicio de que el Estado ha obrado con arbitrariedad.</w:t>
      </w:r>
    </w:p>
    <w:p w14:paraId="074F2C69" w14:textId="733FD814" w:rsidR="00144A80" w:rsidRPr="00BB63D0" w:rsidRDefault="00144A80" w:rsidP="00144A80">
      <w:pPr>
        <w:rPr>
          <w:szCs w:val="20"/>
          <w:lang w:val="es-CR"/>
        </w:rPr>
      </w:pPr>
      <w:r w:rsidRPr="00144A80">
        <w:rPr>
          <w:szCs w:val="20"/>
          <w:lang w:val="es-CR"/>
        </w:rPr>
        <w:t>160.</w:t>
      </w:r>
      <w:r w:rsidRPr="00144A80">
        <w:rPr>
          <w:szCs w:val="20"/>
          <w:lang w:val="es-CR"/>
        </w:rPr>
        <w:tab/>
        <w:t>Respecto a la segunda,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 En ese sentido, este Tribunal destaca que en los Objetivos de Desarrollo Sostenible se afirma que “[l]a igualdad de género no es solo un derecho fundamental, sino que es uno de los fundamentos esenciales para construir un mundo pacífico, próspero y sostenible”.</w:t>
      </w:r>
    </w:p>
    <w:p w14:paraId="237FBA2F" w14:textId="4B8564EA" w:rsidR="007269CF" w:rsidRPr="00BB63D0" w:rsidRDefault="007269CF" w:rsidP="009C67ED">
      <w:pPr>
        <w:pStyle w:val="Ttulo2"/>
      </w:pPr>
      <w:bookmarkStart w:id="3" w:name="_Toc89017866"/>
      <w:r w:rsidRPr="00BB63D0">
        <w:lastRenderedPageBreak/>
        <w:t>Distinción entre una diferencia objetiva y razonable, y la discriminación</w:t>
      </w:r>
      <w:bookmarkEnd w:id="3"/>
      <w:r w:rsidRPr="00BB63D0">
        <w:t xml:space="preserve"> </w:t>
      </w:r>
    </w:p>
    <w:p w14:paraId="761657E4" w14:textId="77777777" w:rsidR="007269CF" w:rsidRPr="00BB63D0" w:rsidRDefault="007269CF" w:rsidP="00BB63D0">
      <w:pPr>
        <w:pStyle w:val="Sinespaciado"/>
        <w:rPr>
          <w:szCs w:val="20"/>
        </w:rPr>
      </w:pPr>
    </w:p>
    <w:p w14:paraId="5236B638" w14:textId="77777777" w:rsidR="007269CF" w:rsidRPr="00BB63D0" w:rsidRDefault="007269CF" w:rsidP="009C67ED">
      <w:pPr>
        <w:pStyle w:val="Caso"/>
      </w:pPr>
      <w:r w:rsidRPr="00BB63D0">
        <w:t>Corte IDH. Propuesta de modificación a la Constitución Política de Costa Rica relacionada con la naturalización. Opinión Consultiva OC-4/84 de 19 de enero de 1984. Serie A No. 4</w:t>
      </w:r>
    </w:p>
    <w:p w14:paraId="17F96DDE" w14:textId="01616087" w:rsidR="007269CF" w:rsidRPr="00BB63D0" w:rsidRDefault="007269CF" w:rsidP="00BB63D0">
      <w:pPr>
        <w:rPr>
          <w:b/>
          <w:szCs w:val="20"/>
        </w:rPr>
      </w:pPr>
      <w:r w:rsidRPr="00BB63D0">
        <w:rPr>
          <w:szCs w:val="20"/>
        </w:rPr>
        <w:t xml:space="preserve">56. </w:t>
      </w:r>
      <w:r w:rsidRPr="00BB63D0">
        <w:rPr>
          <w:szCs w:val="20"/>
        </w:rPr>
        <w:tab/>
        <w:t xml:space="preserve">Sin embargo, por lo mismo que la igualdad y la no discriminación se desprenden de la idea de unidad de dignidad y naturaleza de la persona es preciso concluir que no todo tratamiento jurídico diferente es propiamente discriminatorio, porque no toda distinción de trato puede considerarse ofensiva, por sí misma, de la dignidad humana. Ya la Corte Europea de Derechos Humanos basándose "en los principios que pueden deducirse de la práctica jurídica de un gran número de Estados democráticos" definió que sólo es discriminatoria una distinción cuando </w:t>
      </w:r>
      <w:r w:rsidRPr="009C67ED">
        <w:rPr>
          <w:szCs w:val="20"/>
        </w:rPr>
        <w:t>"carece de justificación objetiva y razonable"</w:t>
      </w:r>
      <w:r w:rsidRPr="00BB63D0">
        <w:rPr>
          <w:szCs w:val="20"/>
        </w:rPr>
        <w:t xml:space="preserve"> [</w:t>
      </w:r>
      <w:proofErr w:type="spellStart"/>
      <w:r w:rsidRPr="009C67ED">
        <w:rPr>
          <w:rStyle w:val="EnelmismoCar"/>
          <w:b w:val="0"/>
          <w:bCs/>
          <w:i w:val="0"/>
          <w:iCs/>
        </w:rPr>
        <w:t>Eur</w:t>
      </w:r>
      <w:proofErr w:type="spellEnd"/>
      <w:r w:rsidRPr="009C67ED">
        <w:rPr>
          <w:rStyle w:val="EnelmismoCar"/>
          <w:b w:val="0"/>
          <w:bCs/>
          <w:i w:val="0"/>
          <w:iCs/>
        </w:rPr>
        <w:t xml:space="preserve">. </w:t>
      </w:r>
      <w:r w:rsidRPr="00A30992">
        <w:rPr>
          <w:rStyle w:val="EnelmismoCar"/>
          <w:b w:val="0"/>
          <w:bCs/>
          <w:i w:val="0"/>
          <w:iCs/>
          <w:lang w:val="en-US"/>
        </w:rPr>
        <w:t xml:space="preserve">Court H.R., Case "relating to certain aspects of the laws on the use of languages in education in Belgium" (merits), judgment of 23rd July 1968, </w:t>
      </w:r>
      <w:proofErr w:type="spellStart"/>
      <w:r w:rsidRPr="00A30992">
        <w:rPr>
          <w:rStyle w:val="EnelmismoCar"/>
          <w:b w:val="0"/>
          <w:bCs/>
          <w:i w:val="0"/>
          <w:iCs/>
          <w:lang w:val="en-US"/>
        </w:rPr>
        <w:t>pág</w:t>
      </w:r>
      <w:proofErr w:type="spellEnd"/>
      <w:r w:rsidRPr="00A30992">
        <w:rPr>
          <w:rStyle w:val="EnelmismoCar"/>
          <w:b w:val="0"/>
          <w:bCs/>
          <w:i w:val="0"/>
          <w:iCs/>
          <w:lang w:val="en-US"/>
        </w:rPr>
        <w:t>. 34</w:t>
      </w:r>
      <w:r w:rsidRPr="00BB63D0">
        <w:rPr>
          <w:szCs w:val="20"/>
          <w:lang w:val="en-US"/>
        </w:rPr>
        <w:t xml:space="preserve">]. </w:t>
      </w:r>
      <w:r w:rsidRPr="00BB63D0">
        <w:rPr>
          <w:szCs w:val="20"/>
        </w:rPr>
        <w:t xml:space="preserve">Existen, en efecto, ciertas desigualdades de hecho que legítimamente pueden traducirse en desigualdades de tratamiento jurídico, sin que tales situaciones contraríen la justicia. Por el contrario, pueden ser un vehículo para realizarla o para proteger a quienes aparezcan como jurídicamente débiles. Mal podría, por ejemplo, verse una discriminación por razón de edad o condición social en los casos en que la ley limita el ejercicio de la capacidad civil a quienes, por ser menores o no gozar de salud mental, no están en condiciones de ejercerla sin riesgo de su propio patrimonio. </w:t>
      </w:r>
      <w:r w:rsidR="00651730">
        <w:rPr>
          <w:rStyle w:val="EnelmismoCar"/>
        </w:rPr>
        <w:t>En similar sentido, ver entre otros</w:t>
      </w:r>
      <w:r w:rsidRPr="009C67ED">
        <w:rPr>
          <w:rStyle w:val="EnelmismoCar"/>
        </w:rPr>
        <w:t>: Condición jurídica y derechos humanos del niño. Opinión Consultiva OC-17/02 de 28 de agosto de 2002. Serie A No. 17, párr. 48.</w:t>
      </w:r>
      <w:r w:rsidRPr="00BB63D0">
        <w:rPr>
          <w:i/>
          <w:szCs w:val="20"/>
        </w:rPr>
        <w:t xml:space="preserve"> </w:t>
      </w:r>
    </w:p>
    <w:p w14:paraId="56F8AA39" w14:textId="70FF2A29" w:rsidR="007269CF" w:rsidRPr="009C67ED" w:rsidRDefault="007269CF" w:rsidP="00BB63D0">
      <w:pPr>
        <w:rPr>
          <w:rStyle w:val="EnelmismoCar"/>
        </w:rPr>
      </w:pPr>
      <w:r w:rsidRPr="00BB63D0">
        <w:rPr>
          <w:szCs w:val="20"/>
        </w:rPr>
        <w:t xml:space="preserve">57. </w:t>
      </w:r>
      <w:r w:rsidRPr="00BB63D0">
        <w:rPr>
          <w:szCs w:val="20"/>
        </w:rPr>
        <w:tab/>
        <w:t xml:space="preserve">No habrá, pues, discriminación si una distinción de tratamiento está orientada legítimamente, es decir, si no conduce a situaciones contrarias a la justicia, a la razón o a la naturaleza de las cosas. De ahí que no pueda afirmarse que exista discriminación en toda diferencia de tratamiento del Estado frente al individuo, siempre que esa distinción parta de supuestos de hecho sustancialmente diferentes y que expresen de modo proporcionado una fundamentada conexión entre esas diferencias y los objetivos de la norma, los cuales no pueden apartarse de la justicia o de la razón, vale decir, no pueden perseguir fines arbitrarios, caprichosos, despóticos o que de alguna manera repugnen a la esencial unidad y dignidad de la naturaleza humana. </w:t>
      </w:r>
      <w:r w:rsidR="00651730">
        <w:rPr>
          <w:rStyle w:val="EnelmismoCar"/>
        </w:rPr>
        <w:t>En similar sentido, ver entre otros</w:t>
      </w:r>
      <w:r w:rsidRPr="009C67ED">
        <w:rPr>
          <w:rStyle w:val="EnelmismoCar"/>
        </w:rPr>
        <w:t xml:space="preserve">: Condición jurídica y derechos humanos del niño. Opinión Consultiva OC-17/02 de 28 de agosto de 2002. Serie A No. 17, párr. 47. </w:t>
      </w:r>
    </w:p>
    <w:p w14:paraId="1CA73EFA" w14:textId="77777777" w:rsidR="007269CF" w:rsidRPr="00BB63D0" w:rsidRDefault="007269CF" w:rsidP="00BB63D0">
      <w:pPr>
        <w:rPr>
          <w:szCs w:val="20"/>
        </w:rPr>
      </w:pPr>
      <w:r w:rsidRPr="00BB63D0">
        <w:rPr>
          <w:szCs w:val="20"/>
        </w:rPr>
        <w:t xml:space="preserve">58. </w:t>
      </w:r>
      <w:r w:rsidRPr="00BB63D0">
        <w:rPr>
          <w:szCs w:val="20"/>
        </w:rPr>
        <w:tab/>
        <w:t xml:space="preserve">Si bien no puede desconocerse que las circunstancias de hecho pueden hacer más o menos difícil apreciar si se está o no en presencia de una situación como la descrita en el párrafo anterior, es también cierto que, partiendo de la base de la esencial unidad de la dignidad del ser humano, es posible apreciar circunstancias en que los imperativos del bien común puedan justificar un mayor o menor grado de distinciones que no se aparten de las consideraciones precedentes. Se trata de valores que adquieren dimensiones concretas a la luz de la realidad en que están llamados a materializarse y que dejan un cierto margen de apreciación para la expresión que deben asumir en cada caso. </w:t>
      </w:r>
    </w:p>
    <w:p w14:paraId="5727B05F" w14:textId="77777777" w:rsidR="007269CF" w:rsidRPr="00BB63D0" w:rsidRDefault="007269CF" w:rsidP="00BB63D0">
      <w:pPr>
        <w:rPr>
          <w:szCs w:val="20"/>
        </w:rPr>
      </w:pPr>
      <w:r w:rsidRPr="00BB63D0">
        <w:rPr>
          <w:szCs w:val="20"/>
        </w:rPr>
        <w:t xml:space="preserve">60. </w:t>
      </w:r>
      <w:r w:rsidRPr="00BB63D0">
        <w:rPr>
          <w:szCs w:val="20"/>
        </w:rPr>
        <w:tab/>
        <w:t xml:space="preserve">A la luz de los criterios expresados, un caso de distinción no discriminatoria sería la fijación de requisitos menos exigentes en relación con el tiempo de residencia para la obtención de la nacionalidad costarricense para los centroamericanos, iberoamericanos y españoles frente a los demás extranjeros. En efecto, no parece contrario a la naturaleza y fines del otorgamiento de la nacionalidad, facilitarla en favor de aquellos que, objetivamente, tienen con los costarricenses lazos históricos, culturales y espirituales mucho más estrechos, los cuales hacen presumir su más sencilla y rápida incorporación a la comunidad nacional y su más natural identificación </w:t>
      </w:r>
      <w:r w:rsidRPr="00BB63D0">
        <w:rPr>
          <w:szCs w:val="20"/>
        </w:rPr>
        <w:lastRenderedPageBreak/>
        <w:t xml:space="preserve">con las creencias, valores e instituciones de la tradición costarricense, que el Estado tiene el derecho y el deber de preservar. </w:t>
      </w:r>
    </w:p>
    <w:p w14:paraId="28A60527" w14:textId="02AC3ABC" w:rsidR="007269CF" w:rsidRPr="00BB63D0" w:rsidRDefault="007269CF" w:rsidP="009C67ED">
      <w:pPr>
        <w:pStyle w:val="Caso"/>
      </w:pPr>
      <w:r w:rsidRPr="00BB63D0">
        <w:t>Corte IDH. Condición jurídica y derechos humanos del niño. Opinión Consultiva OC-17/02 de 28 de agosto de 2002. Serie A No. 17</w:t>
      </w:r>
      <w:r>
        <w:rPr>
          <w:rStyle w:val="Refdenotaalpie"/>
        </w:rPr>
        <w:footnoteReference w:id="21"/>
      </w:r>
    </w:p>
    <w:p w14:paraId="04207E71" w14:textId="77777777" w:rsidR="007269CF" w:rsidRPr="00BB63D0" w:rsidRDefault="007269CF" w:rsidP="00BB63D0">
      <w:pPr>
        <w:rPr>
          <w:szCs w:val="20"/>
          <w:lang w:val="es-ES_tradnl" w:eastAsia="es-ES"/>
        </w:rPr>
      </w:pPr>
      <w:r w:rsidRPr="00BB63D0">
        <w:rPr>
          <w:szCs w:val="20"/>
          <w:lang w:val="es-ES_tradnl" w:eastAsia="es-ES"/>
        </w:rPr>
        <w:t>46.</w:t>
      </w:r>
      <w:r w:rsidRPr="00BB63D0">
        <w:rPr>
          <w:szCs w:val="20"/>
          <w:lang w:val="es-ES_tradnl" w:eastAsia="es-ES"/>
        </w:rPr>
        <w:tab/>
        <w:t xml:space="preserve">Ahora bien, al examinar las implicaciones del trato diferenciado que algunas normas pueden dar a sus destinatarios, la Corte ha establecido que “no toda distinción de trato puede considerarse ofensiva, por sí misma, de la dignidad humana”. En este mismo sentido, la Corte Europea de Derechos Humanos, basándose en “los principios que pueden deducirse de la práctica jurídica de un gran número de Estados democráticos”, advirtió que sólo es discriminatoria una distinción cuando “carece de justificación objetiva y razonable”. Existen ciertas desigualdades de hecho que pueden traducirse, legítimamente, en desigualdades de tratamiento jurídico, sin que esto contraríe la justicia. Más aún, </w:t>
      </w:r>
      <w:r w:rsidRPr="009C67ED">
        <w:rPr>
          <w:szCs w:val="20"/>
          <w:lang w:val="es-ES_tradnl" w:eastAsia="es-ES"/>
        </w:rPr>
        <w:t>tales distinciones pueden ser un instrumento para la protección de quienes deban ser protegidos, considerando la situación de mayor o menor debilidad o desvalimiento en que se encuentran</w:t>
      </w:r>
      <w:r w:rsidRPr="00BB63D0">
        <w:rPr>
          <w:szCs w:val="20"/>
          <w:lang w:val="es-ES_tradnl" w:eastAsia="es-ES"/>
        </w:rPr>
        <w:t xml:space="preserve">. </w:t>
      </w:r>
    </w:p>
    <w:p w14:paraId="6D9F5D49" w14:textId="77777777" w:rsidR="007269CF" w:rsidRPr="00BB63D0" w:rsidRDefault="007269CF" w:rsidP="009C67ED">
      <w:pPr>
        <w:pStyle w:val="Caso"/>
      </w:pPr>
      <w:r w:rsidRPr="00BB63D0">
        <w:t>Corte IDH. Condición jurídica y derechos de los migrantes indocumentados. Opinión Consultiva OC-18/03 de 17 de septiembre de 2003. Serie A No. 18</w:t>
      </w:r>
    </w:p>
    <w:p w14:paraId="15CAA81E" w14:textId="77777777" w:rsidR="007269CF" w:rsidRPr="00BB63D0" w:rsidRDefault="007269CF" w:rsidP="00BB63D0">
      <w:pPr>
        <w:rPr>
          <w:szCs w:val="20"/>
          <w:lang w:val="es-ES_tradnl" w:eastAsia="es-ES"/>
        </w:rPr>
      </w:pPr>
      <w:r w:rsidRPr="00BB63D0">
        <w:rPr>
          <w:szCs w:val="20"/>
          <w:lang w:val="es-ES_tradnl" w:eastAsia="es-ES"/>
        </w:rPr>
        <w:t>84.</w:t>
      </w:r>
      <w:r w:rsidRPr="00BB63D0">
        <w:rPr>
          <w:szCs w:val="20"/>
          <w:lang w:val="es-ES_tradnl" w:eastAsia="es-ES"/>
        </w:rPr>
        <w:tab/>
        <w:t xml:space="preserve">[…] El término distinción se empleará para lo admisible, en </w:t>
      </w:r>
      <w:r w:rsidRPr="00BB63D0">
        <w:rPr>
          <w:szCs w:val="20"/>
          <w:lang w:val="es-ES_tradnl" w:eastAsia="es-ES"/>
        </w:rPr>
        <w:tab/>
        <w:t>virtud de ser razonable, proporcional y objetivo. La discriminación se utilizará para hacer referencia a lo inadmisible, por violar los derechos humanos. Por tanto, se utilizará el término discriminación para hacer referencia a toda exclusión, restricción o privilegio que no sea objetivo y razonable, que redunde en detrimento de los derechos humanos.</w:t>
      </w:r>
    </w:p>
    <w:p w14:paraId="1AA03E46" w14:textId="77777777" w:rsidR="007269CF" w:rsidRPr="00BB63D0" w:rsidRDefault="007269CF" w:rsidP="00BB63D0">
      <w:pPr>
        <w:rPr>
          <w:szCs w:val="20"/>
          <w:lang w:val="es-ES_tradnl" w:eastAsia="es-ES"/>
        </w:rPr>
      </w:pPr>
      <w:r w:rsidRPr="00BB63D0">
        <w:rPr>
          <w:szCs w:val="20"/>
          <w:lang w:val="es-ES_tradnl" w:eastAsia="es-ES"/>
        </w:rPr>
        <w:t>89.</w:t>
      </w:r>
      <w:r w:rsidRPr="00BB63D0">
        <w:rPr>
          <w:szCs w:val="20"/>
          <w:lang w:val="es-ES_tradnl" w:eastAsia="es-ES"/>
        </w:rPr>
        <w:tab/>
        <w:t xml:space="preserve">Ahora bien, al examinar las implicaciones del trato diferenciado que algunas normas pueden dar a sus destinatarios, es importante hacer referencia a lo señalado por este Tribunal en el sentido de que “no toda distinción de trato puede considerarse ofensiva, por sí misma, de la dignidad humana”. En este mismo sentido, la Corte Europea de Derechos Humanos, basándose en “los principios que pueden deducirse de la práctica jurídica de un gran número de Estados democráticos”, advirtió que sólo es discriminatoria una distinción cuando “carece de justificación objetiva y razonable”. </w:t>
      </w:r>
      <w:r w:rsidRPr="009C67ED">
        <w:rPr>
          <w:szCs w:val="20"/>
          <w:lang w:val="es-ES_tradnl" w:eastAsia="es-ES"/>
        </w:rPr>
        <w:t>Pueden establecerse distinciones, basadas en desigualdades de hecho, que constituyen un instrumento para la protección de quienes deban ser protegidos, considerando la situación de mayor o menor debilidad o desvalimiento en que se encuentran.</w:t>
      </w:r>
      <w:r w:rsidRPr="00BB63D0">
        <w:rPr>
          <w:szCs w:val="20"/>
          <w:lang w:val="es-ES_tradnl" w:eastAsia="es-ES"/>
        </w:rPr>
        <w:t xml:space="preserve"> Por ejemplo, una desigualdad sancionada por la ley se refleja en el hecho de que los menores de edad que se encuentran detenidos en un centro carcelario no pueden ser recluidos conjuntamente con las personas mayores de edad que se encuentran también detenidas. Otro ejemplo de estas desigualdades es la limitación en el ejercicio de determinados derechos políticos en atención a la nacionalidad o ciudadanía.</w:t>
      </w:r>
    </w:p>
    <w:p w14:paraId="1081BFD3" w14:textId="77777777" w:rsidR="007269CF" w:rsidRPr="00BB63D0" w:rsidRDefault="007269CF" w:rsidP="009C67ED">
      <w:pPr>
        <w:pStyle w:val="Caso"/>
      </w:pPr>
      <w:r w:rsidRPr="00BB63D0">
        <w:lastRenderedPageBreak/>
        <w:t xml:space="preserve">Corte IDH. Caso </w:t>
      </w:r>
      <w:proofErr w:type="spellStart"/>
      <w:r w:rsidRPr="00BB63D0">
        <w:t>Apitz</w:t>
      </w:r>
      <w:proofErr w:type="spellEnd"/>
      <w:r w:rsidRPr="00BB63D0">
        <w:t xml:space="preserve"> Barbera y otros (“Corte Primera de lo Contencioso Administrativo”) Vs. Venezuela. Excepción Preliminar, Fondo, Reparaciones y Costas. Sentencia de 5 de agosto de 2008. Serie C No. 182</w:t>
      </w:r>
    </w:p>
    <w:p w14:paraId="5CA8C490" w14:textId="77777777" w:rsidR="007269CF" w:rsidRPr="00BB63D0" w:rsidRDefault="007269CF" w:rsidP="00BB63D0">
      <w:pPr>
        <w:rPr>
          <w:szCs w:val="20"/>
        </w:rPr>
      </w:pPr>
      <w:r w:rsidRPr="00BB63D0">
        <w:rPr>
          <w:szCs w:val="20"/>
        </w:rPr>
        <w:t>190.</w:t>
      </w:r>
      <w:r w:rsidRPr="00BB63D0">
        <w:rPr>
          <w:szCs w:val="20"/>
        </w:rPr>
        <w:tab/>
        <w:t xml:space="preserve">La principal defensa del Estado respecto de la existencia de una posible discriminación es que “no puede haber trato discriminatorio entre desiguales, sino entre iguales” y que en este caso las tres víctimas no se encontraban en una situación de igualdad respecto de las otras dos magistradas de la Corte Primera, tanto respecto de la jubilación como del acceso a nuevos cargos en el Poder Judicial. </w:t>
      </w:r>
    </w:p>
    <w:p w14:paraId="5189AA05" w14:textId="77777777" w:rsidR="007269CF" w:rsidRPr="00BB63D0" w:rsidRDefault="007269CF" w:rsidP="00BB63D0">
      <w:pPr>
        <w:rPr>
          <w:szCs w:val="20"/>
        </w:rPr>
      </w:pPr>
      <w:r w:rsidRPr="00BB63D0">
        <w:rPr>
          <w:szCs w:val="20"/>
        </w:rPr>
        <w:t>191.</w:t>
      </w:r>
      <w:r w:rsidRPr="00BB63D0">
        <w:rPr>
          <w:szCs w:val="20"/>
        </w:rPr>
        <w:tab/>
        <w:t>Los cinco magistrados que integraban la Corte Primera fueron sometidos a procedimiento disciplinario por haber adoptado de forma unánime una sentencia por la cual se declaró la existencia de un error judicial inexcusable.</w:t>
      </w:r>
    </w:p>
    <w:p w14:paraId="294C5643" w14:textId="77777777" w:rsidR="007269CF" w:rsidRPr="00BB63D0" w:rsidRDefault="007269CF" w:rsidP="00BB63D0">
      <w:pPr>
        <w:rPr>
          <w:szCs w:val="20"/>
        </w:rPr>
      </w:pPr>
      <w:r w:rsidRPr="00BB63D0">
        <w:rPr>
          <w:szCs w:val="20"/>
        </w:rPr>
        <w:t>195.</w:t>
      </w:r>
      <w:r w:rsidRPr="00BB63D0">
        <w:rPr>
          <w:szCs w:val="20"/>
        </w:rPr>
        <w:tab/>
        <w:t xml:space="preserve">La Corte observa que existió una diferencia de trato entre los tres magistrados víctimas que fueron destituidos y las magistradas Marrero y Morales, cuya sanción, en el primer caso nunca se impuso y, en el segundo, fue revocada. Para ello la CFRSJ invocó como fundamento una “doctrina vinculante” de la Sala Constitucional del TSJ, cuya consecuencia era la no imposición de la sanción correspondiente al ilícito disciplinario cuando los jueces cumplieran con los requisitos para acceder a jubilación con anterioridad a la comisión de la falta. </w:t>
      </w:r>
    </w:p>
    <w:p w14:paraId="70961703" w14:textId="77777777" w:rsidR="007269CF" w:rsidRPr="00BB63D0" w:rsidRDefault="007269CF" w:rsidP="00BB63D0">
      <w:pPr>
        <w:rPr>
          <w:szCs w:val="20"/>
        </w:rPr>
      </w:pPr>
      <w:r w:rsidRPr="00BB63D0">
        <w:rPr>
          <w:szCs w:val="20"/>
        </w:rPr>
        <w:t>196.</w:t>
      </w:r>
      <w:r w:rsidRPr="00BB63D0">
        <w:rPr>
          <w:szCs w:val="20"/>
        </w:rPr>
        <w:tab/>
        <w:t>La Corte constata que las víctimas de este caso no cumplían con las exigencias de edad y años de servicio requeridos para acceder a la jubilación. En este sentido, podría pensarse que las víctimas, respecto de las magistradas Morales y Marrero -que sí cumplían con dichos requisitos objetivos-, no se encontraban en una situación de igualdad que justificara que se las tratara de forma similar.</w:t>
      </w:r>
    </w:p>
    <w:p w14:paraId="48FDC3A7" w14:textId="77777777" w:rsidR="007269CF" w:rsidRPr="00BB63D0" w:rsidRDefault="007269CF" w:rsidP="00BB63D0">
      <w:pPr>
        <w:rPr>
          <w:szCs w:val="20"/>
        </w:rPr>
      </w:pPr>
      <w:r w:rsidRPr="00BB63D0">
        <w:rPr>
          <w:szCs w:val="20"/>
        </w:rPr>
        <w:t>197.</w:t>
      </w:r>
      <w:r w:rsidRPr="00BB63D0">
        <w:rPr>
          <w:szCs w:val="20"/>
        </w:rPr>
        <w:tab/>
        <w:t>Sin embargo, la conducta de los cinco magistrados se ajustó al supuesto de hecho de la norma contenida en el artículo 40 No. 4 citado, pues habían concurrido de forma unánime a la adopción de la sentencia que fue declarada como constitutiva de un error judicial inexcusable. La cuestión que se plantea entonces es si el cumplimiento de los requisitos de jubilación introducía una diferencia razonable entre dos grupos de personas de acuerdo a los fines de la norma disciplinaria aplicada, esto es, salvaguardar la idoneidad de los jueces. La Corte considera que la jubilación es un derecho ajeno a la condición de idoneidad para el ejercicio de funciones públicas, como también a la constatación, calificación e imputación de los hechos que causaron el proceso de destitución. La Corte constata que los cinco jueces tenían un grado idéntico de responsabilidad disciplinaria, y el hecho de que algunos de ellos cumplieran con los requisitos para jubilarse no desvirtuó en sentido alguno dicha constatación.</w:t>
      </w:r>
    </w:p>
    <w:p w14:paraId="4A47B75B" w14:textId="77777777" w:rsidR="007269CF" w:rsidRPr="00BB63D0" w:rsidRDefault="007269CF" w:rsidP="00BB63D0">
      <w:pPr>
        <w:rPr>
          <w:szCs w:val="20"/>
        </w:rPr>
      </w:pPr>
      <w:r w:rsidRPr="00BB63D0">
        <w:rPr>
          <w:szCs w:val="20"/>
        </w:rPr>
        <w:t>200.</w:t>
      </w:r>
      <w:r w:rsidRPr="00BB63D0">
        <w:rPr>
          <w:szCs w:val="20"/>
        </w:rPr>
        <w:tab/>
        <w:t>La Corte entiende que los cinco magistrados debían considerarse como idénticamente situados frente al proceso disciplinario. Sin embargo, el Tribunal no tiene competencia para decidir si procedía la mencionada sanción y a quiénes tendría que aplicarse. En efecto, la Corte no tiene facultad para decidir que las magistradas Marrero y Morales debieron haber sido sancionadas tal y como lo fueron las víctimas. Así, no es posible afirmar que el derecho consagrado en el artículo 24 de la Convención otorga a las víctimas la facultad de exigir una sanción idéntica a la propia en contra de dichas magistradas. En conclusión, en este caso no procede decretar una violación al derecho consagrado en el artículo 24 de la Convención.</w:t>
      </w:r>
    </w:p>
    <w:p w14:paraId="3C520828" w14:textId="5AAC120D" w:rsidR="007269CF" w:rsidRPr="00BB63D0" w:rsidRDefault="007269CF" w:rsidP="009C67ED">
      <w:pPr>
        <w:pStyle w:val="Caso"/>
      </w:pPr>
      <w:r w:rsidRPr="00BB63D0">
        <w:lastRenderedPageBreak/>
        <w:t>Corte IDH. Caso Artavia Murillo y otros ("Fecundación in vitro") Vs. Costa Rica. Excepciones Preliminares, Fondo, Reparaciones y Costas Sentencia de 28 noviembre de 2012. Serie C No. 257</w:t>
      </w:r>
      <w:r w:rsidRPr="000612C4">
        <w:rPr>
          <w:rStyle w:val="Refdenotaalpie"/>
          <w:rFonts w:cstheme="minorHAnsi"/>
        </w:rPr>
        <w:footnoteReference w:id="22"/>
      </w:r>
    </w:p>
    <w:p w14:paraId="320FC82A" w14:textId="77777777" w:rsidR="007269CF" w:rsidRPr="00BB63D0" w:rsidRDefault="007269CF" w:rsidP="00BB63D0">
      <w:pPr>
        <w:rPr>
          <w:szCs w:val="20"/>
        </w:rPr>
      </w:pPr>
      <w:r w:rsidRPr="00BB63D0">
        <w:rPr>
          <w:szCs w:val="20"/>
        </w:rPr>
        <w:t>285.</w:t>
      </w:r>
      <w:r w:rsidRPr="00BB63D0">
        <w:rPr>
          <w:szCs w:val="20"/>
        </w:rPr>
        <w:tab/>
        <w:t>La Corte Interamericana ha señalado reiteradamente que la Convención Americana no prohíbe todas las distinciones de trato. La Corte ha marcado la diferencia entre “distinciones” y “discriminaciones”, de forma que las primeras constituyen diferencias compatibles con la Convención Americana por ser razonables y objetivas, mientras que las segundas constituyen diferencias arbitrarias que redundan en detrimento de los derechos humanos. […]</w:t>
      </w:r>
    </w:p>
    <w:p w14:paraId="227EC0BC" w14:textId="77777777" w:rsidR="007269CF" w:rsidRPr="00BB63D0" w:rsidRDefault="007269CF" w:rsidP="009C67ED">
      <w:pPr>
        <w:pStyle w:val="Caso"/>
      </w:pPr>
      <w:r w:rsidRPr="00BB63D0">
        <w:t>Corte IDH. Caso Espinoza Gonzáles Vs. Perú. Excepciones Preliminares, Fondo, Reparaciones y Costas. Sentencia de 20 de noviembre de 2014. Serie C No. 289</w:t>
      </w:r>
    </w:p>
    <w:p w14:paraId="73B4BF17" w14:textId="77777777" w:rsidR="007269CF" w:rsidRPr="00BB63D0" w:rsidRDefault="007269CF" w:rsidP="00BB63D0">
      <w:pPr>
        <w:rPr>
          <w:szCs w:val="20"/>
        </w:rPr>
      </w:pPr>
      <w:r w:rsidRPr="00BB63D0">
        <w:rPr>
          <w:szCs w:val="20"/>
        </w:rPr>
        <w:t>219.</w:t>
      </w:r>
      <w:r w:rsidRPr="00BB63D0">
        <w:rPr>
          <w:szCs w:val="20"/>
        </w:rPr>
        <w:tab/>
        <w:t>En este sentido, la Corte ha determinado que una diferencia de trato es discriminatoria cuando la misma no tiene una justificación objetiva y razonable, es decir, cuando no persigue un fin legítimo y no existe una relación razonable de proporcionalidad entre los medios utilizados y el fin perseguido.</w:t>
      </w:r>
    </w:p>
    <w:p w14:paraId="7813CA8A" w14:textId="77777777" w:rsidR="007269CF" w:rsidRPr="00BB63D0" w:rsidRDefault="007269CF" w:rsidP="009C67ED">
      <w:pPr>
        <w:pStyle w:val="Caso"/>
      </w:pPr>
      <w:r w:rsidRPr="00BB63D0">
        <w:t>Corte IDH. Caso Flor Freire Vs. Ecuador. Excepción Preliminar, Fondo, Reparaciones y Costas. Sentencia de 31 de agosto de 2016. Serie C No. 315</w:t>
      </w:r>
      <w:r w:rsidRPr="00BB63D0">
        <w:rPr>
          <w:rStyle w:val="Refdenotaalpie"/>
        </w:rPr>
        <w:footnoteReference w:id="23"/>
      </w:r>
    </w:p>
    <w:p w14:paraId="2A4E13A2" w14:textId="77777777" w:rsidR="007269CF" w:rsidRPr="00BB63D0" w:rsidRDefault="007269CF" w:rsidP="00BB63D0">
      <w:pPr>
        <w:rPr>
          <w:szCs w:val="20"/>
          <w:lang w:val="es-ES_tradnl"/>
        </w:rPr>
      </w:pPr>
      <w:r w:rsidRPr="00BB63D0">
        <w:rPr>
          <w:szCs w:val="20"/>
          <w:lang w:val="es-ES_tradnl"/>
        </w:rPr>
        <w:t>125.</w:t>
      </w:r>
      <w:r w:rsidRPr="00BB63D0">
        <w:rPr>
          <w:szCs w:val="20"/>
          <w:lang w:val="es-ES_tradnl"/>
        </w:rPr>
        <w:tab/>
        <w:t xml:space="preserve">La Corte ha determinado que una diferencia de trato es discriminatoria cuando la misma no tiene una justificación objetiva y razonable, es decir, cuando no persigue un fin legítimo y no existe una relación razonable de proporcionalidad entre los medios utilizados y el fin perseguido. Asimismo, este Tribunal ha establecido que tratándose de la prohibición de discriminación por una de las categorías protegidas contempladas en el artículo 1.1 de la Convención, la eventual restricción de un derecho exige una fundamentación rigurosa, lo cual implica que las razones utilizadas por el Estado para realizar la diferenciación de trato deben ser particularmente serias y estar sustentadas en una argumentación exhaustiva. En efecto, es el Estado quien tiene la carga de la prueba para mostrar que la diferencia de trato entre los actos sexuales homosexuales y los llamados “actos sexuales ilegítimos” se encuentra justificado, sin fundamentar su decisión en estereotipos. </w:t>
      </w:r>
    </w:p>
    <w:p w14:paraId="1053FF4D" w14:textId="77777777" w:rsidR="007269CF" w:rsidRPr="00BB63D0" w:rsidRDefault="007269CF" w:rsidP="00BB63D0">
      <w:pPr>
        <w:rPr>
          <w:szCs w:val="20"/>
          <w:lang w:val="es-ES_tradnl"/>
        </w:rPr>
      </w:pPr>
      <w:r w:rsidRPr="00BB63D0">
        <w:rPr>
          <w:szCs w:val="20"/>
          <w:lang w:val="es-ES_tradnl"/>
        </w:rPr>
        <w:t>126.</w:t>
      </w:r>
      <w:r w:rsidRPr="00BB63D0">
        <w:rPr>
          <w:szCs w:val="20"/>
          <w:lang w:val="es-ES_tradnl"/>
        </w:rPr>
        <w:tab/>
        <w:t xml:space="preserve">En el presente caso, las diferencias en la regulación disciplinaria evidencian una distinción relacionada con la orientación sexual, categoría protegida por el artículo 1.1 de la Convención. Sin embargo, Ecuador no brindó una explicación sobre </w:t>
      </w:r>
      <w:r w:rsidRPr="00BB63D0">
        <w:rPr>
          <w:szCs w:val="20"/>
          <w:lang w:val="es-ES_tradnl"/>
        </w:rPr>
        <w:lastRenderedPageBreak/>
        <w:t xml:space="preserve">la necesidad social imperiosa o la finalidad de la diferencia de trato, ni una razón para justificar esa diferenciación como un método menos lesivo para alcanzar esa finalidad. </w:t>
      </w:r>
    </w:p>
    <w:p w14:paraId="0175F176" w14:textId="77777777" w:rsidR="007269CF" w:rsidRPr="00BB63D0" w:rsidRDefault="007269CF" w:rsidP="00BB63D0">
      <w:pPr>
        <w:rPr>
          <w:szCs w:val="20"/>
          <w:lang w:val="es-ES_tradnl"/>
        </w:rPr>
      </w:pPr>
      <w:r w:rsidRPr="00BB63D0">
        <w:rPr>
          <w:szCs w:val="20"/>
          <w:lang w:val="es-ES_tradnl"/>
        </w:rPr>
        <w:t>127.</w:t>
      </w:r>
      <w:r w:rsidRPr="00BB63D0">
        <w:rPr>
          <w:szCs w:val="20"/>
          <w:lang w:val="es-ES_tradnl"/>
        </w:rPr>
        <w:tab/>
        <w:t xml:space="preserve">Este Tribunal destaca que, con el propósito de preservar la disciplina militar, podría resultar razonable y admisible la imposición de restricciones a las relaciones sexuales al interior de las instalaciones militares o durante el servicio. No obstante, la ausencia de una justificación adecuada para la mayor gravedad de la sanción asignada a los actos sexuales homosexuales, genera una presunción sobre el carácter discriminatorio de esta medida. Asimismo, resalta que la diferencia de regulación existente en el presente caso frente a los actos homosexuales tenía como efecto excluir la participación de personas homosexuales en las fuerzas armadas. En este sentido, la Corte recuerda que la prohibición de discriminación con base en la orientación sexual de una persona incluye la protección de la expresión de dicha orientación sexual </w:t>
      </w:r>
      <w:r w:rsidRPr="00BB63D0">
        <w:rPr>
          <w:szCs w:val="20"/>
        </w:rPr>
        <w:t>[…]</w:t>
      </w:r>
      <w:r w:rsidRPr="00BB63D0">
        <w:rPr>
          <w:szCs w:val="20"/>
          <w:lang w:val="es-ES_tradnl"/>
        </w:rPr>
        <w:t xml:space="preserve">. Al sancionar los “actos de homosexualidad” dentro o fuera del servicio, el artículo 117 del Reglamento de Disciplina Militar castigaba toda forma de expresión de esta orientación sexual, restringiendo la participación de personas homosexuales en las fuerzas armadas ecuatorianas. </w:t>
      </w:r>
    </w:p>
    <w:p w14:paraId="24BCF018" w14:textId="77777777" w:rsidR="007269CF" w:rsidRPr="00BB63D0" w:rsidRDefault="007269CF" w:rsidP="00BB63D0">
      <w:pPr>
        <w:rPr>
          <w:szCs w:val="20"/>
          <w:lang w:val="es-ES_tradnl"/>
        </w:rPr>
      </w:pPr>
      <w:r w:rsidRPr="00BB63D0">
        <w:rPr>
          <w:szCs w:val="20"/>
          <w:lang w:val="es-ES_tradnl"/>
        </w:rPr>
        <w:t>128.</w:t>
      </w:r>
      <w:r w:rsidRPr="00BB63D0">
        <w:rPr>
          <w:szCs w:val="20"/>
          <w:lang w:val="es-ES_tradnl"/>
        </w:rPr>
        <w:tab/>
        <w:t xml:space="preserve">La Corte resalta que la prohibición de discriminación por orientación sexual en las fuerzas armadas ha sido reconocida en instrumentos internacionales, así como por órganos de derechos humanos y el Tribunal Europeo de Derechos Humanos. </w:t>
      </w:r>
    </w:p>
    <w:p w14:paraId="7F539358" w14:textId="77777777" w:rsidR="007269CF" w:rsidRPr="00BB63D0" w:rsidRDefault="007269CF" w:rsidP="00BB63D0">
      <w:pPr>
        <w:rPr>
          <w:szCs w:val="20"/>
          <w:lang w:val="es-ES_tradnl"/>
        </w:rPr>
      </w:pPr>
      <w:r w:rsidRPr="00BB63D0">
        <w:rPr>
          <w:szCs w:val="20"/>
          <w:lang w:val="es-ES_tradnl"/>
        </w:rPr>
        <w:t>129.</w:t>
      </w:r>
      <w:r w:rsidRPr="00BB63D0">
        <w:rPr>
          <w:szCs w:val="20"/>
          <w:lang w:val="es-ES_tradnl"/>
        </w:rPr>
        <w:tab/>
        <w:t>En el marco de la Organización de los Estados Americanos (en adelante “la OEA”), si bien no se cuenta con pronunciamientos específicos sobre la tutela de los derechos de las personas con orientación sexual diversa dentro de las fuerzas armadas, sí se han emitido resoluciones de los cuales se desprende una prohibición general de discriminación con base en la orientación sexual de las personas, lo cual abarcaría la participación en las fuerzas armadas. Dichas resoluciones condenan:</w:t>
      </w:r>
    </w:p>
    <w:p w14:paraId="44489F60" w14:textId="4DD2BF10" w:rsidR="007269CF" w:rsidRPr="00BB63D0" w:rsidRDefault="007269CF" w:rsidP="00BB63D0">
      <w:pPr>
        <w:rPr>
          <w:szCs w:val="20"/>
          <w:lang w:val="es-ES_tradnl"/>
        </w:rPr>
      </w:pPr>
      <w:r w:rsidRPr="00BB63D0">
        <w:rPr>
          <w:szCs w:val="20"/>
          <w:lang w:val="es-ES_tradnl"/>
        </w:rPr>
        <w:t xml:space="preserve">[L]a discriminación contra personas por motivos de orientación sexual e identidad o expresión de género, e insta[n] a los Estados dentro de los parámetros de las instituciones jurídicas de sus sistemas a eliminar, allí donde existan, las barreras que enfrentan las lesbianas, los </w:t>
      </w:r>
      <w:proofErr w:type="spellStart"/>
      <w:r w:rsidRPr="00BB63D0">
        <w:rPr>
          <w:szCs w:val="20"/>
          <w:lang w:val="es-ES_tradnl"/>
        </w:rPr>
        <w:t>gays</w:t>
      </w:r>
      <w:proofErr w:type="spellEnd"/>
      <w:r w:rsidRPr="00BB63D0">
        <w:rPr>
          <w:szCs w:val="20"/>
          <w:lang w:val="es-ES_tradnl"/>
        </w:rPr>
        <w:t xml:space="preserve"> y las personas bisexuales, trans e </w:t>
      </w:r>
      <w:proofErr w:type="spellStart"/>
      <w:r w:rsidRPr="00BB63D0">
        <w:rPr>
          <w:szCs w:val="20"/>
          <w:lang w:val="es-ES_tradnl"/>
        </w:rPr>
        <w:t>intersex</w:t>
      </w:r>
      <w:proofErr w:type="spellEnd"/>
      <w:r w:rsidRPr="00BB63D0">
        <w:rPr>
          <w:szCs w:val="20"/>
          <w:lang w:val="es-ES_tradnl"/>
        </w:rPr>
        <w:t xml:space="preserve"> (LGBTI) en el acceso a la participación política y otros ámbitos de la vida pública, así como evitar interferencias en su vida privada.</w:t>
      </w:r>
    </w:p>
    <w:p w14:paraId="3117069C" w14:textId="1C92FBCE" w:rsidR="007269CF" w:rsidRPr="00BB63D0" w:rsidRDefault="007269CF" w:rsidP="00BB63D0">
      <w:pPr>
        <w:rPr>
          <w:szCs w:val="20"/>
          <w:lang w:val="es-CR"/>
        </w:rPr>
      </w:pPr>
      <w:r w:rsidRPr="00BB63D0">
        <w:rPr>
          <w:szCs w:val="20"/>
          <w:lang w:val="es-ES_tradnl"/>
        </w:rPr>
        <w:t>130.</w:t>
      </w:r>
      <w:r w:rsidRPr="00BB63D0">
        <w:rPr>
          <w:szCs w:val="20"/>
          <w:lang w:val="es-ES_tradnl"/>
        </w:rPr>
        <w:tab/>
        <w:t>El Tribunal Europeo de Derechos Humanos ha señalado que una baja del Ejército por el hecho de ser homosexual constituye una interferencia en los derechos de una persona contraria al Convenio Europeo de Derechos Humanos. Por ello, el Estado debe proveer razones convincentes y de peso para justificar una política en contra de homosexuales en el ejército y de la decisión de dar de baja a un militar con base a dicha política. El Comité Europeo de Derechos Sociales, el Comité de Ministros del Consejo de Europa y el Comité Directivo de Derechos Humanos del Consejo de Europa también se han pronunciado en contra de la discriminación por orientación sexual en las fuerzas armadas. Asimismo, la Unión Europea emitió una directiva para combatir la discriminación por orientación sexual en los empleos en el sector privado y público, aplicable a las fuerzas armadas. Por su parte, la Organización del Tratado del Atlántico Norte (OTAN) opera bajo una “Política de igualdad de oportunidades y diversidad en el Personal Internacional y Personal Militar Internacional”, en la cual expresa su intención de “mantener un ambiente laboral que sea libre de discriminación o acoso y ofreciera igualdad de oportunidades sin importar el sexo, raza, origen étnico, religión, nacionalidad, discapacidad, edad u orientación sexual”</w:t>
      </w:r>
      <w:r w:rsidRPr="00BB63D0">
        <w:rPr>
          <w:szCs w:val="20"/>
          <w:lang w:val="es-CR"/>
        </w:rPr>
        <w:t>.</w:t>
      </w:r>
    </w:p>
    <w:p w14:paraId="5B655541" w14:textId="77777777" w:rsidR="007269CF" w:rsidRPr="00BB63D0" w:rsidRDefault="007269CF" w:rsidP="00BB63D0">
      <w:pPr>
        <w:rPr>
          <w:szCs w:val="20"/>
          <w:lang w:val="es-ES_tradnl"/>
        </w:rPr>
      </w:pPr>
      <w:r w:rsidRPr="00BB63D0">
        <w:rPr>
          <w:szCs w:val="20"/>
          <w:lang w:val="es-ES_tradnl"/>
        </w:rPr>
        <w:t>136.</w:t>
      </w:r>
      <w:r w:rsidRPr="00BB63D0">
        <w:rPr>
          <w:szCs w:val="20"/>
          <w:lang w:val="es-ES_tradnl"/>
        </w:rPr>
        <w:tab/>
        <w:t xml:space="preserve">La Corte considera que la prohibición de discriminación por razones de orientación sexual, conforme ha sido interpretado por este Tribunal, abarca y se extiende a todas las esferas del desarrollo personal de las personas bajo la jurisdicción de un Estado parte de la Convención. Por tanto, la exclusión de personas </w:t>
      </w:r>
      <w:r w:rsidRPr="00BB63D0">
        <w:rPr>
          <w:szCs w:val="20"/>
          <w:lang w:val="es-ES_tradnl"/>
        </w:rPr>
        <w:lastRenderedPageBreak/>
        <w:t xml:space="preserve">de las fuerzas armadas por su orientación sexual, sea real o percibida, es contrario a la Convención Americana. </w:t>
      </w:r>
    </w:p>
    <w:p w14:paraId="59847C7F" w14:textId="77777777" w:rsidR="007269CF" w:rsidRPr="00BB63D0" w:rsidRDefault="007269CF" w:rsidP="00BB63D0">
      <w:pPr>
        <w:rPr>
          <w:szCs w:val="20"/>
          <w:lang w:val="es-ES_tradnl"/>
        </w:rPr>
      </w:pPr>
      <w:r w:rsidRPr="00BB63D0">
        <w:rPr>
          <w:szCs w:val="20"/>
          <w:lang w:val="es-ES_tradnl"/>
        </w:rPr>
        <w:t>137.</w:t>
      </w:r>
      <w:r w:rsidRPr="00BB63D0">
        <w:rPr>
          <w:szCs w:val="20"/>
          <w:lang w:val="es-ES_tradnl"/>
        </w:rPr>
        <w:tab/>
        <w:t xml:space="preserve">En el presente caso, la Corte constató que existía una clara diferencia entre la regulación aplicable a los “actos sexuales ilegítimos” y los “actos de homosexualismo”, debido a la disparidad de las sanciones aplicables a ambos tipos de actos, así como por el hecho que los “actos de homosexualismo” eran sancionados incluso si eran cometidos fuera del servicio. En virtud del presunto carácter homosexual de los actos por los cuales fue disciplinado el señor Flor Freire, este fue víctima de esta diferencia de trato. La comisión de actos sexuales no homosexuales, al interior de las instalaciones militares, no hubiera acarreado la baja del señor Flor Freire. De ser el caso, hubiera recibido como pena máxima un arresto de 15 días o una suspensión de 30 días </w:t>
      </w:r>
      <w:r w:rsidRPr="00BB63D0">
        <w:rPr>
          <w:szCs w:val="20"/>
        </w:rPr>
        <w:t>[…]</w:t>
      </w:r>
      <w:r w:rsidRPr="00BB63D0">
        <w:rPr>
          <w:szCs w:val="20"/>
          <w:lang w:val="es-ES_tradnl"/>
        </w:rPr>
        <w:t>. No obstante, en virtud de la orientación sexual que le fue imputada, el señor Flor Freire fue separado de las fuerzas armadas ecuatorianas, sin que el Estado haya cumplido con su carga argumentativa y probatoria presentando una justificación objetiva y razonable que sustente dicha diferencia de trato.</w:t>
      </w:r>
    </w:p>
    <w:p w14:paraId="4AA904D4" w14:textId="77777777" w:rsidR="007269CF" w:rsidRPr="00BB63D0" w:rsidRDefault="007269CF" w:rsidP="00BB63D0">
      <w:pPr>
        <w:rPr>
          <w:szCs w:val="20"/>
          <w:lang w:val="es-ES_tradnl"/>
        </w:rPr>
      </w:pPr>
      <w:r w:rsidRPr="00BB63D0">
        <w:rPr>
          <w:szCs w:val="20"/>
          <w:lang w:val="es-ES_tradnl"/>
        </w:rPr>
        <w:t>138.</w:t>
      </w:r>
      <w:r w:rsidRPr="00BB63D0">
        <w:rPr>
          <w:szCs w:val="20"/>
          <w:lang w:val="es-ES_tradnl"/>
        </w:rPr>
        <w:tab/>
        <w:t xml:space="preserve">Por tanto, este Tribunal considera que la mayor sanción para los actos sexuales homosexuales, que fue aplicada al señor Flor Freire y el hecho que estos se sancionaran aun fuera del servicio constituyen distinciones discriminatorias y denotan el objetivo de excluir de las fuerzas armadas a las personas homosexuales. </w:t>
      </w:r>
    </w:p>
    <w:p w14:paraId="512B1A0C" w14:textId="77777777" w:rsidR="007269CF" w:rsidRPr="00BB63D0" w:rsidRDefault="007269CF" w:rsidP="00BB63D0">
      <w:pPr>
        <w:rPr>
          <w:szCs w:val="20"/>
          <w:lang w:val="es-ES_tradnl"/>
        </w:rPr>
      </w:pPr>
      <w:r w:rsidRPr="00BB63D0">
        <w:rPr>
          <w:szCs w:val="20"/>
          <w:lang w:val="es-ES_tradnl"/>
        </w:rPr>
        <w:t>139.</w:t>
      </w:r>
      <w:r w:rsidRPr="00BB63D0">
        <w:rPr>
          <w:szCs w:val="20"/>
          <w:lang w:val="es-ES_tradnl"/>
        </w:rPr>
        <w:tab/>
        <w:t>Por otra parte, el artículo 2 de la Convención obliga a los Estados Partes a adoptar, con arreglo a sus procedimientos constitucionales y a las disposiciones de la Convención, las medidas legislativas o de otro carácter que fueren necesarias para hacer efectivos los derechos y libertades protegidos por la Convención. La Corte toma nota que el 15 de diciembre de 2008 Ecuador adoptó un nuevo Reglamento de Disciplina Militar que eliminó la distinción entre las relaciones sexuales homosexuales y las relaciones sexuales no homosexuales. Sin embargo, advierte que al momento de los hechos se encontraba vigente el Reglamento de Disciplina Militar de 1998, el cual fue aplicado al señor Flor Freire y sí establecía dicha distinción, como fue analizado previamente. Aun cuando este Tribunal valora los cambios normativos realizados por Ecuador, considera que no corresponde analizar la norma posterior a efectos de determinar la responsabilidad internacional del Estado en el presente caso, pues dicha modificación no tuvo efectos sobre el caso concreto del señor Flor Freire. Debido a que el trato discriminatorio en el presente caso se produjo como consecuencia de la aplicación del artículo 117 del Reglamento de Disciplina Militar de 1998, vigente al momento de los hechos, la Corte considera que el Estado adicionalmente incumplió con su obligación de adecuar la normativa como una forma de garantizar la igualdad ante la ley.</w:t>
      </w:r>
    </w:p>
    <w:p w14:paraId="7D9320D0" w14:textId="77777777" w:rsidR="007269CF" w:rsidRPr="00BB63D0" w:rsidRDefault="007269CF" w:rsidP="009C67ED">
      <w:pPr>
        <w:pStyle w:val="Caso"/>
      </w:pPr>
      <w:r w:rsidRPr="00BB63D0">
        <w:t>Corte IDH. Caso I.V. Vs. Bolivia. Excepciones Preliminares, Fondo, Reparaciones y Costas. Sentencia de 30 de noviembre de 2016. Serie C No. 329</w:t>
      </w:r>
      <w:r w:rsidRPr="00BB63D0">
        <w:rPr>
          <w:rStyle w:val="Refdenotaalpie"/>
        </w:rPr>
        <w:footnoteReference w:id="24"/>
      </w:r>
    </w:p>
    <w:p w14:paraId="105EBF54" w14:textId="77777777" w:rsidR="007269CF" w:rsidRPr="00BB63D0" w:rsidRDefault="007269CF" w:rsidP="00BB63D0">
      <w:pPr>
        <w:rPr>
          <w:szCs w:val="20"/>
        </w:rPr>
      </w:pPr>
      <w:r w:rsidRPr="00BB63D0">
        <w:rPr>
          <w:szCs w:val="20"/>
        </w:rPr>
        <w:lastRenderedPageBreak/>
        <w:t>240.</w:t>
      </w:r>
      <w:r w:rsidRPr="00BB63D0">
        <w:rPr>
          <w:szCs w:val="20"/>
        </w:rPr>
        <w:tab/>
        <w:t>Ahora bien, la Corte recuerda que no toda diferencia de trato será reputada discriminatoria, sino sólo aquella que se base en criterios que no puedan ser racionalmente apreciados como objetivos y razonables. Cuando el criterio diferenciador se corresponde con uno de aquellos protegidos por el artículo 1.1 de la Convención que aluden a: i) rasgos permanentes de las personas de los cuales éstas no pueden prescindir sin perder su identidad; ii) grupos tradicionalmente marginados, excluidos o subordinados, y iii) criterios irrelevantes para una distribución equitativa de bienes, derechos o cargas sociales, la Corte se encuentra ante un indicio de que el Estado ha obrado con arbitrariedad. La Corte ha establecido, además, que los criterios específicos en virtud de los cuales está prohibido discriminar, según el artículo 1.1 de la Convención Americana, no constituyen un listado taxativo o limitativo sino meramente enunciativo. De este modo, la Corte estima que la redacción de dicho artículo deja abiertos los criterios con la inclusión del término “otra condición social” para incorporar así a otras categorías que no hubiesen sido explícitamente indicadas, pero que tengan una entidad asimilable, como las personas con estatuto de refugiadas.</w:t>
      </w:r>
    </w:p>
    <w:p w14:paraId="1DDEC56C" w14:textId="291ACE21" w:rsidR="007269CF" w:rsidRDefault="007269CF" w:rsidP="00BB63D0">
      <w:pPr>
        <w:rPr>
          <w:szCs w:val="20"/>
        </w:rPr>
      </w:pPr>
      <w:r w:rsidRPr="00BB63D0">
        <w:rPr>
          <w:szCs w:val="20"/>
        </w:rPr>
        <w:t>241.</w:t>
      </w:r>
      <w:r w:rsidRPr="00BB63D0">
        <w:rPr>
          <w:szCs w:val="20"/>
        </w:rPr>
        <w:tab/>
        <w:t xml:space="preserve">En razón de lo anterior, la Corte considera que </w:t>
      </w:r>
      <w:r w:rsidRPr="009C67ED">
        <w:rPr>
          <w:szCs w:val="20"/>
        </w:rPr>
        <w:t xml:space="preserve">los criterios de análisis para determinar si existió una violación al principio de igualdad y no discriminación en un caso en concreto pueden tener distinta intensidad, dependiendo de los motivos bajo los cuales existe una diferencia de trato. </w:t>
      </w:r>
      <w:r w:rsidRPr="00BB63D0">
        <w:rPr>
          <w:szCs w:val="20"/>
        </w:rPr>
        <w:t>En este sentido, la Corte estima que, cuando se trata de una medida que establece un trato diferenciado en que está de por medio una de estas categorías, la Corte debe aplicar un escrutinio estricto que incorpora elementos especialmente exigentes en el análisis, esto es, que el trato diferente debe constituir una medida necesaria para alcanzar un objetivo convencionalmente imperioso. Así, en este tipo de examen, para analizar la idoneidad de la medida diferenciadora se exige que el fin que persigue no sólo sea legítimo en el marco de la Convención, sino además imperioso. El medio escogido debe ser no sólo adecuado y efectivamente conducente, sino también necesario, es decir, que no pueda ser reemplazado por un medio alternativo menos lesivo. Adicionalmente, se incluye la aplicación de un juicio de proporcionalidad en sentido estricto, conforme al cual los beneficios de adoptar la medida enjuiciada deben ser claramente superiores a las restricciones que ella impone a los principios convencionales afectados con la misma.</w:t>
      </w:r>
    </w:p>
    <w:p w14:paraId="046287C2" w14:textId="3D5370BC" w:rsidR="007269CF" w:rsidRDefault="007269CF" w:rsidP="00C64FDF">
      <w:pPr>
        <w:pStyle w:val="Caso"/>
      </w:pPr>
      <w:r w:rsidRPr="00C64FDF">
        <w:t xml:space="preserve">Corte IDH. Caso de los Buzos </w:t>
      </w:r>
      <w:proofErr w:type="spellStart"/>
      <w:r w:rsidRPr="00C64FDF">
        <w:t>Miskitos</w:t>
      </w:r>
      <w:proofErr w:type="spellEnd"/>
      <w:r w:rsidRPr="00C64FDF">
        <w:t xml:space="preserve"> (</w:t>
      </w:r>
      <w:proofErr w:type="spellStart"/>
      <w:r w:rsidRPr="00C64FDF">
        <w:t>Lemoth</w:t>
      </w:r>
      <w:proofErr w:type="spellEnd"/>
      <w:r w:rsidRPr="00C64FDF">
        <w:t xml:space="preserve"> Morris y otros) Vs. Honduras. Sentencia de 31 de agosto de 2021. Serie C No. 432</w:t>
      </w:r>
      <w:r>
        <w:rPr>
          <w:rStyle w:val="Refdenotaalpie"/>
          <w:lang w:val="es-CR"/>
        </w:rPr>
        <w:footnoteReference w:id="25"/>
      </w:r>
    </w:p>
    <w:p w14:paraId="429882D4" w14:textId="781E9278" w:rsidR="007269CF" w:rsidRPr="00BB63D0" w:rsidRDefault="007269CF" w:rsidP="00BB63D0">
      <w:pPr>
        <w:rPr>
          <w:szCs w:val="20"/>
        </w:rPr>
      </w:pPr>
      <w:r w:rsidRPr="00C64FDF">
        <w:rPr>
          <w:szCs w:val="20"/>
        </w:rPr>
        <w:t xml:space="preserve">100. Respecto de la primera </w:t>
      </w:r>
      <w:proofErr w:type="spellStart"/>
      <w:r w:rsidRPr="00C64FDF">
        <w:rPr>
          <w:szCs w:val="20"/>
        </w:rPr>
        <w:t>concepción</w:t>
      </w:r>
      <w:proofErr w:type="spellEnd"/>
      <w:r w:rsidRPr="00C64FDF">
        <w:rPr>
          <w:szCs w:val="20"/>
        </w:rPr>
        <w:t xml:space="preserve">, el Tribunal advierte que no toda diferencia de trato </w:t>
      </w:r>
      <w:proofErr w:type="spellStart"/>
      <w:r w:rsidRPr="00C64FDF">
        <w:rPr>
          <w:szCs w:val="20"/>
        </w:rPr>
        <w:t>sera</w:t>
      </w:r>
      <w:proofErr w:type="spellEnd"/>
      <w:r w:rsidRPr="00C64FDF">
        <w:rPr>
          <w:szCs w:val="20"/>
        </w:rPr>
        <w:t xml:space="preserve">́ reputada discriminatoria, sino solo aquella que se base en criterios que no puedan ser racionalmente apreciados como objetivos y razonables, es decir, cuando no persigue un fin </w:t>
      </w:r>
      <w:proofErr w:type="spellStart"/>
      <w:r w:rsidRPr="00C64FDF">
        <w:rPr>
          <w:szCs w:val="20"/>
        </w:rPr>
        <w:t>legítimo</w:t>
      </w:r>
      <w:proofErr w:type="spellEnd"/>
      <w:r w:rsidRPr="00C64FDF">
        <w:rPr>
          <w:szCs w:val="20"/>
        </w:rPr>
        <w:t xml:space="preserve"> y no existe una </w:t>
      </w:r>
      <w:proofErr w:type="spellStart"/>
      <w:r w:rsidRPr="00C64FDF">
        <w:rPr>
          <w:szCs w:val="20"/>
        </w:rPr>
        <w:t>relación</w:t>
      </w:r>
      <w:proofErr w:type="spellEnd"/>
      <w:r w:rsidRPr="00C64FDF">
        <w:rPr>
          <w:szCs w:val="20"/>
        </w:rPr>
        <w:t xml:space="preserve"> razonable de proporcionalidad entre los medios utilizados y el fin perseguido. Respecto de la segunda, los Estados </w:t>
      </w:r>
      <w:proofErr w:type="spellStart"/>
      <w:r w:rsidRPr="00C64FDF">
        <w:rPr>
          <w:szCs w:val="20"/>
        </w:rPr>
        <w:t>están</w:t>
      </w:r>
      <w:proofErr w:type="spellEnd"/>
      <w:r w:rsidRPr="00C64FDF">
        <w:rPr>
          <w:szCs w:val="20"/>
        </w:rPr>
        <w:t xml:space="preserve"> obligados a adoptar medidas positivas para revertir o </w:t>
      </w:r>
      <w:r w:rsidRPr="00C64FDF">
        <w:rPr>
          <w:szCs w:val="20"/>
        </w:rPr>
        <w:lastRenderedPageBreak/>
        <w:t xml:space="preserve">cambiar situaciones discriminatorias existentes en sus sociedades, en perjuicio de determinado grupo de personas. Esto implica el deber especial de protección que el Estado debe ejercer con respecto a actuaciones y </w:t>
      </w:r>
      <w:proofErr w:type="spellStart"/>
      <w:r w:rsidRPr="00C64FDF">
        <w:rPr>
          <w:szCs w:val="20"/>
        </w:rPr>
        <w:t>prácticas</w:t>
      </w:r>
      <w:proofErr w:type="spellEnd"/>
      <w:r w:rsidRPr="00C64FDF">
        <w:rPr>
          <w:szCs w:val="20"/>
        </w:rPr>
        <w:t xml:space="preserve"> de terceros que, bajo su tolerancia o aquiescencia, creen, mantengan o favorezcan las situaciones discriminatorias.</w:t>
      </w:r>
    </w:p>
    <w:p w14:paraId="248EBEA9" w14:textId="05C59D23" w:rsidR="007269CF" w:rsidRPr="00BB63D0" w:rsidRDefault="007269CF" w:rsidP="009C67ED">
      <w:pPr>
        <w:pStyle w:val="Ttulo2"/>
      </w:pPr>
      <w:bookmarkStart w:id="4" w:name="_Toc89017867"/>
      <w:r w:rsidRPr="00BB63D0">
        <w:t>Categorías protegidas: inversión de la carga de la prueba y utilización de criterios concretos y no abstractos</w:t>
      </w:r>
      <w:bookmarkEnd w:id="4"/>
    </w:p>
    <w:p w14:paraId="13352EAA" w14:textId="77777777" w:rsidR="007269CF" w:rsidRPr="00BB63D0" w:rsidRDefault="007269CF" w:rsidP="00BB63D0">
      <w:pPr>
        <w:pStyle w:val="Sinespaciado"/>
        <w:rPr>
          <w:szCs w:val="20"/>
          <w:lang w:val="es-ES_tradnl"/>
        </w:rPr>
      </w:pPr>
    </w:p>
    <w:p w14:paraId="7A4BFE5B" w14:textId="77777777" w:rsidR="007269CF" w:rsidRPr="00BB63D0" w:rsidRDefault="007269CF" w:rsidP="009C67ED">
      <w:pPr>
        <w:pStyle w:val="Caso"/>
        <w:rPr>
          <w:lang w:val="es-ES_tradnl"/>
        </w:rPr>
      </w:pPr>
      <w:r w:rsidRPr="00BB63D0">
        <w:rPr>
          <w:lang w:val="es-ES_tradnl"/>
        </w:rPr>
        <w:t>Corte IDH. Caso Atala Riffo y niñas Vs. Chile. Fondo, Reparaciones y Costas. Sentencia de 24 de febrero de 2012. Serie C No. 239</w:t>
      </w:r>
    </w:p>
    <w:p w14:paraId="5069D7A7" w14:textId="77777777" w:rsidR="007269CF" w:rsidRPr="00BB63D0" w:rsidRDefault="007269CF" w:rsidP="00BB63D0">
      <w:pPr>
        <w:rPr>
          <w:szCs w:val="20"/>
        </w:rPr>
      </w:pPr>
      <w:r w:rsidRPr="00BB63D0">
        <w:rPr>
          <w:szCs w:val="20"/>
        </w:rPr>
        <w:t>94.</w:t>
      </w:r>
      <w:r w:rsidRPr="00BB63D0">
        <w:rPr>
          <w:szCs w:val="20"/>
        </w:rPr>
        <w:tab/>
        <w:t>El Tribunal resalta que para comprobar que una diferenciación de trato ha sido utilizada en una decisión particular, no es necesario que la totalidad de dicha decisión esté basada “fundamental y únicamente” en la orientación sexual de la persona, pues basta con constatar que de manera explícita o implícita se tuvo en cuenta hasta cierto grado la orientación sexual de la persona para adoptar una determinada decisión.</w:t>
      </w:r>
    </w:p>
    <w:p w14:paraId="0782FF68" w14:textId="77777777" w:rsidR="007269CF" w:rsidRPr="00BB63D0" w:rsidRDefault="007269CF" w:rsidP="00BB63D0">
      <w:pPr>
        <w:rPr>
          <w:szCs w:val="20"/>
        </w:rPr>
      </w:pPr>
      <w:r w:rsidRPr="00BB63D0">
        <w:rPr>
          <w:szCs w:val="20"/>
        </w:rPr>
        <w:t>98.</w:t>
      </w:r>
      <w:r w:rsidRPr="00BB63D0">
        <w:rPr>
          <w:szCs w:val="20"/>
        </w:rPr>
        <w:tab/>
        <w:t xml:space="preserve">Respecto a la decisión de tuición provisoria, el Tribunal observa que el Juzgado de Menores de Villarrica utilizó como fundamentos: i) que supuestamente la señora Atala había privilegiado sus intereses sobre el bienestar de sus hijas […], y ii) que en “el contexto de una sociedad </w:t>
      </w:r>
      <w:proofErr w:type="spellStart"/>
      <w:r w:rsidRPr="00BB63D0">
        <w:rPr>
          <w:szCs w:val="20"/>
        </w:rPr>
        <w:t>heterosexuada</w:t>
      </w:r>
      <w:proofErr w:type="spellEnd"/>
      <w:r w:rsidRPr="00BB63D0">
        <w:rPr>
          <w:szCs w:val="20"/>
        </w:rPr>
        <w:t xml:space="preserve"> y tradicional” el padre ofrecía una mejor garantía del interés superior de las niñas […]. Al respecto, la Corte constata que, al igual que en la sentencia de la Corte Suprema […], la decisión de tuición provisoria tuvo como fundamento principal la orientación sexual de la señora Atala, por lo que este Tribunal concluye que se realizó una diferencia de trato basada en esta categoría. </w:t>
      </w:r>
    </w:p>
    <w:p w14:paraId="478CF52C" w14:textId="77777777" w:rsidR="007269CF" w:rsidRPr="00BB63D0" w:rsidRDefault="007269CF" w:rsidP="00BB63D0">
      <w:pPr>
        <w:rPr>
          <w:szCs w:val="20"/>
        </w:rPr>
      </w:pPr>
      <w:r w:rsidRPr="00BB63D0">
        <w:rPr>
          <w:szCs w:val="20"/>
        </w:rPr>
        <w:t>109.</w:t>
      </w:r>
      <w:r w:rsidRPr="00BB63D0">
        <w:rPr>
          <w:szCs w:val="20"/>
        </w:rPr>
        <w:tab/>
        <w:t xml:space="preserve">Igualmente, la Corte constata que la determinación del interés superior del niño, en casos de cuidado y custodia de menores de edad se debe hacer a partir de la evaluación de los comportamientos parentales específicos y su impacto negativo en el bienestar y desarrollo del niño según el caso, los daños o riesgos reales y probados, y no especulativos o imaginarios. Por tanto, no pueden ser admisibles las especulaciones, presunciones, estereotipos o consideraciones generalizadas sobre características personales de los padres o preferencias culturales respecto a ciertos conceptos tradicionales de la familia. </w:t>
      </w:r>
    </w:p>
    <w:p w14:paraId="05A68243" w14:textId="77777777" w:rsidR="007269CF" w:rsidRPr="00BB63D0" w:rsidRDefault="007269CF" w:rsidP="00BB63D0">
      <w:pPr>
        <w:rPr>
          <w:szCs w:val="20"/>
        </w:rPr>
      </w:pPr>
      <w:r w:rsidRPr="00BB63D0">
        <w:rPr>
          <w:szCs w:val="20"/>
        </w:rPr>
        <w:t>110.</w:t>
      </w:r>
      <w:r w:rsidRPr="00BB63D0">
        <w:rPr>
          <w:szCs w:val="20"/>
        </w:rPr>
        <w:tab/>
        <w:t>En conclusión, la Corte Interamericana observa que al ser, en abstracto, el “interés superior del niño” un fin legítimo, la sola referencia al mismo sin probar, en concreto, los riesgos o daños que podrían conllevar la orientación sexual de la madre para las niñas, no puede servir de medida idónea para la restricción de un derecho protegido como el de poder ejercer todos los derechos humanos sin discriminación alguna por la orientación sexual de la persona. El interés superior del niño no puede ser utilizado para amparar la discriminación en contra de la madre o el padre por la orientación sexual de cualquiera de ellos. De este modo, el juzgador no puede tomar en consideración esta condición social como elemento para decidir sobre una tuición o custodia.</w:t>
      </w:r>
    </w:p>
    <w:p w14:paraId="5FDFFFAE" w14:textId="77777777" w:rsidR="007269CF" w:rsidRPr="00BB63D0" w:rsidRDefault="007269CF" w:rsidP="00BB63D0">
      <w:pPr>
        <w:rPr>
          <w:szCs w:val="20"/>
        </w:rPr>
      </w:pPr>
      <w:r w:rsidRPr="00BB63D0">
        <w:rPr>
          <w:szCs w:val="20"/>
        </w:rPr>
        <w:t>111.</w:t>
      </w:r>
      <w:r w:rsidRPr="00BB63D0">
        <w:rPr>
          <w:szCs w:val="20"/>
        </w:rPr>
        <w:tab/>
        <w:t>Una determinación a partir de presunciones infundadas y estereotipadas sobre la capacidad e idoneidad parental de poder garantizar y promover el bienestar y desarrollo del niño no es adecuada para garantizar el fin legítimo de proteger el interés superior del niño. La Corte considera que no son admisibles las consideraciones basadas en estereotipos por la orientación sexual, es decir, pre-concepciones de los atributos, conductas o características poseídas por las personas homosexuales o el impacto que estos presuntamente puedan tener en las niñas y los niños.</w:t>
      </w:r>
    </w:p>
    <w:p w14:paraId="2F60B105" w14:textId="77777777" w:rsidR="007269CF" w:rsidRPr="00BB63D0" w:rsidRDefault="007269CF" w:rsidP="00BB63D0">
      <w:pPr>
        <w:rPr>
          <w:szCs w:val="20"/>
        </w:rPr>
      </w:pPr>
      <w:r w:rsidRPr="00BB63D0">
        <w:rPr>
          <w:szCs w:val="20"/>
        </w:rPr>
        <w:lastRenderedPageBreak/>
        <w:t>119.</w:t>
      </w:r>
      <w:r w:rsidRPr="00BB63D0">
        <w:rPr>
          <w:szCs w:val="20"/>
        </w:rPr>
        <w:tab/>
        <w:t xml:space="preserve">La Corte considera que, para justificar una diferencia de trato y la restricción de un derecho, no puede servir de sustento jurídico la alegada posibilidad de discriminación social, probada o no, a la que se podrían enfrentar los menores de edad por condiciones de la madre o el padre. Si bien es cierto que ciertas sociedades pueden ser intolerantes a condiciones como la raza, el sexo, la nacionalidad o la orientación sexual de una persona, los Estados no pueden utilizar esto como justificación para perpetuar tratos discriminatorios. Los Estados están internacionalmente obligados a adoptar las medidas que fueren necesarias “para hacer efectivos” los derechos establecidos en la Convención, como se estipula en el artículo 2 de dicho instrumento interamericano por lo que deben propender, precisamente, por enfrentar las manifestaciones intolerantes y discriminatorias, con el fin de evitar la exclusión o negación de una determinada condición. </w:t>
      </w:r>
    </w:p>
    <w:p w14:paraId="2B73DB7E" w14:textId="77777777" w:rsidR="007269CF" w:rsidRPr="00BB63D0" w:rsidRDefault="007269CF" w:rsidP="00BB63D0">
      <w:pPr>
        <w:rPr>
          <w:szCs w:val="20"/>
        </w:rPr>
      </w:pPr>
      <w:r w:rsidRPr="00BB63D0">
        <w:rPr>
          <w:szCs w:val="20"/>
        </w:rPr>
        <w:t>120.</w:t>
      </w:r>
      <w:r w:rsidRPr="00BB63D0">
        <w:rPr>
          <w:szCs w:val="20"/>
        </w:rPr>
        <w:tab/>
        <w:t>El Tribunal constata que, en el marco de las sociedades contemporáneas se dan cambios sociales, culturales e institucionales encaminados a desarrollos más incluyentes de todas las opciones de vida de sus ciudadanos, lo cual se evidencia en la aceptación social de parejas interraciales, las madres o padres solteros o las parejas divorciadas, las cuales en otros momentos no habían sido aceptadas por la sociedad. En este sentido, el Derecho y los Estados deben ayudar al avance social, de lo contrario se corre el grave riesgo de legitimar y consolidar distintas formas de discriminación violatorias de los derechos humanos.</w:t>
      </w:r>
    </w:p>
    <w:p w14:paraId="16B83FFA" w14:textId="77777777" w:rsidR="007269CF" w:rsidRPr="00BB63D0" w:rsidRDefault="007269CF" w:rsidP="00BB63D0">
      <w:pPr>
        <w:rPr>
          <w:szCs w:val="20"/>
        </w:rPr>
      </w:pPr>
      <w:r w:rsidRPr="00BB63D0">
        <w:rPr>
          <w:szCs w:val="20"/>
        </w:rPr>
        <w:t>121.</w:t>
      </w:r>
      <w:r w:rsidRPr="00BB63D0">
        <w:rPr>
          <w:szCs w:val="20"/>
        </w:rPr>
        <w:tab/>
        <w:t xml:space="preserve">Por otro lado, en cuanto al argumento de que el principio del interés superior del niño puede verse afectado por el riesgo de un rechazo por la sociedad, la Corte considera que un posible estigma social debido a la orientación sexual de la madre o el padre no puede considerarse un "daño" valido a los efectos de la determinación del interés superior del niño. Si los jueces que analizan casos como el presente constatan la existencia de discriminación social es totalmente inadmisible legitimar esa discriminación con el argumento de proteger el interés superior del menor de edad. En el presente caso, el Tribunal resalta que, además, la señora Atala no tenía porque sufrir las consecuencias de que en su comunidad presuntamente las niñas podrían haber sido discriminadas debido a su orientación sexual. </w:t>
      </w:r>
    </w:p>
    <w:p w14:paraId="357B0D12" w14:textId="77777777" w:rsidR="007269CF" w:rsidRPr="00BB63D0" w:rsidRDefault="007269CF" w:rsidP="00BB63D0">
      <w:pPr>
        <w:rPr>
          <w:szCs w:val="20"/>
        </w:rPr>
      </w:pPr>
      <w:r w:rsidRPr="00BB63D0">
        <w:rPr>
          <w:szCs w:val="20"/>
        </w:rPr>
        <w:t>122.</w:t>
      </w:r>
      <w:r w:rsidRPr="00BB63D0">
        <w:rPr>
          <w:szCs w:val="20"/>
        </w:rPr>
        <w:tab/>
        <w:t>Por tanto, la Corte concluye que el argumento de la posible discriminación social no era adecuado para cumplir con la finalidad declarada de proteger el interés superior de las niñas M., V. y R..</w:t>
      </w:r>
    </w:p>
    <w:p w14:paraId="4CB14EAB" w14:textId="77777777" w:rsidR="007269CF" w:rsidRPr="00BB63D0" w:rsidRDefault="007269CF" w:rsidP="00BB63D0">
      <w:pPr>
        <w:rPr>
          <w:szCs w:val="20"/>
          <w:lang w:val="es-ES_tradnl"/>
        </w:rPr>
      </w:pPr>
      <w:r w:rsidRPr="00BB63D0">
        <w:rPr>
          <w:szCs w:val="20"/>
          <w:lang w:val="es-ES_tradnl"/>
        </w:rPr>
        <w:t>124.</w:t>
      </w:r>
      <w:r w:rsidRPr="00BB63D0">
        <w:rPr>
          <w:szCs w:val="20"/>
          <w:lang w:val="es-ES_tradnl"/>
        </w:rPr>
        <w:tab/>
        <w:t xml:space="preserve">Tratándose de la prohibición de discriminación por orientación sexual, </w:t>
      </w:r>
      <w:r w:rsidRPr="00BB63D0">
        <w:rPr>
          <w:szCs w:val="20"/>
          <w:shd w:val="clear" w:color="auto" w:fill="EAF1DD" w:themeFill="accent3" w:themeFillTint="33"/>
          <w:lang w:val="es-ES_tradnl"/>
        </w:rPr>
        <w:t xml:space="preserve">la </w:t>
      </w:r>
      <w:r w:rsidRPr="009C67ED">
        <w:rPr>
          <w:szCs w:val="20"/>
          <w:lang w:val="es-ES_tradnl"/>
        </w:rPr>
        <w:t>eventual restricción de un derecho exige una fundamentación rigurosa y de mucho peso, invirtiéndose, además, la carga de la prueba</w:t>
      </w:r>
      <w:r w:rsidRPr="00BB63D0">
        <w:rPr>
          <w:szCs w:val="20"/>
          <w:lang w:val="es-ES_tradnl"/>
        </w:rPr>
        <w:t>, lo que significa que corresponde a la autoridad demostrar que su decisión no tenía un propósito ni un efecto discriminatorio. Esto es especialmente relevante en un caso como el presente, teniendo en cuenta que la determinación de un daño debe sustentarse en evidencia técnica y en dictámenes de expertos e investigadores en aras de establecer conclusiones que no resulten en decisiones discriminatorias.</w:t>
      </w:r>
    </w:p>
    <w:p w14:paraId="4923DBE0" w14:textId="77777777" w:rsidR="007269CF" w:rsidRPr="00BB63D0" w:rsidRDefault="007269CF" w:rsidP="00BB63D0">
      <w:pPr>
        <w:rPr>
          <w:szCs w:val="20"/>
          <w:lang w:val="es-ES_tradnl"/>
        </w:rPr>
      </w:pPr>
      <w:r w:rsidRPr="00BB63D0">
        <w:rPr>
          <w:szCs w:val="20"/>
          <w:lang w:val="es-ES_tradnl"/>
        </w:rPr>
        <w:t>125.</w:t>
      </w:r>
      <w:r w:rsidRPr="00BB63D0">
        <w:rPr>
          <w:szCs w:val="20"/>
          <w:lang w:val="es-ES_tradnl"/>
        </w:rPr>
        <w:tab/>
        <w:t>En efecto, es el Estado el que tiene la carga de la prueba para mostrar que la decisión judicial objeto del debate se ha basado en la existencia de un daño concreto, específico y real en el desarrollo de las niñas. Para ello es necesario que en las decisiones judiciales sobre estos temas se definan de manera específica y concreta los elementos de conexidad y causalidad entre la conducta de la madre o el padre y el supuesto impacto en el desarrollo del niño. De lo contrario, se corre el riesgo de fundamentar la decisión en un estereotipo […] vinculado exclusivamente a la pre-concepción, no sustentada, de que los niños criados por parejas homosexuales necesariamente tendrían dificultades para definir roles de género o sexuales.</w:t>
      </w:r>
    </w:p>
    <w:p w14:paraId="7FB6ED79" w14:textId="77777777" w:rsidR="007269CF" w:rsidRPr="00BB63D0" w:rsidRDefault="007269CF" w:rsidP="00BB63D0">
      <w:pPr>
        <w:rPr>
          <w:szCs w:val="20"/>
        </w:rPr>
      </w:pPr>
      <w:r w:rsidRPr="00BB63D0">
        <w:rPr>
          <w:szCs w:val="20"/>
        </w:rPr>
        <w:t>130.</w:t>
      </w:r>
      <w:r w:rsidRPr="00BB63D0">
        <w:rPr>
          <w:szCs w:val="20"/>
        </w:rPr>
        <w:tab/>
        <w:t xml:space="preserve">El Tribunal observa que, en el presente caso, la Corte Suprema de Justicia de Chile no falló con base en un análisis in abstracto del alegado impacto de la </w:t>
      </w:r>
      <w:r w:rsidRPr="00BB63D0">
        <w:rPr>
          <w:szCs w:val="20"/>
        </w:rPr>
        <w:lastRenderedPageBreak/>
        <w:t xml:space="preserve">orientación sexual de la madre en el desarrollo de las niñas, sino que invocó la supuesta existencia de pruebas concretas. Sin embargo, se limitó en sus consideraciones a la aplicación de un test de daño especulativo limitándose a hacer referencia, respecto al supuesto daño, a la “eventual confusión de roles sexuales” y la “situación de riesgo para el desarrollo” de las niñas. La Corte Suprema de Justicia afirmó la existencia de un “deterioro experimentado por el entorno social, familiar y educacional en que se </w:t>
      </w:r>
      <w:proofErr w:type="spellStart"/>
      <w:r w:rsidRPr="00BB63D0">
        <w:rPr>
          <w:szCs w:val="20"/>
        </w:rPr>
        <w:t>desenv</w:t>
      </w:r>
      <w:proofErr w:type="spellEnd"/>
      <w:r w:rsidRPr="00BB63D0">
        <w:rPr>
          <w:szCs w:val="20"/>
        </w:rPr>
        <w:t>[</w:t>
      </w:r>
      <w:proofErr w:type="spellStart"/>
      <w:r w:rsidRPr="00BB63D0">
        <w:rPr>
          <w:szCs w:val="20"/>
        </w:rPr>
        <w:t>olvía</w:t>
      </w:r>
      <w:proofErr w:type="spellEnd"/>
      <w:r w:rsidRPr="00BB63D0">
        <w:rPr>
          <w:szCs w:val="20"/>
        </w:rPr>
        <w:t xml:space="preserve">] la existencia de las menores” de edad, como consecuencia de la convivencia de la madre con su pareja, sin especificar en qué consistía la relación de causalidad entre dicha convivencia y el supuesto deterioro. No expuso argumentos para desvirtuar la posibilidad que el supuesto deterioro no se hubiera producido con ocasión de la nueva convivencia, sino como consecuencia de la separación anterior de la madre y el padre y los posibles efectos negativos que se podrían generar para las menores de edad. La Corte Suprema de Justicia tampoco se ocupó de exponer argumentos específicos para sustentar la situación familiar del padre como más favorable. La motivación de la Corte Suprema de Justicia se centró en los posibles daños psicológicos que podrían producirse en las tres niñas por el hecho de vivir con una pareja homosexual, sin aludir a razones de suficiente peso que permitieran desvirtuar que la orientación sexual de la madre o el padre no tiene un efecto negativo para el bienestar psicológico y emocional, el desarrollo, la orientación sexual y las relaciones sociales del niño o la niña. </w:t>
      </w:r>
    </w:p>
    <w:p w14:paraId="27C137A4" w14:textId="77777777" w:rsidR="007269CF" w:rsidRPr="00BB63D0" w:rsidRDefault="007269CF" w:rsidP="00BB63D0">
      <w:pPr>
        <w:rPr>
          <w:szCs w:val="20"/>
        </w:rPr>
      </w:pPr>
      <w:r w:rsidRPr="00BB63D0">
        <w:rPr>
          <w:szCs w:val="20"/>
        </w:rPr>
        <w:t>131.</w:t>
      </w:r>
      <w:r w:rsidRPr="00BB63D0">
        <w:rPr>
          <w:szCs w:val="20"/>
        </w:rPr>
        <w:tab/>
        <w:t>La Corte Interamericana concluye que la Corte Suprema de Justicia no cumplió con los requisitos de un test estricto de análisis y sustentación de un daño concreto y específico supuestamente sufrido por las tres niñas a causa de la convivencia de su madre con una pareja del mismo sexo. Además, el Tribunal considera que, en el caso concreto, el hecho de vivir con su madre y su pareja no privaba a las niñas del rol paterno, por cuanto el objeto del proceso de tuición no implicaba que el padre hubiera perdido el contacto con ellas.</w:t>
      </w:r>
    </w:p>
    <w:p w14:paraId="3A804BA5" w14:textId="1A1F0469" w:rsidR="007269CF" w:rsidRPr="00BB63D0" w:rsidRDefault="007269CF" w:rsidP="009C67ED">
      <w:pPr>
        <w:pStyle w:val="Caso"/>
      </w:pPr>
      <w:r w:rsidRPr="00BB63D0">
        <w:t xml:space="preserve">Corte IDH. Caso </w:t>
      </w:r>
      <w:proofErr w:type="spellStart"/>
      <w:r w:rsidRPr="00BB63D0">
        <w:t>Nadege</w:t>
      </w:r>
      <w:proofErr w:type="spellEnd"/>
      <w:r w:rsidRPr="00BB63D0">
        <w:t xml:space="preserve"> </w:t>
      </w:r>
      <w:proofErr w:type="spellStart"/>
      <w:r w:rsidRPr="00BB63D0">
        <w:t>Dorzema</w:t>
      </w:r>
      <w:proofErr w:type="spellEnd"/>
      <w:r w:rsidRPr="00BB63D0">
        <w:t xml:space="preserve"> y otros Vs. República Dominicana. Fondo Reparaciones y Costas. Sentencia de 24 de octubre de 2012. Serie C No. 251</w:t>
      </w:r>
      <w:r>
        <w:rPr>
          <w:rStyle w:val="Refdenotaalpie"/>
        </w:rPr>
        <w:footnoteReference w:id="26"/>
      </w:r>
    </w:p>
    <w:p w14:paraId="66E2D434" w14:textId="77777777" w:rsidR="007269CF" w:rsidRPr="00BB63D0" w:rsidRDefault="007269CF" w:rsidP="00BB63D0">
      <w:pPr>
        <w:rPr>
          <w:szCs w:val="20"/>
        </w:rPr>
      </w:pPr>
      <w:r w:rsidRPr="00BB63D0">
        <w:rPr>
          <w:szCs w:val="20"/>
        </w:rPr>
        <w:t>229.</w:t>
      </w:r>
      <w:r w:rsidRPr="00BB63D0">
        <w:rPr>
          <w:szCs w:val="20"/>
        </w:rPr>
        <w:tab/>
        <w:t>Al respecto, esta Corte reconoce la dificultad de demostrar casos de perjuicio racial por parte de quienes son objeto de discriminación, por lo que coincide con el Tribunal Europeo en el sentido que, en ciertos casos de violaciones a derechos humanos motivados por discriminación, la carga de la prueba también recae en el Estado, quien tiene el control de los medios para aclarar hechos ocurridos dentro de su territorio.</w:t>
      </w:r>
    </w:p>
    <w:p w14:paraId="26F3B1DF" w14:textId="77777777" w:rsidR="007269CF" w:rsidRPr="00BB63D0" w:rsidRDefault="007269CF" w:rsidP="009C67ED">
      <w:pPr>
        <w:pStyle w:val="Caso"/>
      </w:pPr>
      <w:r w:rsidRPr="00BB63D0">
        <w:t xml:space="preserve">Corte IDH. Caso </w:t>
      </w:r>
      <w:proofErr w:type="spellStart"/>
      <w:r w:rsidRPr="00BB63D0">
        <w:t>Granier</w:t>
      </w:r>
      <w:proofErr w:type="spellEnd"/>
      <w:r w:rsidRPr="00BB63D0">
        <w:t xml:space="preserve"> y otros (Radio Caracas Televisión) Vs. Venezuela. Excepciones Preliminares, Fondo, Reparaciones y Costas. Sentencia de 22 de junio de 2015. Serie C No. 293</w:t>
      </w:r>
      <w:r w:rsidRPr="00BB63D0">
        <w:rPr>
          <w:rStyle w:val="Refdenotaalpie"/>
        </w:rPr>
        <w:footnoteReference w:id="27"/>
      </w:r>
    </w:p>
    <w:p w14:paraId="6DFB8FD3" w14:textId="77777777" w:rsidR="007269CF" w:rsidRPr="00BB63D0" w:rsidRDefault="007269CF" w:rsidP="00BB63D0">
      <w:pPr>
        <w:rPr>
          <w:szCs w:val="20"/>
        </w:rPr>
      </w:pPr>
      <w:r w:rsidRPr="00BB63D0">
        <w:rPr>
          <w:szCs w:val="20"/>
        </w:rPr>
        <w:lastRenderedPageBreak/>
        <w:t>228.</w:t>
      </w:r>
      <w:r w:rsidRPr="00BB63D0">
        <w:rPr>
          <w:szCs w:val="20"/>
        </w:rPr>
        <w:tab/>
        <w:t>La Corte resalta que tratándose de la prohibición de discriminación por una de las categorías protegidas contempladas en el artículo 1.1 de la Convención, la eventual restricción de un derecho exige una fundamentación rigurosa y de mucho peso, invirtiéndose, además, la carga de la prueba, lo que significa que corresponde a la autoridad demostrar que su decisión no tenía un propósito ni un efecto discriminatorio. En el presente caso, ante la comprobación de que el trato diferenciado hacia RCTV estaba basado en una de las categorías prohibidas, el Estado tenía la obligación de demostrar que la decisión de reservarse el espectro no tenía una finalidad o efecto discriminatorio.</w:t>
      </w:r>
    </w:p>
    <w:p w14:paraId="66C98D5B" w14:textId="77777777" w:rsidR="007269CF" w:rsidRPr="00BB63D0" w:rsidRDefault="007269CF" w:rsidP="009C67ED">
      <w:pPr>
        <w:pStyle w:val="Caso"/>
        <w:rPr>
          <w:lang w:val="es-ES"/>
        </w:rPr>
      </w:pPr>
      <w:r w:rsidRPr="00BB63D0">
        <w:t>Corte IDH. Caso Gonzales Lluy y otros Vs. Ecuador. Excepciones Preliminares, Fondo, Reparaciones y Costas. Sentencia de 1 de septiembre de 2015. Serie C No. 298</w:t>
      </w:r>
      <w:r w:rsidRPr="00BB63D0">
        <w:rPr>
          <w:rStyle w:val="Refdenotaalpie"/>
          <w:lang w:val="es-ES"/>
        </w:rPr>
        <w:footnoteReference w:id="28"/>
      </w:r>
    </w:p>
    <w:p w14:paraId="5D40D810" w14:textId="77777777" w:rsidR="007269CF" w:rsidRPr="00BB63D0" w:rsidRDefault="007269CF" w:rsidP="00BB63D0">
      <w:pPr>
        <w:rPr>
          <w:szCs w:val="20"/>
        </w:rPr>
      </w:pPr>
      <w:r w:rsidRPr="00BB63D0">
        <w:rPr>
          <w:szCs w:val="20"/>
        </w:rPr>
        <w:t>257.</w:t>
      </w:r>
      <w:r w:rsidRPr="00BB63D0">
        <w:rPr>
          <w:szCs w:val="20"/>
        </w:rPr>
        <w:tab/>
        <w:t xml:space="preserve">En este marco, la Corte resalta que tratándose de la prohibición de discriminación por una de las categorías protegidas contempladas en el artículo 1.1 de la Convención, la eventual restricción de un derecho exige una fundamentación rigurosa y de mucho peso, lo cual implica que las razones utilizadas por el Estado para realizar la diferenciación de trato deben ser particularmente serias y estar sustentadas en una argumentación exhaustiva. Además, se invierte la carga de la prueba, lo que significa que corresponde a la autoridad demostrar que su decisión no tenía un propósito ni un efecto discriminatorio. En el presente caso, ante la comprobación de que el trato diferenciado hacia Talía estaba basado en una de las categorías prohibidas, el Estado tenía la obligación de demostrar que la decisión de retirar a Talía no tenía una finalidad o efecto discriminatorio. Para examinar la justificación esgrimida por el Estado, la Corte utilizará entonces, en el marco del juicio estricto de igualdad, el llamando </w:t>
      </w:r>
      <w:r w:rsidRPr="009C67ED">
        <w:rPr>
          <w:szCs w:val="20"/>
        </w:rPr>
        <w:t>juicio de proporcionalidad</w:t>
      </w:r>
      <w:r w:rsidRPr="00BB63D0">
        <w:rPr>
          <w:szCs w:val="20"/>
        </w:rPr>
        <w:t>, que ya ha sido utilizado en ocasiones anteriores para medir si una limitación a un derecho resulta ser compatible con la Convención Americana.</w:t>
      </w:r>
    </w:p>
    <w:p w14:paraId="1BADCF42" w14:textId="77777777" w:rsidR="007269CF" w:rsidRPr="00BB63D0" w:rsidRDefault="007269CF" w:rsidP="00BB63D0">
      <w:pPr>
        <w:rPr>
          <w:szCs w:val="20"/>
        </w:rPr>
      </w:pPr>
      <w:r w:rsidRPr="00BB63D0">
        <w:rPr>
          <w:szCs w:val="20"/>
        </w:rPr>
        <w:t>258.</w:t>
      </w:r>
      <w:r w:rsidRPr="00BB63D0">
        <w:rPr>
          <w:szCs w:val="20"/>
        </w:rPr>
        <w:tab/>
        <w:t>Es por lo anterior que, si se estipula una diferencia de trato en razón de la condición médica o enfermedad, dicha diferencia de trato debe hacerse en base a criterios médicos y la condición real de salud tomando en cuenta cada caso concreto, evaluando los daños o riesgos reales y probados, y no especulativos o imaginarios. Por tanto, no pueden ser admisibles las especulaciones, presunciones, estereotipos o consideraciones generalizadas sobre las personas con VIH/SIDA o cualquier otro tipo de enfermedad, aun si estos prejuicios se escudan en razones aparentemente legítimas como la protección del derecho a la vida o la salud pública.</w:t>
      </w:r>
    </w:p>
    <w:p w14:paraId="75F4CA99" w14:textId="77777777" w:rsidR="007269CF" w:rsidRPr="00BB63D0" w:rsidRDefault="007269CF" w:rsidP="00BB63D0">
      <w:pPr>
        <w:rPr>
          <w:szCs w:val="20"/>
        </w:rPr>
      </w:pPr>
      <w:r w:rsidRPr="00BB63D0">
        <w:rPr>
          <w:szCs w:val="20"/>
        </w:rPr>
        <w:lastRenderedPageBreak/>
        <w:t>259.</w:t>
      </w:r>
      <w:r w:rsidRPr="00BB63D0">
        <w:rPr>
          <w:szCs w:val="20"/>
        </w:rPr>
        <w:tab/>
        <w:t xml:space="preserve">Al respecto, en el caso </w:t>
      </w:r>
      <w:proofErr w:type="spellStart"/>
      <w:r w:rsidRPr="00BB63D0">
        <w:rPr>
          <w:szCs w:val="20"/>
        </w:rPr>
        <w:t>Kiyutin</w:t>
      </w:r>
      <w:proofErr w:type="spellEnd"/>
      <w:r w:rsidRPr="00BB63D0">
        <w:rPr>
          <w:szCs w:val="20"/>
        </w:rPr>
        <w:t xml:space="preserve"> v. Rusia, el Tribunal Europeo consideró como trato discriminatorio el hecho que no se hubiese hecho una adecuada fundamentación a la restricción del derecho a ser residente por el hecho que la víctima tuviese VIH. Además, el Tribunal observó que en ningún momento las autoridades tuvieron en cuenta el estado real de salud de la víctima y los vínculos familiares que pudiesen ligarle a Rusia. Así pues, estableció la condición de vulnerabilidad que enfrentan las personas con VIH/SIDA y los prejuicios de los que han sido víctimas a lo largo de las últimas tres décadas. Este caso es significativo en tanto resalta que la adopción de medidas relativas a personas con VIH/SIDA debe tener como punto de partida su estado de salud real. </w:t>
      </w:r>
    </w:p>
    <w:p w14:paraId="4B0D558E" w14:textId="39967497" w:rsidR="007269CF" w:rsidRPr="009C67ED" w:rsidRDefault="007269CF" w:rsidP="009C67ED">
      <w:pPr>
        <w:pStyle w:val="Ttulo2"/>
      </w:pPr>
      <w:bookmarkStart w:id="5" w:name="_Toc89017868"/>
      <w:r w:rsidRPr="00BB63D0">
        <w:t>Prohibición del Estado de discriminar en forma directa e indirecta</w:t>
      </w:r>
      <w:bookmarkEnd w:id="5"/>
    </w:p>
    <w:p w14:paraId="5997F9BB" w14:textId="77777777" w:rsidR="007269CF" w:rsidRPr="00BB63D0" w:rsidRDefault="007269CF" w:rsidP="00BB63D0">
      <w:pPr>
        <w:pStyle w:val="Sinespaciado"/>
        <w:rPr>
          <w:szCs w:val="20"/>
        </w:rPr>
      </w:pPr>
    </w:p>
    <w:p w14:paraId="36547046" w14:textId="77777777" w:rsidR="007269CF" w:rsidRPr="00BB63D0" w:rsidRDefault="007269CF" w:rsidP="009C67ED">
      <w:pPr>
        <w:pStyle w:val="Caso"/>
      </w:pPr>
      <w:r w:rsidRPr="00BB63D0">
        <w:t>Corte IDH. Condición jurídica y derechos de los migrantes indocumentados. Opinión Consultiva OC-18/03 de 17 de septiembre de 2003. Serie A No. 18</w:t>
      </w:r>
    </w:p>
    <w:p w14:paraId="6063F223" w14:textId="77777777" w:rsidR="007269CF" w:rsidRPr="00BB63D0" w:rsidRDefault="007269CF" w:rsidP="00BB63D0">
      <w:pPr>
        <w:rPr>
          <w:szCs w:val="20"/>
        </w:rPr>
      </w:pPr>
      <w:r w:rsidRPr="00BB63D0">
        <w:rPr>
          <w:szCs w:val="20"/>
        </w:rPr>
        <w:t>103.</w:t>
      </w:r>
      <w:r w:rsidRPr="00BB63D0">
        <w:rPr>
          <w:szCs w:val="20"/>
        </w:rPr>
        <w:tab/>
        <w:t>En cumplimiento de dicha obligación, los Estados deben abstenerse de realizar acciones que de cualquier manera vayan dirigidas, directa o indirectamente, a crear situaciones de discriminación de jure o de facto. Esto se traduce, por ejemplo, en la prohibición de emitir leyes, en sentido amplio, de dictar disposiciones civiles, administrativas o de cualquier otro carácter, así como de favorecer actuaciones y prácticas de sus funcionarios, en aplicación o interpretación de la ley, que discriminen a determinado grupo de personas en razón de su raza, género, color, u otras causales.</w:t>
      </w:r>
    </w:p>
    <w:p w14:paraId="754D1835" w14:textId="77777777" w:rsidR="007269CF" w:rsidRPr="00BB63D0" w:rsidRDefault="007269CF" w:rsidP="00BB63D0">
      <w:pPr>
        <w:rPr>
          <w:szCs w:val="20"/>
          <w:lang w:val="es-ES_tradnl"/>
        </w:rPr>
      </w:pPr>
      <w:r w:rsidRPr="00BB63D0">
        <w:rPr>
          <w:szCs w:val="20"/>
          <w:lang w:val="es-ES_tradnl"/>
        </w:rPr>
        <w:t xml:space="preserve">104. </w:t>
      </w:r>
      <w:proofErr w:type="spellStart"/>
      <w:r w:rsidRPr="00BB63D0">
        <w:rPr>
          <w:szCs w:val="20"/>
          <w:lang w:val="es-ES_tradnl"/>
        </w:rPr>
        <w:t>Además</w:t>
      </w:r>
      <w:proofErr w:type="spellEnd"/>
      <w:r w:rsidRPr="00BB63D0">
        <w:rPr>
          <w:szCs w:val="20"/>
          <w:lang w:val="es-ES_tradnl"/>
        </w:rPr>
        <w:t xml:space="preserve">, los Estados </w:t>
      </w:r>
      <w:proofErr w:type="spellStart"/>
      <w:r w:rsidRPr="00BB63D0">
        <w:rPr>
          <w:szCs w:val="20"/>
          <w:lang w:val="es-ES_tradnl"/>
        </w:rPr>
        <w:t>están</w:t>
      </w:r>
      <w:proofErr w:type="spellEnd"/>
      <w:r w:rsidRPr="00BB63D0">
        <w:rPr>
          <w:szCs w:val="20"/>
          <w:lang w:val="es-ES_tradnl"/>
        </w:rPr>
        <w:t xml:space="preserve"> obligados a adoptar medidas positivas para revertir o cambiar situaciones discriminatorias existentes en sus sociedades, en perjuicio de determinado grupo de personas. Esto implica el deber especial de protección que el Estado debe ejercer con respecto a actuaciones y </w:t>
      </w:r>
      <w:proofErr w:type="spellStart"/>
      <w:r w:rsidRPr="00BB63D0">
        <w:rPr>
          <w:szCs w:val="20"/>
          <w:lang w:val="es-ES_tradnl"/>
        </w:rPr>
        <w:t>prácticas</w:t>
      </w:r>
      <w:proofErr w:type="spellEnd"/>
      <w:r w:rsidRPr="00BB63D0">
        <w:rPr>
          <w:szCs w:val="20"/>
          <w:lang w:val="es-ES_tradnl"/>
        </w:rPr>
        <w:t xml:space="preserve"> de terceros que, bajo su tolerancia o aquiescencia, creen, mantengan o favorezcan las situaciones discriminatorias. </w:t>
      </w:r>
    </w:p>
    <w:p w14:paraId="29A68DE2" w14:textId="081DB2C0" w:rsidR="007269CF" w:rsidRPr="00BB63D0" w:rsidRDefault="007269CF" w:rsidP="009C67ED">
      <w:pPr>
        <w:pStyle w:val="Caso"/>
      </w:pPr>
      <w:r w:rsidRPr="00BB63D0">
        <w:t xml:space="preserve">Corte IDH. Caso Comunidad Indígena </w:t>
      </w:r>
      <w:proofErr w:type="spellStart"/>
      <w:r w:rsidRPr="00BB63D0">
        <w:t>Xákmok</w:t>
      </w:r>
      <w:proofErr w:type="spellEnd"/>
      <w:r w:rsidRPr="00BB63D0">
        <w:t xml:space="preserve"> </w:t>
      </w:r>
      <w:proofErr w:type="spellStart"/>
      <w:r w:rsidRPr="00BB63D0">
        <w:t>Kásek</w:t>
      </w:r>
      <w:proofErr w:type="spellEnd"/>
      <w:r w:rsidRPr="00BB63D0">
        <w:t xml:space="preserve"> Vs. Paraguay. Fondo, Reparaciones y Costas. Sentencia de 24 de agosto de 2010. Serie C No. 214</w:t>
      </w:r>
      <w:r w:rsidRPr="00DA58FD">
        <w:rPr>
          <w:vertAlign w:val="superscript"/>
        </w:rPr>
        <w:footnoteReference w:id="29"/>
      </w:r>
    </w:p>
    <w:p w14:paraId="759DEED7" w14:textId="392088D4" w:rsidR="007269CF" w:rsidRPr="00BB63D0" w:rsidRDefault="007269CF" w:rsidP="00BB63D0">
      <w:pPr>
        <w:rPr>
          <w:b/>
          <w:szCs w:val="20"/>
        </w:rPr>
      </w:pPr>
      <w:r w:rsidRPr="00BB63D0">
        <w:rPr>
          <w:szCs w:val="20"/>
        </w:rPr>
        <w:t>271.</w:t>
      </w:r>
      <w:r w:rsidRPr="00BB63D0">
        <w:rPr>
          <w:szCs w:val="20"/>
        </w:rPr>
        <w:tab/>
        <w:t xml:space="preserve">Además, el Tribunal ha señalado que “los Estados deben abstenerse de realizar acciones que de cualquier manera vayan dirigidas, directa o indirectamente, a crear situaciones de discriminación de jure o de facto”(OC-18/03, párr. 103).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 (OC-18/03, párr. 104). </w:t>
      </w:r>
      <w:r w:rsidR="00651730">
        <w:rPr>
          <w:rStyle w:val="EnelmismoCar"/>
        </w:rPr>
        <w:t>En similar sentido, ver entre otros</w:t>
      </w:r>
      <w:r w:rsidRPr="009C67ED">
        <w:rPr>
          <w:rStyle w:val="EnelmismoCar"/>
        </w:rPr>
        <w:t xml:space="preserve">: Caso </w:t>
      </w:r>
      <w:proofErr w:type="spellStart"/>
      <w:r w:rsidRPr="009C67ED">
        <w:rPr>
          <w:rStyle w:val="EnelmismoCar"/>
        </w:rPr>
        <w:t>Nadege</w:t>
      </w:r>
      <w:proofErr w:type="spellEnd"/>
      <w:r w:rsidRPr="009C67ED">
        <w:rPr>
          <w:rStyle w:val="EnelmismoCar"/>
        </w:rPr>
        <w:t xml:space="preserve"> </w:t>
      </w:r>
      <w:proofErr w:type="spellStart"/>
      <w:r w:rsidRPr="009C67ED">
        <w:rPr>
          <w:rStyle w:val="EnelmismoCar"/>
        </w:rPr>
        <w:t>Dorzema</w:t>
      </w:r>
      <w:proofErr w:type="spellEnd"/>
      <w:r w:rsidRPr="009C67ED">
        <w:rPr>
          <w:rStyle w:val="EnelmismoCar"/>
        </w:rPr>
        <w:t xml:space="preserve"> y otros Vs. República Dominicana. Fondo Reparaciones y Costas. Sentencia de 24 de octubre de 2012. Serie C No. 251, párr. 236; Caso Atala Riffo y </w:t>
      </w:r>
      <w:r w:rsidRPr="009C67ED">
        <w:rPr>
          <w:rStyle w:val="EnelmismoCar"/>
        </w:rPr>
        <w:lastRenderedPageBreak/>
        <w:t xml:space="preserve">niñas Vs. Chile. Fondo, Reparaciones y Costas. Sentencia de 24 de febrero de 2012. Serie C No. 239, párr. 80; Caso Espinoza Gonzáles Vs. Perú. Excepciones Preliminares, Fondo, Reparaciones y Costas. Sentencia de 20 de noviembre de 2014. Serie C No. 289, párr. 220; Caso Norín Catrimán y otros (Dirigentes, miembros y activista del Pueblo Indígena Mapuche) Vs. Chile. Fondo, Reparaciones y Costas. Sentencia de 29 de mayo de 2014. Serie C No. 279, párr. 201; Caso Trabajadores de la Hacienda Brasil Verde Vs. Brasil. Excepciones Preliminares, Fondo, Reparaciones y Costas. Sentencia de 20 de octubre de 2016. Serie C No. 318, párr. 336; Caso de personas dominicanas y haitianas expulsadas Vs. República Dominicana. Excepciones Preliminares, Fondo, Reparaciones y Costas. Sentencia de 28 de agosto de 2014. Serie C No. 282, párr. 263. </w:t>
      </w:r>
    </w:p>
    <w:p w14:paraId="46E0A2D8" w14:textId="77777777" w:rsidR="007269CF" w:rsidRPr="00BB63D0" w:rsidRDefault="007269CF" w:rsidP="00BB63D0">
      <w:pPr>
        <w:rPr>
          <w:b/>
          <w:szCs w:val="20"/>
        </w:rPr>
      </w:pPr>
      <w:r w:rsidRPr="00BB63D0">
        <w:rPr>
          <w:b/>
          <w:szCs w:val="20"/>
        </w:rPr>
        <w:t xml:space="preserve">Corte IDH. Caso </w:t>
      </w:r>
      <w:proofErr w:type="spellStart"/>
      <w:r w:rsidRPr="00BB63D0">
        <w:rPr>
          <w:b/>
          <w:szCs w:val="20"/>
        </w:rPr>
        <w:t>Nadege</w:t>
      </w:r>
      <w:proofErr w:type="spellEnd"/>
      <w:r w:rsidRPr="00BB63D0">
        <w:rPr>
          <w:b/>
          <w:szCs w:val="20"/>
        </w:rPr>
        <w:t xml:space="preserve"> </w:t>
      </w:r>
      <w:proofErr w:type="spellStart"/>
      <w:r w:rsidRPr="00BB63D0">
        <w:rPr>
          <w:b/>
          <w:szCs w:val="20"/>
        </w:rPr>
        <w:t>Dorzema</w:t>
      </w:r>
      <w:proofErr w:type="spellEnd"/>
      <w:r w:rsidRPr="00BB63D0">
        <w:rPr>
          <w:b/>
          <w:szCs w:val="20"/>
        </w:rPr>
        <w:t xml:space="preserve"> y otros Vs. República Dominicana. Fondo Reparaciones y Costas. Sentencia de 24 de octubre de 2012. Serie C No. 251</w:t>
      </w:r>
    </w:p>
    <w:p w14:paraId="32D4124F" w14:textId="6F45C2B0" w:rsidR="007269CF" w:rsidRPr="00BB63D0" w:rsidRDefault="007269CF" w:rsidP="00BB63D0">
      <w:pPr>
        <w:rPr>
          <w:b/>
          <w:szCs w:val="20"/>
        </w:rPr>
      </w:pPr>
      <w:r w:rsidRPr="00BB63D0">
        <w:rPr>
          <w:szCs w:val="20"/>
        </w:rPr>
        <w:t>234.</w:t>
      </w:r>
      <w:r w:rsidRPr="00BB63D0">
        <w:rPr>
          <w:szCs w:val="20"/>
        </w:rPr>
        <w:tab/>
        <w:t xml:space="preserve">En este sentido, la Corte recuerda que el derecho internacional de los derechos humanos no sólo prohíbe políticas y prácticas deliberadamente discriminatorias, sino también </w:t>
      </w:r>
      <w:r w:rsidRPr="009C67ED">
        <w:rPr>
          <w:szCs w:val="20"/>
        </w:rPr>
        <w:t>aquellas cuyo impacto sea discriminatorio contra ciertas categorías de personas</w:t>
      </w:r>
      <w:r w:rsidRPr="00BB63D0">
        <w:rPr>
          <w:szCs w:val="20"/>
        </w:rPr>
        <w:t>, aun cuando no se pueda probar la intención discriminatoria</w:t>
      </w:r>
      <w:r w:rsidRPr="009C67ED">
        <w:rPr>
          <w:rStyle w:val="EnelmismoCar"/>
        </w:rPr>
        <w:t xml:space="preserve">. </w:t>
      </w:r>
      <w:r w:rsidR="00651730">
        <w:rPr>
          <w:rStyle w:val="EnelmismoCar"/>
        </w:rPr>
        <w:t>En similar sentido, ver entre otros</w:t>
      </w:r>
      <w:r w:rsidRPr="009C67ED">
        <w:rPr>
          <w:rStyle w:val="EnelmismoCar"/>
        </w:rPr>
        <w:t>: Caso de personas dominicanas y haitianas expulsadas Vs. República Dominicana. Excepciones Preliminares, Fondo, Reparaciones y Costas. Sentencia de 28 de agosto de 2014. Serie C No. 282, párr. 263.</w:t>
      </w:r>
    </w:p>
    <w:p w14:paraId="0CCF3260" w14:textId="69B12AA7" w:rsidR="007269CF" w:rsidRPr="009C67ED" w:rsidRDefault="007269CF" w:rsidP="00BB63D0">
      <w:pPr>
        <w:rPr>
          <w:rStyle w:val="EnelmismoCar"/>
        </w:rPr>
      </w:pPr>
      <w:r w:rsidRPr="00BB63D0">
        <w:rPr>
          <w:szCs w:val="20"/>
        </w:rPr>
        <w:t>235.</w:t>
      </w:r>
      <w:r w:rsidRPr="00BB63D0">
        <w:rPr>
          <w:szCs w:val="20"/>
        </w:rPr>
        <w:tab/>
        <w:t xml:space="preserve">La Corte estima que una violación del derecho a la igualdad y no discriminación se produce también ante situaciones y casos de discriminación indirecta reflejada en el impacto desproporcionado de normas, acciones, políticas o en otras medidas que, aún cuando sean o parezcan ser neutrales en su formulación, o tengan un alcance general y no diferenciado, produzcan efectos negativos para ciertos grupos vulnerables. Tal concepto de discriminación indirecta también ha sido reconocido, entre otros órganos, por el Tribunal Europeo de Derechos Humanos, el cual ha establecido que cuando una política general o medida tiene un efecto desproporcionado perjudicial en un grupo particular puede ser considerada discriminatoria aún si no fue dirigida específicamente a ese grupo. </w:t>
      </w:r>
      <w:r w:rsidR="00651730">
        <w:rPr>
          <w:rStyle w:val="EnelmismoCar"/>
        </w:rPr>
        <w:t>En similar sentido, ver entre otros</w:t>
      </w:r>
      <w:r w:rsidRPr="009C67ED">
        <w:rPr>
          <w:rStyle w:val="EnelmismoCar"/>
        </w:rPr>
        <w:t xml:space="preserve">: Caso de personas dominicanas y haitianas expulsadas Vs. República Dominicana. Excepciones Preliminares, Fondo, Reparaciones y Costas. Sentencia de 28 de agosto de 2014. Serie C No. 282, párr. 263. </w:t>
      </w:r>
    </w:p>
    <w:p w14:paraId="03CC3FE8" w14:textId="77777777" w:rsidR="007269CF" w:rsidRPr="00BB63D0" w:rsidRDefault="007269CF" w:rsidP="00BB63D0">
      <w:pPr>
        <w:rPr>
          <w:b/>
          <w:szCs w:val="20"/>
        </w:rPr>
      </w:pPr>
      <w:r w:rsidRPr="00BB63D0">
        <w:rPr>
          <w:b/>
          <w:szCs w:val="20"/>
        </w:rPr>
        <w:t>Corte IDH. Caso Artavia Murillo y otros ("Fecundación in vitro") Vs. Costa Rica. Excepciones Preliminares, Fondo, Reparaciones y Costas Sentencia de 28 noviembre de 2012. Serie C No. 257</w:t>
      </w:r>
    </w:p>
    <w:p w14:paraId="4DBC4F25" w14:textId="77777777" w:rsidR="007269CF" w:rsidRPr="00BB63D0" w:rsidRDefault="007269CF" w:rsidP="00BB63D0">
      <w:pPr>
        <w:rPr>
          <w:szCs w:val="20"/>
        </w:rPr>
      </w:pPr>
      <w:r w:rsidRPr="00BB63D0">
        <w:rPr>
          <w:szCs w:val="20"/>
        </w:rPr>
        <w:t>286.</w:t>
      </w:r>
      <w:r w:rsidRPr="00BB63D0">
        <w:rPr>
          <w:szCs w:val="20"/>
        </w:rPr>
        <w:tab/>
        <w:t xml:space="preserve">El Tribunal ha señalado que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 El Comité de Derechos Humanos, el Comité contra la Discriminación Racial, el Comité para la Eliminación de la Discriminación contra la Mujer y el Comité de Derechos Económicos, Sociales y Culturales han reconocido el concepto de la discriminación indirecta. Este concepto implica que </w:t>
      </w:r>
      <w:r w:rsidRPr="009C67ED">
        <w:rPr>
          <w:szCs w:val="20"/>
        </w:rPr>
        <w:t>una norma o práctica aparentemente neutra, tiene repercusiones particularmente negativas en una persona o grupo con unas características determinadas.</w:t>
      </w:r>
      <w:r w:rsidRPr="00BB63D0">
        <w:rPr>
          <w:szCs w:val="20"/>
        </w:rPr>
        <w:t xml:space="preserve"> Es posible que quien haya establecido esta norma o práctica no sea consciente de esas consecuencias prácticas y, en tal caso, la intención de discriminar no es lo esencial y procede una inversión de la carga de la prueba. Al respecto, el Comité sobre las Personas con Discapacidad ha señalado que “una ley que se aplique con imparcialidad puede tener un efecto discriminatorio si no se toman en consideración las circunstancias particulares de las personas a las que se aplique”. Por su parte, el Tribunal Europeo de Derechos Humanos también ha desarrollado el concepto de discriminación indirecta, estableciendo que cuando una política general o medida tiene un efecto </w:t>
      </w:r>
      <w:r w:rsidRPr="00BB63D0">
        <w:rPr>
          <w:szCs w:val="20"/>
        </w:rPr>
        <w:lastRenderedPageBreak/>
        <w:t xml:space="preserve">desproporcionadamente prejudicial en un grupo particular, esta puede ser considerado discriminatoria aún si no fue dirigido específicamente a ese grupo. </w:t>
      </w:r>
    </w:p>
    <w:p w14:paraId="4C350A32" w14:textId="77777777" w:rsidR="007269CF" w:rsidRPr="00BB63D0" w:rsidRDefault="007269CF" w:rsidP="00BB63D0">
      <w:pPr>
        <w:rPr>
          <w:szCs w:val="20"/>
        </w:rPr>
      </w:pPr>
      <w:r w:rsidRPr="00BB63D0">
        <w:rPr>
          <w:szCs w:val="20"/>
        </w:rPr>
        <w:t>287.</w:t>
      </w:r>
      <w:r w:rsidRPr="00BB63D0">
        <w:rPr>
          <w:szCs w:val="20"/>
        </w:rPr>
        <w:tab/>
        <w:t>La Corte considera que el concepto de impacto desproporcionado está ligado al de discriminación indirecta, razón por la cual se entra a analizar si en el presente caso existió un impacto desproporcionado respecto a discapacidad, género y situación económica.</w:t>
      </w:r>
    </w:p>
    <w:p w14:paraId="29D4EC25" w14:textId="322EC770" w:rsidR="007269CF" w:rsidRPr="00BB63D0" w:rsidRDefault="007269CF" w:rsidP="00326300">
      <w:pPr>
        <w:pStyle w:val="Ttulo2"/>
      </w:pPr>
      <w:bookmarkStart w:id="6" w:name="_Toc89017869"/>
      <w:r w:rsidRPr="00BB63D0">
        <w:t>Discriminación estructural, múltiple e interseccional</w:t>
      </w:r>
      <w:bookmarkEnd w:id="6"/>
      <w:r w:rsidRPr="00BB63D0">
        <w:tab/>
      </w:r>
    </w:p>
    <w:p w14:paraId="687401F5" w14:textId="77777777" w:rsidR="007269CF" w:rsidRPr="00BB63D0" w:rsidRDefault="007269CF" w:rsidP="00BB63D0">
      <w:pPr>
        <w:pStyle w:val="Sinespaciado"/>
        <w:rPr>
          <w:szCs w:val="20"/>
          <w:lang w:val="es-ES_tradnl"/>
        </w:rPr>
      </w:pPr>
    </w:p>
    <w:p w14:paraId="457C0EE3" w14:textId="77777777" w:rsidR="007269CF" w:rsidRPr="00BB63D0" w:rsidRDefault="007269CF" w:rsidP="00BB63D0">
      <w:pPr>
        <w:rPr>
          <w:b/>
          <w:szCs w:val="20"/>
          <w:lang w:val="es-ES_tradnl"/>
        </w:rPr>
      </w:pPr>
      <w:r w:rsidRPr="00BB63D0">
        <w:rPr>
          <w:b/>
          <w:szCs w:val="20"/>
          <w:lang w:val="es-ES_tradnl"/>
        </w:rPr>
        <w:t>Corte IDH. Caso Gonzales Lluy y otros Vs. Ecuador. Excepciones Preliminares, Fondo, Reparaciones y Costas. Sentencia de 1 de septiembre de 2015. Serie C No. 298</w:t>
      </w:r>
    </w:p>
    <w:p w14:paraId="4353F01C" w14:textId="77777777" w:rsidR="007269CF" w:rsidRPr="00BB63D0" w:rsidRDefault="007269CF" w:rsidP="00BB63D0">
      <w:pPr>
        <w:rPr>
          <w:szCs w:val="20"/>
          <w:lang w:val="es-ES_tradnl"/>
        </w:rPr>
      </w:pPr>
      <w:r w:rsidRPr="00BB63D0">
        <w:rPr>
          <w:szCs w:val="20"/>
          <w:lang w:val="es-ES_tradnl"/>
        </w:rPr>
        <w:t>285.</w:t>
      </w:r>
      <w:r w:rsidRPr="00BB63D0">
        <w:rPr>
          <w:szCs w:val="20"/>
          <w:lang w:val="es-ES_tradnl"/>
        </w:rPr>
        <w:tab/>
        <w:t xml:space="preserve">La Corte constata que la discriminación contra Talía ha estado asociada a factores como ser mujer, persona con VIH, persona con discapacidad, ser menor de edad, y su estatus socio económico. Estos aspectos </w:t>
      </w:r>
      <w:r w:rsidRPr="00A30992">
        <w:rPr>
          <w:szCs w:val="20"/>
          <w:lang w:val="es-ES_tradnl"/>
        </w:rPr>
        <w:t>la hicieron más vulnerable y agravaron los daños que sufrió.</w:t>
      </w:r>
    </w:p>
    <w:p w14:paraId="062F2D41" w14:textId="77777777" w:rsidR="007269CF" w:rsidRPr="00BB63D0" w:rsidRDefault="007269CF" w:rsidP="00BB63D0">
      <w:pPr>
        <w:rPr>
          <w:szCs w:val="20"/>
          <w:lang w:val="es-ES_tradnl"/>
        </w:rPr>
      </w:pPr>
      <w:r w:rsidRPr="00BB63D0">
        <w:rPr>
          <w:szCs w:val="20"/>
          <w:lang w:val="es-ES_tradnl"/>
        </w:rPr>
        <w:t>288.</w:t>
      </w:r>
      <w:r w:rsidRPr="00BB63D0">
        <w:rPr>
          <w:szCs w:val="20"/>
          <w:lang w:val="es-ES_tradnl"/>
        </w:rPr>
        <w:tab/>
        <w:t>La Corte nota que ciertos grupos de mujeres padecen discriminación a lo largo de su vida con base en más de un factor combinado con su sexo, lo que aumenta su riesgo de sufrir actos de violencia y otras violaciones de sus derechos humanos. En ese sentido, la Relatora Especial sobre la violencia contra la mujer, sus causas y consecuencias ha establecido que “la discriminación basada en la raza, el origen étnico, el origen nacional, la capacidad, la clase socioeconómica, la orientación sexual, la identidad de género, la religión, la cultura, la tradición y otras realidades intensifica a menudo los actos de violencia contra las mujeres”. En el caso de las mujeres con VIH/SIDA la perspectiva de género exige entender la convivencia con la enfermedad en el marco de los roles y las expectativas que afectan a la vida de las personas, sus opciones e interacciones (sobre todo en relación a su sexualidad, deseos y comportamientos).</w:t>
      </w:r>
    </w:p>
    <w:p w14:paraId="5AE7CA3D" w14:textId="77777777" w:rsidR="007269CF" w:rsidRPr="00BB63D0" w:rsidRDefault="007269CF" w:rsidP="00BB63D0">
      <w:pPr>
        <w:rPr>
          <w:szCs w:val="20"/>
          <w:lang w:val="es-ES_tradnl"/>
        </w:rPr>
      </w:pPr>
      <w:r w:rsidRPr="00BB63D0">
        <w:rPr>
          <w:szCs w:val="20"/>
          <w:lang w:val="es-ES_tradnl"/>
        </w:rPr>
        <w:t>289.</w:t>
      </w:r>
      <w:r w:rsidRPr="00BB63D0">
        <w:rPr>
          <w:szCs w:val="20"/>
          <w:lang w:val="es-ES_tradnl"/>
        </w:rPr>
        <w:tab/>
        <w:t xml:space="preserve">En el presente caso, a través de declaraciones no controvertidas por el Estado, se ilustró sobre el impacto que tuvo la situación de pobreza de la familia Lluy en la forma de abordar el VIH de Talía </w:t>
      </w:r>
      <w:r w:rsidRPr="00BB63D0">
        <w:rPr>
          <w:szCs w:val="20"/>
        </w:rPr>
        <w:t>[…]</w:t>
      </w:r>
      <w:r w:rsidRPr="00BB63D0">
        <w:rPr>
          <w:szCs w:val="20"/>
          <w:lang w:val="es-ES_tradnl"/>
        </w:rPr>
        <w:t xml:space="preserve">. También ha sido explicada la discriminación en el ámbito educativo asociada a la forma como, en forma prejuiciosa y </w:t>
      </w:r>
      <w:proofErr w:type="spellStart"/>
      <w:r w:rsidRPr="00BB63D0">
        <w:rPr>
          <w:szCs w:val="20"/>
          <w:lang w:val="es-ES_tradnl"/>
        </w:rPr>
        <w:t>estigmatizante</w:t>
      </w:r>
      <w:proofErr w:type="spellEnd"/>
      <w:r w:rsidRPr="00BB63D0">
        <w:rPr>
          <w:szCs w:val="20"/>
          <w:lang w:val="es-ES_tradnl"/>
        </w:rPr>
        <w:t xml:space="preserve">, se consideró a Talía Gonzales Lluy como un riesgo para sus compañeros de colegio, no solo en la época en la que fue expulsada de la escuela “Zoila Aurora Palacios” sino en otros momentos en los que intentó </w:t>
      </w:r>
      <w:proofErr w:type="spellStart"/>
      <w:r w:rsidRPr="00BB63D0">
        <w:rPr>
          <w:szCs w:val="20"/>
          <w:lang w:val="es-ES_tradnl"/>
        </w:rPr>
        <w:t>accesar</w:t>
      </w:r>
      <w:proofErr w:type="spellEnd"/>
      <w:r w:rsidRPr="00BB63D0">
        <w:rPr>
          <w:szCs w:val="20"/>
          <w:lang w:val="es-ES_tradnl"/>
        </w:rPr>
        <w:t xml:space="preserve"> al sistema educativo. Asimismo, en el aspecto laboral, la Corte nota que Teresa Lluy fue despedida de su empleo por el estigma que le representaba tener una hija con VIH; y posteriormente en otros trabajos que intentó realizar también fue despedida debido a la condición de Talía de persona con VIH </w:t>
      </w:r>
      <w:r w:rsidRPr="00BB63D0">
        <w:rPr>
          <w:szCs w:val="20"/>
        </w:rPr>
        <w:t>[…]</w:t>
      </w:r>
      <w:r w:rsidRPr="00BB63D0">
        <w:rPr>
          <w:szCs w:val="20"/>
          <w:lang w:val="es-ES_tradnl"/>
        </w:rPr>
        <w:t xml:space="preserve">. </w:t>
      </w:r>
    </w:p>
    <w:p w14:paraId="094665C6" w14:textId="77777777" w:rsidR="007269CF" w:rsidRPr="00BB63D0" w:rsidRDefault="007269CF" w:rsidP="00BB63D0">
      <w:pPr>
        <w:rPr>
          <w:szCs w:val="20"/>
          <w:lang w:val="es-ES_tradnl"/>
        </w:rPr>
      </w:pPr>
      <w:r w:rsidRPr="00BB63D0">
        <w:rPr>
          <w:szCs w:val="20"/>
          <w:lang w:val="es-ES_tradnl"/>
        </w:rPr>
        <w:t>290.</w:t>
      </w:r>
      <w:r w:rsidRPr="00BB63D0">
        <w:rPr>
          <w:szCs w:val="20"/>
          <w:lang w:val="es-ES_tradnl"/>
        </w:rPr>
        <w:tab/>
        <w:t xml:space="preserve">La Corte nota que en el caso de Talía confluyeron en forma interseccional múltiples factores de vulnerabilidad y riesgo de discriminación asociados a su condición de niña, mujer, persona en situación de pobreza y persona con VIH. La discriminación que vivió Talía no sólo fue ocasionada por múltiples factores, sino que derivó en una forma específica de discriminación que resultó de la intersección de dichos factores, es decir, si alguno de dichos factores no hubiese existido, la discriminación habría tenido una naturaleza diferente. En efecto, la pobreza impactó en el acceso inicial a una atención en salud que no fue de calidad y que, por el contrario, generó el contagio con VIH. La situación de pobreza impactó también en las dificultades para encontrar un mejor acceso al sistema educativo y tener una vivienda digna. Posteriormente, siendo una niña con VIH, los obstáculos que sufrió Talía en el acceso a la educación tuvieron un impacto negativo para su desarrollo </w:t>
      </w:r>
      <w:r w:rsidRPr="00BB63D0">
        <w:rPr>
          <w:szCs w:val="20"/>
          <w:lang w:val="es-ES_tradnl"/>
        </w:rPr>
        <w:lastRenderedPageBreak/>
        <w:t xml:space="preserve">integral, que es también un impacto diferenciado teniendo en cuenta el rol de la educación para superar los estereotipos de género. Como niña con VIH necesitaba mayor apoyo del Estado para impulsar su proyecto vida. Como mujer, Talía ha señalado los dilemas que siente en torno a la maternidad futura y su interacción en relaciones de pareja, y ha hecho visible que no ha contado con consejería adecuada. En suma, el caso de Talía ilustra que la estigmatización relacionada con el VIH no impacta en forma homogénea a todas las personas y que resultan más graves los impactos en los grupos que de por sí son marginados. </w:t>
      </w:r>
    </w:p>
    <w:p w14:paraId="6CBB07B6" w14:textId="77777777" w:rsidR="007269CF" w:rsidRPr="00BB63D0" w:rsidRDefault="007269CF" w:rsidP="00BB63D0">
      <w:pPr>
        <w:rPr>
          <w:szCs w:val="20"/>
          <w:lang w:val="es-ES_tradnl"/>
        </w:rPr>
      </w:pPr>
      <w:r w:rsidRPr="00BB63D0">
        <w:rPr>
          <w:szCs w:val="20"/>
          <w:lang w:val="es-ES_tradnl"/>
        </w:rPr>
        <w:t>291.</w:t>
      </w:r>
      <w:r w:rsidRPr="00BB63D0">
        <w:rPr>
          <w:szCs w:val="20"/>
          <w:lang w:val="es-ES_tradnl"/>
        </w:rPr>
        <w:tab/>
        <w:t>Teniendo en cuenta todo lo anterior, este Tribunal concluye que Talía Gonzales Lluy sufrió una discriminación derivada de su condición de persona con VIH, niña, mujer, y viviendo en condición de pobreza. Por todo lo anterior, la Corte considera que el Estado ecuatoriano violó el derecho a la educación contenido en el artículo 13 del Protocolo de San Salvador, en relación con los artículos 19 y 1.1 de la Convención Americana en perjuicio de Talía Gonzales Lluy.</w:t>
      </w:r>
    </w:p>
    <w:p w14:paraId="5E23C674" w14:textId="77777777" w:rsidR="007269CF" w:rsidRPr="00BB63D0" w:rsidRDefault="007269CF" w:rsidP="00BB63D0">
      <w:pPr>
        <w:rPr>
          <w:b/>
          <w:szCs w:val="20"/>
          <w:lang w:val="es-ES_tradnl"/>
        </w:rPr>
      </w:pPr>
      <w:r w:rsidRPr="00BB63D0">
        <w:rPr>
          <w:b/>
          <w:szCs w:val="20"/>
          <w:lang w:val="es-ES_tradnl"/>
        </w:rPr>
        <w:t>Corte IDH. Caso Trabajadores de la Hacienda Brasil Verde Vs. Brasil. Excepciones Preliminares, Fondo, Reparaciones y Costas. Sentencia de 20 de octubre de 2016. Serie C No. 318</w:t>
      </w:r>
      <w:r w:rsidRPr="00BB63D0">
        <w:rPr>
          <w:rStyle w:val="Refdenotaalpie"/>
          <w:b/>
          <w:szCs w:val="20"/>
          <w:lang w:val="es-ES_tradnl"/>
        </w:rPr>
        <w:footnoteReference w:id="30"/>
      </w:r>
    </w:p>
    <w:p w14:paraId="1D813B5E" w14:textId="77777777" w:rsidR="007269CF" w:rsidRPr="00BB63D0" w:rsidRDefault="007269CF" w:rsidP="00BB63D0">
      <w:pPr>
        <w:rPr>
          <w:szCs w:val="20"/>
        </w:rPr>
      </w:pPr>
      <w:r w:rsidRPr="00BB63D0">
        <w:rPr>
          <w:szCs w:val="20"/>
        </w:rPr>
        <w:t>334.</w:t>
      </w:r>
      <w:r w:rsidRPr="00BB63D0">
        <w:rPr>
          <w:szCs w:val="20"/>
        </w:rPr>
        <w:tab/>
        <w:t>Con respecto a la discriminación estructural, la Corte hace notar la inclusión de la alegada violación del artículo 24 de la Convención (Igualdad ante la Ley) en el escrito de alegatos finales de los representantes, sin que hayan presentado algún alegato o explicación para esa inclusión y cambio de postura. En ese sentido, la Corte recuerda que mientras que la obligación general del artículo 1.1 se refiere al deber del Estado de respetar y garantizar “sin discriminación” los derechos contenidos en la Convención Americana, el artículo 24 protege el derecho a “igual protección de la ley”. Es decir, el artículo 24 de la Convención Americana prohíbe la discriminación de derecho o de hecho, no solo en cuanto a los derechos contenidos en dicho tratado, sino en lo que respecta a todas las leyes que apruebe el Estado y a su aplicación.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 la Convención.</w:t>
      </w:r>
    </w:p>
    <w:p w14:paraId="01CF35DB" w14:textId="77777777" w:rsidR="007269CF" w:rsidRPr="00BB63D0" w:rsidRDefault="007269CF" w:rsidP="00BB63D0">
      <w:pPr>
        <w:rPr>
          <w:szCs w:val="20"/>
        </w:rPr>
      </w:pPr>
      <w:r w:rsidRPr="00BB63D0">
        <w:rPr>
          <w:szCs w:val="20"/>
        </w:rPr>
        <w:t>335.</w:t>
      </w:r>
      <w:r w:rsidRPr="00BB63D0">
        <w:rPr>
          <w:szCs w:val="20"/>
        </w:rPr>
        <w:tab/>
        <w:t xml:space="preserve">Por otro lado, en relación con el artículo 1.1 de la Convención, la Corte ha establecido que es una norma de carácter general cuyo contenido se extiende a todas las disposiciones del tratado, y dispone la obligación de los Estados Parte de respetar y garantizar el pleno y libre ejercicio de los derechos y libertades allí reconocidas “sin discriminación alguna”. Es decir, cualquiera que sea el origen o la forma que asuma, todo tratamiento que pueda ser considerado discriminatorio respecto del ejercicio de cualquiera de los derechos garantizados en la Convención es per se incompatible con la misma. El incumplimiento por el Estado, mediante cualquier tratamiento </w:t>
      </w:r>
      <w:r w:rsidRPr="00BB63D0">
        <w:rPr>
          <w:szCs w:val="20"/>
        </w:rPr>
        <w:lastRenderedPageBreak/>
        <w:t>discriminatorio,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 Al respecto, la Corte destaca que a diferencia de otros tratados de derechos humanos, la “posición económica” de la persona es una de las causales de discriminación prohibidas por el artículo 1.1 de la Convención Americana.</w:t>
      </w:r>
    </w:p>
    <w:p w14:paraId="0551C896" w14:textId="15B2A0A1" w:rsidR="007269CF" w:rsidRPr="00BB63D0" w:rsidRDefault="007269CF" w:rsidP="00BB63D0">
      <w:pPr>
        <w:rPr>
          <w:szCs w:val="20"/>
          <w:lang w:val="es-MX"/>
        </w:rPr>
      </w:pPr>
      <w:r w:rsidRPr="00BB63D0">
        <w:rPr>
          <w:szCs w:val="20"/>
          <w:lang w:val="es-MX"/>
        </w:rPr>
        <w:t>336.</w:t>
      </w:r>
      <w:r w:rsidRPr="00BB63D0">
        <w:rPr>
          <w:szCs w:val="20"/>
          <w:lang w:val="es-MX"/>
        </w:rPr>
        <w:tab/>
        <w:t>La Corte ha señalado que “los Estados deben abstenerse de realizar acciones que de cualquier manera vayan dirigidas, directa o indirectamente, a crear situaciones de discriminación de jure o de facto”. Los Estados están obligados “a adoptar medidas positivas para revertir o cambiar situaciones discriminatorias existentes en sus sociedades, en perjuicio de determinado grupo de personas. Esto implica el deber especial de protección que el Estado debe ejercer con respecto de actuaciones y prácticas de terceros que, bajo su tolerancia o aquiescencia, creen, mantengan o favorezcan las situaciones discriminatorias”.</w:t>
      </w:r>
    </w:p>
    <w:p w14:paraId="2D88D48C" w14:textId="77777777" w:rsidR="007269CF" w:rsidRPr="00BB63D0" w:rsidRDefault="007269CF" w:rsidP="00BB63D0">
      <w:pPr>
        <w:rPr>
          <w:szCs w:val="20"/>
          <w:lang w:val="es-ES_tradnl"/>
        </w:rPr>
      </w:pPr>
      <w:r w:rsidRPr="00BB63D0">
        <w:rPr>
          <w:szCs w:val="20"/>
          <w:lang w:val="es-ES_tradnl"/>
        </w:rPr>
        <w:t>337.</w:t>
      </w:r>
      <w:r w:rsidRPr="00BB63D0">
        <w:rPr>
          <w:szCs w:val="20"/>
          <w:lang w:val="es-ES_tradnl"/>
        </w:rPr>
        <w:tab/>
        <w:t xml:space="preserve">La Corte se ha pronunciado en el sentido de establecer que 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El Tribunal recuerda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extrema pobreza o marginación. </w:t>
      </w:r>
    </w:p>
    <w:p w14:paraId="754ED637" w14:textId="77777777" w:rsidR="007269CF" w:rsidRPr="00BB63D0" w:rsidRDefault="007269CF" w:rsidP="00BB63D0">
      <w:pPr>
        <w:rPr>
          <w:szCs w:val="20"/>
          <w:lang w:val="es-ES_tradnl"/>
        </w:rPr>
      </w:pPr>
      <w:r w:rsidRPr="00BB63D0">
        <w:rPr>
          <w:szCs w:val="20"/>
          <w:lang w:val="es-ES_tradnl"/>
        </w:rPr>
        <w:t>338.</w:t>
      </w:r>
      <w:r w:rsidRPr="00BB63D0">
        <w:rPr>
          <w:szCs w:val="20"/>
          <w:lang w:val="es-ES_tradnl"/>
        </w:rPr>
        <w:tab/>
        <w:t xml:space="preserve">La Corte estima que el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 La propia victimización de estas demuestra su particular vulnerabilidad, lo que demanda una acción de protección también particular, que en el caso de las personas reclutadas en la Hacienda Brasil Verde se ha omitido. </w:t>
      </w:r>
    </w:p>
    <w:p w14:paraId="6C7CE4FD" w14:textId="77777777" w:rsidR="007269CF" w:rsidRPr="00BB63D0" w:rsidRDefault="007269CF" w:rsidP="00BB63D0">
      <w:pPr>
        <w:rPr>
          <w:szCs w:val="20"/>
          <w:lang w:val="es-ES_tradnl"/>
        </w:rPr>
      </w:pPr>
      <w:r w:rsidRPr="00BB63D0">
        <w:rPr>
          <w:szCs w:val="20"/>
          <w:lang w:val="es-ES_tradnl"/>
        </w:rPr>
        <w:t>339.</w:t>
      </w:r>
      <w:r w:rsidRPr="00BB63D0">
        <w:rPr>
          <w:szCs w:val="20"/>
          <w:lang w:val="es-ES_tradnl"/>
        </w:rPr>
        <w:tab/>
        <w:t xml:space="preserve">La Corte constata, en el presente caso, algunas características de particular victimización compartidas por los 85 trabajadores rescatados el 15 de marzo de 2000: se encontraban en una situación de pobreza; provenían de las regiones más pobres del país, con menor desarrollo humano y perspectivas de trabajo y empleo; eran analfabetas, y tenían poca o nula escolarización </w:t>
      </w:r>
      <w:r w:rsidRPr="00BB63D0">
        <w:rPr>
          <w:szCs w:val="20"/>
        </w:rPr>
        <w:t>[…]</w:t>
      </w:r>
      <w:r w:rsidRPr="00BB63D0">
        <w:rPr>
          <w:szCs w:val="20"/>
          <w:lang w:val="es-ES_tradnl"/>
        </w:rPr>
        <w:t xml:space="preserve">. Lo anterior los colocaba en una situación que los hacía más susceptibles de ser reclutados mediante falsas promesas y engaños. Dicha situación de riesgo inmediato para un grupo determinado de personas con características idénticas y originarios de las mismas regiones del país, tiene orígenes históricos y era conocida desde, al menos, 1995, cuando el Gobierno de Brasil reconoció expresamente la existencia de “trabajo esclavo” en el país </w:t>
      </w:r>
      <w:r w:rsidRPr="00BB63D0">
        <w:rPr>
          <w:szCs w:val="20"/>
        </w:rPr>
        <w:t>[…]</w:t>
      </w:r>
      <w:r w:rsidRPr="00BB63D0">
        <w:rPr>
          <w:szCs w:val="20"/>
          <w:lang w:val="es-ES_tradnl"/>
        </w:rPr>
        <w:t xml:space="preserve">. </w:t>
      </w:r>
    </w:p>
    <w:p w14:paraId="0E69C0D0" w14:textId="77777777" w:rsidR="007269CF" w:rsidRPr="00BB63D0" w:rsidRDefault="007269CF" w:rsidP="00BB63D0">
      <w:pPr>
        <w:rPr>
          <w:szCs w:val="20"/>
          <w:lang w:val="es-ES_tradnl"/>
        </w:rPr>
      </w:pPr>
      <w:r w:rsidRPr="00BB63D0">
        <w:rPr>
          <w:szCs w:val="20"/>
          <w:lang w:val="es-ES_tradnl"/>
        </w:rPr>
        <w:t>340.</w:t>
      </w:r>
      <w:r w:rsidRPr="00BB63D0">
        <w:rPr>
          <w:szCs w:val="20"/>
          <w:lang w:val="es-ES_tradnl"/>
        </w:rPr>
        <w:tab/>
        <w:t>De la prueba aportada al expediente se advierte la existencia de una situación basada en la posición económica de las víctimas rescatadas el 15 de marzo de 2000 que caracterizó un trato discriminatorio. De acuerdo a varios informes de la OIT y del Ministerio de Trabajo de Brasil, “la situación de miseria del obrero es lo que le lleva espontáneamente a aceptar las condiciones de trabajo ofrecidas”, toda vez que “cuanto peores las condiciones de vida, más dispuestos estarán los trabajadores a enfrentar riesgos del trabajo lejos de casa. La pobreza, en ese sentido, es el principal factor de la esclavitud contemporánea en Brasil, por aumentar la vulnerabilidad de significativa parte de la población, haciéndoles presa fácil de los reclutadores para trabajo esclavo”.</w:t>
      </w:r>
    </w:p>
    <w:p w14:paraId="0A16ABA1" w14:textId="77777777" w:rsidR="007269CF" w:rsidRPr="00BB63D0" w:rsidRDefault="007269CF" w:rsidP="00BB63D0">
      <w:pPr>
        <w:rPr>
          <w:szCs w:val="20"/>
          <w:lang w:val="es-ES_tradnl"/>
        </w:rPr>
      </w:pPr>
      <w:r w:rsidRPr="00BB63D0">
        <w:rPr>
          <w:szCs w:val="20"/>
          <w:lang w:val="es-ES_tradnl"/>
        </w:rPr>
        <w:lastRenderedPageBreak/>
        <w:t>341.</w:t>
      </w:r>
      <w:r w:rsidRPr="00BB63D0">
        <w:rPr>
          <w:szCs w:val="20"/>
          <w:lang w:val="es-ES_tradnl"/>
        </w:rPr>
        <w:tab/>
        <w:t>Una vez constatada la situación anterior, la Corte estima que el Estado no consideró la vulnerabilidad de los 85 trabajadores rescatados el 15 de marzo de 2000, en virtud de la discriminación en razón de la posición económica a la que estaban sometidos. Lo anterior constituye una violación al artículo 6.1 de la Convención Americana, en relación con el artículo 1.1 del mismo instrumento, en perjuicio de ellos.</w:t>
      </w:r>
    </w:p>
    <w:p w14:paraId="22C2FE94" w14:textId="77777777" w:rsidR="007269CF" w:rsidRPr="00BB63D0" w:rsidRDefault="007269CF" w:rsidP="00BB63D0">
      <w:pPr>
        <w:rPr>
          <w:szCs w:val="20"/>
          <w:lang w:val="es-EC"/>
        </w:rPr>
      </w:pPr>
      <w:r w:rsidRPr="00BB63D0">
        <w:rPr>
          <w:szCs w:val="20"/>
          <w:lang w:val="es-EC"/>
        </w:rPr>
        <w:t>342.</w:t>
      </w:r>
      <w:r w:rsidRPr="00BB63D0">
        <w:rPr>
          <w:szCs w:val="20"/>
          <w:lang w:val="es-EC"/>
        </w:rPr>
        <w:tab/>
        <w:t xml:space="preserve">Por todo lo anterior, Brasil no demostró haber adoptado, respecto del presente caso y al momento de los hechos, las medidas específicas, conforme a las circunstancias ya conocidas de trabajadores en situación de esclavitud y de denuncias concretas contra la Hacienda Brasil Verde, para prevenir la ocurrencia de la violación al artículo 6.1 constatada en el presente caso. El Estado no actuó con prontitud dentro de las primeras horas y días luego de la denuncia de esclavitud y violencia realizada por Gonçalo Luiz Furtado y Antônio Francisco da Silva, con gran sacrificio y riesgo personal, dejando perder horas y días valiosos. En el período entre la denuncia y la inspección, el Estado no logró coordinar la participación de la Policía Federal activamente en la referida inspección, más allá de la función de protección del equipo del Ministerio del Trabajo. Todo esto demuestra que el Estado no actuó con la debida diligencia requerida para prevenir adecuadamente la forma contemporánea de esclavitud constatada en el presente caso y que no actuó como razonablemente era de esperarse de acuerdo a las circunstancias del caso para poner fin a ese tipo de violación. Este incumplimiento del deber de garantía es particularmente serio debido al contexto conocido por el Estado y a las obligaciones impuestas en virtud del artículo 6.1 de la Convención Americana y específicamente derivadas del carácter de jus cogens de esta prohibición. </w:t>
      </w:r>
    </w:p>
    <w:p w14:paraId="2DAD4B5C" w14:textId="77777777" w:rsidR="007269CF" w:rsidRPr="00BB63D0" w:rsidRDefault="007269CF" w:rsidP="00BB63D0">
      <w:pPr>
        <w:rPr>
          <w:szCs w:val="20"/>
          <w:lang w:val="es-EC"/>
        </w:rPr>
      </w:pPr>
      <w:r w:rsidRPr="00BB63D0">
        <w:rPr>
          <w:szCs w:val="20"/>
          <w:lang w:val="es-EC"/>
        </w:rPr>
        <w:t>343.</w:t>
      </w:r>
      <w:r w:rsidRPr="00BB63D0">
        <w:rPr>
          <w:szCs w:val="20"/>
          <w:lang w:val="es-EC"/>
        </w:rPr>
        <w:tab/>
        <w:t>En razón de todo lo expuesto, el Tribunal considera que el Estado violó el derecho a no ser sometido a esclavitud y trata de personas, en violación del artículo 6.1 de la Convención Americana sobre Derechos Humanos, en relación con los artículos 1.1, 3, 5, 7, 11 y 22 del mismo instrumento, en perjuicio de los 85 trabajadores rescatados el 15 de marzo de 2000 en la Hacienda Brasil Verde, listados en el párrafo 206 de la presente Sentencia. Adicionalmente, respecto del señor Antônio Francisco da Silva esa violación ocurrió también en relación con el artículo 19 de la Convención Americana, por ser niño al momento de los hechos. Finalmente, Brasil es responsable por la violación del artículo 6.1 de la Convención Americana, en relación con el artículo 1.1 del mismo instrumento, producida en el marco de una situación de discriminación estructural histórica en razón de la posición económica de los 85 trabajadores identificados en el párrafo 206 de la presente Sentencia.</w:t>
      </w:r>
    </w:p>
    <w:p w14:paraId="6C30C8DC" w14:textId="77777777" w:rsidR="007269CF" w:rsidRPr="00BB63D0" w:rsidRDefault="007269CF" w:rsidP="00BB63D0">
      <w:pPr>
        <w:rPr>
          <w:b/>
          <w:szCs w:val="20"/>
          <w:lang w:val="es-ES_tradnl"/>
        </w:rPr>
      </w:pPr>
      <w:r w:rsidRPr="00BB63D0">
        <w:rPr>
          <w:b/>
          <w:szCs w:val="20"/>
          <w:lang w:val="es-ES_tradnl"/>
        </w:rPr>
        <w:t>Corte IDH. Caso I.V. Vs. Bolivia. Excepciones Preliminares, Fondo, Reparaciones y Costas. Sentencia de 30 de noviembre de 2016. Serie C No. 329</w:t>
      </w:r>
    </w:p>
    <w:p w14:paraId="269681DB" w14:textId="77777777" w:rsidR="007269CF" w:rsidRPr="00BB63D0" w:rsidRDefault="007269CF" w:rsidP="00BB63D0">
      <w:pPr>
        <w:rPr>
          <w:szCs w:val="20"/>
          <w:lang w:val="es-ES_tradnl"/>
        </w:rPr>
      </w:pPr>
      <w:r w:rsidRPr="00BB63D0">
        <w:rPr>
          <w:szCs w:val="20"/>
          <w:lang w:val="es-ES_tradnl"/>
        </w:rPr>
        <w:t>247.</w:t>
      </w:r>
      <w:r w:rsidRPr="00BB63D0">
        <w:rPr>
          <w:szCs w:val="20"/>
          <w:lang w:val="es-ES_tradnl"/>
        </w:rPr>
        <w:tab/>
        <w:t xml:space="preserve">Ahora bien, se ha solicitado a la Corte determinar también si en el caso de la señora I.V. se verificó una </w:t>
      </w:r>
      <w:r w:rsidRPr="00326300">
        <w:rPr>
          <w:szCs w:val="20"/>
          <w:lang w:val="es-ES_tradnl"/>
        </w:rPr>
        <w:t xml:space="preserve">discriminación múltiple, o si los distintos criterios alegados </w:t>
      </w:r>
      <w:r w:rsidRPr="00326300">
        <w:rPr>
          <w:szCs w:val="20"/>
        </w:rPr>
        <w:t xml:space="preserve">[…] </w:t>
      </w:r>
      <w:r w:rsidRPr="00326300">
        <w:rPr>
          <w:szCs w:val="20"/>
          <w:lang w:val="es-ES_tradnl"/>
        </w:rPr>
        <w:t>convergieron de forma interseccional en la configuración de una situación particular y específica de discriminación</w:t>
      </w:r>
      <w:r w:rsidRPr="00BB63D0">
        <w:rPr>
          <w:szCs w:val="20"/>
          <w:lang w:val="es-ES_tradnl"/>
        </w:rPr>
        <w:t>. La Corte ha reconocido que ciertos grupos de mujeres padecen discriminación a lo largo de su vida con base en más de un factor combinado con su sexo, lo que aumenta su riesgo de sufrir actos de violencia y otras violaciones de sus derechos humanos. Sobre este punto, la Corte subraya que la esterilización sin consentimiento es un fenómeno que en diversos contextos y partes del mundo ha tenido un mayor impacto en mujeres que son parte de grupos con una mayor vulnerabilidad a sufrir esta violación de derechos humanos, ya sea por su posición socio-económica, raza, discapacidad o vivir con el VIH.</w:t>
      </w:r>
    </w:p>
    <w:p w14:paraId="7700719E" w14:textId="77777777" w:rsidR="007269CF" w:rsidRPr="00BB63D0" w:rsidRDefault="007269CF" w:rsidP="00BB63D0">
      <w:pPr>
        <w:rPr>
          <w:szCs w:val="20"/>
          <w:lang w:val="es-ES_tradnl"/>
        </w:rPr>
      </w:pPr>
      <w:r w:rsidRPr="00BB63D0">
        <w:rPr>
          <w:szCs w:val="20"/>
          <w:lang w:val="es-ES_tradnl"/>
        </w:rPr>
        <w:t>248.</w:t>
      </w:r>
      <w:r w:rsidRPr="00BB63D0">
        <w:rPr>
          <w:szCs w:val="20"/>
          <w:lang w:val="es-ES_tradnl"/>
        </w:rPr>
        <w:tab/>
        <w:t xml:space="preserve">En el presente caso, la Corte nota que la señora I.V. tuvo acceso a los servicios públicos de salud del Estado </w:t>
      </w:r>
      <w:r w:rsidRPr="00BB63D0">
        <w:rPr>
          <w:szCs w:val="20"/>
        </w:rPr>
        <w:t>[…]</w:t>
      </w:r>
      <w:r w:rsidRPr="00BB63D0">
        <w:rPr>
          <w:szCs w:val="20"/>
          <w:lang w:val="es-ES_tradnl"/>
        </w:rPr>
        <w:t xml:space="preserve">, aunque la atención en salud brindada desconoció </w:t>
      </w:r>
      <w:r w:rsidRPr="00BB63D0">
        <w:rPr>
          <w:szCs w:val="20"/>
          <w:lang w:val="es-ES_tradnl"/>
        </w:rPr>
        <w:lastRenderedPageBreak/>
        <w:t xml:space="preserve">los elementos de accesibilidad y aceptabilidad </w:t>
      </w:r>
      <w:r w:rsidRPr="00BB63D0">
        <w:rPr>
          <w:szCs w:val="20"/>
        </w:rPr>
        <w:t>[…]</w:t>
      </w:r>
      <w:r w:rsidRPr="00BB63D0">
        <w:rPr>
          <w:szCs w:val="20"/>
          <w:lang w:val="es-ES_tradnl"/>
        </w:rPr>
        <w:t xml:space="preserve">. A pesar de ello, no se desprende de los hechos de este caso que la decisión de practicar la ligadura de las trompas de Falopio a la señora I.V. haya obedecido a su origen nacional, condición de refugiada o posición socio-económica. No obstante, la Corte considera que estos aspectos incidieron sobre la magnitud de los daños que sufrió I.V. en la esfera de su integridad personal. Lo anterior sin perjuicio de lo que más adelante se establezca en relación con la búsqueda de justicia </w:t>
      </w:r>
      <w:r w:rsidRPr="00BB63D0">
        <w:rPr>
          <w:szCs w:val="20"/>
        </w:rPr>
        <w:t>[…]</w:t>
      </w:r>
      <w:r w:rsidRPr="00BB63D0">
        <w:rPr>
          <w:szCs w:val="20"/>
          <w:lang w:val="es-ES_tradnl"/>
        </w:rPr>
        <w:t>.</w:t>
      </w:r>
    </w:p>
    <w:p w14:paraId="6713AA0A" w14:textId="77777777" w:rsidR="007269CF" w:rsidRPr="00BB63D0" w:rsidRDefault="007269CF" w:rsidP="00326300">
      <w:pPr>
        <w:pStyle w:val="Caso"/>
        <w:rPr>
          <w:lang w:val="es-ES_tradnl"/>
        </w:rPr>
      </w:pPr>
      <w:r w:rsidRPr="00BB63D0">
        <w:rPr>
          <w:lang w:val="es-ES_tradnl"/>
        </w:rPr>
        <w:t>Corte IDH. Caso V.R.P., V.P.C. y otros Vs. Nicaragua. Excepciones Preliminares, Fondo, Reparaciones y Costas. Sentencia de 8 de marzo de 2018. Serie C No. 350</w:t>
      </w:r>
      <w:r w:rsidRPr="00F42681">
        <w:rPr>
          <w:rStyle w:val="Refdenotaalpie"/>
          <w:bCs/>
          <w:lang w:val="es-ES_tradnl"/>
        </w:rPr>
        <w:footnoteReference w:id="31"/>
      </w:r>
    </w:p>
    <w:p w14:paraId="786F3458" w14:textId="77777777" w:rsidR="007269CF" w:rsidRPr="00BB63D0" w:rsidRDefault="007269CF" w:rsidP="00BB63D0">
      <w:pPr>
        <w:rPr>
          <w:szCs w:val="20"/>
          <w:lang w:val="es-ES_tradnl"/>
        </w:rPr>
      </w:pPr>
      <w:r w:rsidRPr="00BB63D0">
        <w:rPr>
          <w:szCs w:val="20"/>
          <w:lang w:val="es-ES_tradnl"/>
        </w:rPr>
        <w:t>154.</w:t>
      </w:r>
      <w:r w:rsidRPr="00BB63D0">
        <w:rPr>
          <w:szCs w:val="20"/>
          <w:lang w:val="es-ES_tradnl"/>
        </w:rPr>
        <w:tab/>
        <w:t>Para casos de violencia y violación sexual en contra de mujeres adultas, la Corte ha establecido una serie de criterios que los Estados deben seguir para que las investigaciones y procesos penales incoados sean sustanciados con la debida diligencia. En el presente caso, la Corte tiene la oportunidad de referirse a la obligación que tiene un Estado cuando las investigaciones y proceso penal se dan en el marco de un caso de violación sexual cometida en contra de una niña. Por ende, la Corte adoptará un enfoque interseccional que tenga en cuenta la condición de género y edad de la niña.</w:t>
      </w:r>
    </w:p>
    <w:p w14:paraId="5D3817B1" w14:textId="77777777" w:rsidR="007269CF" w:rsidRPr="00BB63D0" w:rsidRDefault="007269CF" w:rsidP="00BB63D0">
      <w:pPr>
        <w:rPr>
          <w:szCs w:val="20"/>
          <w:lang w:val="es-ES_tradnl"/>
        </w:rPr>
      </w:pPr>
      <w:r w:rsidRPr="00BB63D0">
        <w:rPr>
          <w:szCs w:val="20"/>
          <w:lang w:val="es-ES_tradnl"/>
        </w:rPr>
        <w:t>156.</w:t>
      </w:r>
      <w:r w:rsidRPr="00BB63D0">
        <w:rPr>
          <w:szCs w:val="20"/>
          <w:lang w:val="es-ES_tradnl"/>
        </w:rPr>
        <w:tab/>
        <w:t xml:space="preserve">Las medidas especiales de protección que el Estado debe adoptar se basan en el hecho de que las niñas, niños y adolescentes se consideran más vulnerables a violaciones de derechos humanos, lo que además estará determinado por distintos factores, como la edad, las condiciones particulares de cada uno, su grado de desarrollo y madurez, entre otros. </w:t>
      </w:r>
      <w:r w:rsidRPr="00326300">
        <w:rPr>
          <w:szCs w:val="20"/>
          <w:lang w:val="es-ES_tradnl"/>
        </w:rPr>
        <w:t>En el caso de las niñas, dicha vulnerabilidad a violaciones de derechos humanos puede verse enmarcada y potenciada, debido a factores de discriminación histórica que han contribuido a que las mujeres y niñas sufran mayores índices de violencia sexual, especialmente en la esfera familiar. En lo que se refiere a la respuesta institucional con</w:t>
      </w:r>
      <w:r w:rsidRPr="00BB63D0">
        <w:rPr>
          <w:szCs w:val="20"/>
          <w:lang w:val="es-ES_tradnl"/>
        </w:rPr>
        <w:t xml:space="preserve"> miras a garantizar el acceso a la justicia para víctimas de violencia sexual, este Tribunal nota que las niñas, niños y adolescentes pueden enfrentarse a diversos obstáculos y barreras de índole jurídico y económico que menoscaban el principio de su autonomía progresiva, como sujetos de derechos, o que no garantizan una asistencia técnica jurídica que permita hacer valer sus derechos e intereses en los procesos que los conciernen. Estos obstáculos no solo contribuyen a la denegación de justicia, sino que resultan discriminatorios, puesto que no permiten que se ejerza el derecho de acceso a la justicia en condiciones de igualdad. De lo anterior se colige que el deber de garantía adquiere especial intensidad cuando las niñas son víctimas de un delito de violencia sexual y participan en las investigaciones y procesos penales, como en el presente caso.</w:t>
      </w:r>
    </w:p>
    <w:p w14:paraId="4BF1C7BA" w14:textId="77777777" w:rsidR="007269CF" w:rsidRPr="00BB63D0" w:rsidRDefault="007269CF" w:rsidP="00BB63D0">
      <w:pPr>
        <w:rPr>
          <w:szCs w:val="20"/>
          <w:lang w:val="es-ES_tradnl"/>
        </w:rPr>
      </w:pPr>
    </w:p>
    <w:p w14:paraId="15881007" w14:textId="77777777" w:rsidR="007269CF" w:rsidRPr="00BB63D0" w:rsidRDefault="007269CF" w:rsidP="00326300">
      <w:pPr>
        <w:pStyle w:val="Caso"/>
        <w:rPr>
          <w:lang w:val="es-CR"/>
        </w:rPr>
      </w:pPr>
      <w:bookmarkStart w:id="7" w:name="_Ref513737875"/>
      <w:r w:rsidRPr="00BB63D0">
        <w:rPr>
          <w:lang w:val="es-CR"/>
        </w:rPr>
        <w:t>Corte IDH. Caso Ramírez Escobar y otros Vs. Guatemala. Fondo, Reparaciones y Costas. Sentencia de 9 de marzo de 2018. Serie C No. 351</w:t>
      </w:r>
    </w:p>
    <w:p w14:paraId="1FDB8DC6" w14:textId="77777777" w:rsidR="007269CF" w:rsidRPr="00BB63D0" w:rsidRDefault="007269CF" w:rsidP="00BB63D0">
      <w:pPr>
        <w:rPr>
          <w:szCs w:val="20"/>
          <w:lang w:val="es-CR"/>
        </w:rPr>
      </w:pPr>
      <w:r w:rsidRPr="00BB63D0">
        <w:rPr>
          <w:szCs w:val="20"/>
          <w:lang w:val="es-CR"/>
        </w:rPr>
        <w:t>276.</w:t>
      </w:r>
      <w:r w:rsidRPr="00BB63D0">
        <w:rPr>
          <w:szCs w:val="20"/>
          <w:lang w:val="es-CR"/>
        </w:rPr>
        <w:tab/>
        <w:t xml:space="preserve">Sin perjuicio de lo anterior, este Tribunal advierte que, de verificarse los distintos motivos de discriminación alegados en este caso, particularmente en el supuesto de la señora Flor de María Ramírez Escobar habrían confluido en forma interseccional distintos factores de vulnerabilidad o fuentes de discriminación </w:t>
      </w:r>
      <w:r w:rsidRPr="00BB63D0">
        <w:rPr>
          <w:szCs w:val="20"/>
          <w:lang w:val="es-CR"/>
        </w:rPr>
        <w:lastRenderedPageBreak/>
        <w:t>asociados a su condición de madre soltera en situación de pobreza, con una madre lesbiana, ya que la discriminación experimentada por la señora Ramírez Escobar sería el resultado del actuar entrecruzado de todos las razones por las que habría sido discriminada. Al respecto, el Comité para la Eliminación de la Discriminación contra la Mujer ha destacado que:</w:t>
      </w:r>
      <w:bookmarkEnd w:id="7"/>
      <w:r w:rsidRPr="00BB63D0">
        <w:rPr>
          <w:szCs w:val="20"/>
          <w:lang w:val="es-CR"/>
        </w:rPr>
        <w:t xml:space="preserve"> </w:t>
      </w:r>
    </w:p>
    <w:p w14:paraId="44DAA55E" w14:textId="00C8ECDA" w:rsidR="007269CF" w:rsidRPr="00BB63D0" w:rsidRDefault="007269CF" w:rsidP="00326300">
      <w:pPr>
        <w:pStyle w:val="Citacuerpo"/>
        <w:rPr>
          <w:lang w:val="es-CR"/>
        </w:rPr>
      </w:pPr>
      <w:r w:rsidRPr="00BB63D0">
        <w:rPr>
          <w:lang w:val="es-CR"/>
        </w:rPr>
        <w:t>La interseccionalidad es un concepto básico para comprender el alcance de las obligaciones generales de los Estados partes en virtud del artículo 2. La discriminación de la mujer por motivos de sexo y género está unida de manera indivisible a otros factores que afectan a la mujer […]. La discriminación por motivos de sexo o género puede afectar a las mujeres de algunos grupos en diferente medida o forma que a los hombres. Los Estados partes deben reconocer y prohibir en sus instrumentos jurídicos estas formas entrecruzadas de discriminación y su impacto negativo combinado en las mujeres afectadas[, así como] aprobar y poner en práctica políticas y programas para eliminar estas situaciones.</w:t>
      </w:r>
    </w:p>
    <w:p w14:paraId="1306E915" w14:textId="77777777" w:rsidR="007269CF" w:rsidRPr="00BB63D0" w:rsidRDefault="007269CF" w:rsidP="00BB63D0">
      <w:pPr>
        <w:rPr>
          <w:szCs w:val="20"/>
          <w:lang w:val="es-CR"/>
        </w:rPr>
      </w:pPr>
      <w:r w:rsidRPr="00BB63D0">
        <w:rPr>
          <w:szCs w:val="20"/>
          <w:lang w:val="es-CR"/>
        </w:rPr>
        <w:t>277.</w:t>
      </w:r>
      <w:r w:rsidRPr="00BB63D0">
        <w:rPr>
          <w:szCs w:val="20"/>
          <w:lang w:val="es-CR"/>
        </w:rPr>
        <w:tab/>
        <w:t xml:space="preserve">A efectos del análisis jurídico que debe realizar este Tribunal y teniendo en cuenta que en este caso se alega que varias personas fueron víctimas de discriminación por motivos coincidentes, este Tribunal realizará un análisis de cada uno de los motivos presuntamente discriminatorios de manera separada. </w:t>
      </w:r>
      <w:r w:rsidRPr="00F42681">
        <w:rPr>
          <w:szCs w:val="20"/>
          <w:lang w:val="es-CR"/>
        </w:rPr>
        <w:t>Lo anterior</w:t>
      </w:r>
      <w:r w:rsidRPr="00BB63D0">
        <w:rPr>
          <w:szCs w:val="20"/>
          <w:shd w:val="clear" w:color="auto" w:fill="EAF1DD" w:themeFill="accent3" w:themeFillTint="33"/>
          <w:lang w:val="es-CR"/>
        </w:rPr>
        <w:t xml:space="preserve"> </w:t>
      </w:r>
      <w:r w:rsidRPr="00326300">
        <w:rPr>
          <w:szCs w:val="20"/>
          <w:lang w:val="es-CR"/>
        </w:rPr>
        <w:t>sin perjuicio de que la Corte comprende que la confluencia de factores de discriminación de manera interseccional resulta en una experiencia discriminatoria que se diferencia de la simple acumulación en contra de una persona de distintos causas discriminación.</w:t>
      </w:r>
      <w:r w:rsidRPr="00BB63D0">
        <w:rPr>
          <w:szCs w:val="20"/>
          <w:lang w:val="es-CR"/>
        </w:rPr>
        <w:t xml:space="preserve"> </w:t>
      </w:r>
    </w:p>
    <w:p w14:paraId="0B288D9E" w14:textId="77777777" w:rsidR="007269CF" w:rsidRPr="00BB63D0" w:rsidRDefault="007269CF" w:rsidP="00BB63D0">
      <w:pPr>
        <w:rPr>
          <w:szCs w:val="20"/>
          <w:lang w:val="es-CR"/>
        </w:rPr>
      </w:pPr>
      <w:r w:rsidRPr="00BB63D0">
        <w:rPr>
          <w:szCs w:val="20"/>
          <w:lang w:val="es-CR"/>
        </w:rPr>
        <w:t>[...]</w:t>
      </w:r>
    </w:p>
    <w:p w14:paraId="2DCDA8B6" w14:textId="755C8CB4" w:rsidR="007269CF" w:rsidRDefault="007269CF" w:rsidP="00BB63D0">
      <w:pPr>
        <w:rPr>
          <w:szCs w:val="20"/>
          <w:lang w:val="es-CR"/>
        </w:rPr>
      </w:pPr>
      <w:r w:rsidRPr="00BB63D0">
        <w:rPr>
          <w:szCs w:val="20"/>
          <w:lang w:val="es-CR"/>
        </w:rPr>
        <w:t>304.</w:t>
      </w:r>
      <w:r w:rsidRPr="00BB63D0">
        <w:rPr>
          <w:szCs w:val="20"/>
          <w:lang w:val="es-CR"/>
        </w:rPr>
        <w:tab/>
        <w:t xml:space="preserve">Además, la Corte recuerda que estos factores confluyeron de manera interseccional en la señora Flor de María Ramírez Escobar, quien por ser madre soltera en situación de pobreza, formaba parte de los grupos más vulnerables a ser víctima de una separación ilegal o arbitraria de sus hijos, en el marco del contexto de adopciones irregulares en que sucedieron los </w:t>
      </w:r>
      <w:r w:rsidRPr="00BB63D0">
        <w:rPr>
          <w:color w:val="4F6228" w:themeColor="accent3" w:themeShade="80"/>
          <w:szCs w:val="20"/>
          <w:lang w:val="es-CR"/>
        </w:rPr>
        <w:t>hechos</w:t>
      </w:r>
      <w:r w:rsidRPr="00BB63D0">
        <w:rPr>
          <w:szCs w:val="20"/>
          <w:lang w:val="es-CR"/>
        </w:rPr>
        <w:t xml:space="preserve"> de este caso. </w:t>
      </w:r>
      <w:r w:rsidRPr="00F41528">
        <w:rPr>
          <w:szCs w:val="20"/>
          <w:lang w:val="es-CR"/>
        </w:rPr>
        <w:t>La discriminación de la señora Ramírez Escobar es interseccional porque fue el producto de varios factores que interaccionan y que se condicionan entre sí.</w:t>
      </w:r>
    </w:p>
    <w:p w14:paraId="5088E94C" w14:textId="5D7FA8D5" w:rsidR="007269CF" w:rsidRDefault="007269CF" w:rsidP="00F41528">
      <w:pPr>
        <w:pStyle w:val="Caso"/>
        <w:rPr>
          <w:lang w:val="es-HN"/>
        </w:rPr>
      </w:pPr>
      <w:r w:rsidRPr="00F41528">
        <w:rPr>
          <w:lang w:val="es-HN"/>
        </w:rPr>
        <w:t>Corte IDH. Caso Guzmán Albarracín y otras Vs. Ecuador. Fondo, Reparaciones y Costas. Sentencia de 24 de junio de 2020. Serie C No. 405</w:t>
      </w:r>
      <w:r>
        <w:rPr>
          <w:rStyle w:val="Refdenotaalpie"/>
          <w:lang w:val="es-HN"/>
        </w:rPr>
        <w:footnoteReference w:id="32"/>
      </w:r>
    </w:p>
    <w:p w14:paraId="7A8EBA2A" w14:textId="1B431981" w:rsidR="007269CF" w:rsidRDefault="007269CF" w:rsidP="00BB63D0">
      <w:pPr>
        <w:rPr>
          <w:szCs w:val="20"/>
          <w:lang w:val="es-HN"/>
        </w:rPr>
      </w:pPr>
      <w:r w:rsidRPr="00F41528">
        <w:rPr>
          <w:szCs w:val="20"/>
          <w:lang w:val="es-HN"/>
        </w:rPr>
        <w:lastRenderedPageBreak/>
        <w:t>142. Ahora bien, en virtud de la obligación de no discriminar, los Estados están “obligados [...] a adoptar medidas positivas para revertir o cambiar situaciones discriminatorias existentes en sus sociedades, en perjuicio de determinado grupo de personas”. Por eso, “[l]os Estados deben invertir en medidas proactivas que promuevan el empoderamiento de las niñas e impugnen las normas y los estereotipos patriarcales y otras normas y estereotipos de género perjudiciales, así como en reformas jurídicas, para hacer frente a la discriminación directa e indirecta contra las niñas”. Este deber tiene vinculación con los artículos 19 de la Convención Americana y 7.c de la Convención de Belém do Pará. Pese a ello, no consta que antes de diciembre de 2002 el Estado adoptara políticas, que tuvieran un impacto efectivo en el ámbito educativo de Paola y que procuraran prevenir o revertir situaciones de violencia de género contra niñas en el marco de la enseñanza. Por lo expuesto, los actos de acoso y abuso sexual cometidos contra Paola no solo constituyeron, en sí mismos, actos de violencia y discriminación en que confluyeron, de modo interseccional, distintos factores de vulnerabilidad y riesgo de discriminación, como la edad y la condición de mujer. Esos actos de violencia y discriminación se enmarcaron, además, en una situación</w:t>
      </w:r>
      <w:r>
        <w:rPr>
          <w:szCs w:val="20"/>
          <w:lang w:val="es-HN"/>
        </w:rPr>
        <w:t xml:space="preserve"> </w:t>
      </w:r>
      <w:r w:rsidRPr="00F41528">
        <w:rPr>
          <w:szCs w:val="20"/>
          <w:lang w:val="es-HN"/>
        </w:rPr>
        <w:t xml:space="preserve">estructural, en la que pese a ser la violencia sexual en el ámbito educativo un problema existente y conocido, el Estado no había adoptado medidas efectivas para revertirlo </w:t>
      </w:r>
      <w:r w:rsidR="005B7B62">
        <w:rPr>
          <w:szCs w:val="20"/>
          <w:lang w:val="es-HN"/>
        </w:rPr>
        <w:t>[...]</w:t>
      </w:r>
      <w:r w:rsidRPr="00F41528">
        <w:rPr>
          <w:szCs w:val="20"/>
          <w:lang w:val="es-HN"/>
        </w:rPr>
        <w:t xml:space="preserve">. Por ello, en relación con los derechos humanos afectados por la violencia sexual que sufrió Paola </w:t>
      </w:r>
      <w:r w:rsidR="005B7B62">
        <w:rPr>
          <w:szCs w:val="20"/>
          <w:lang w:val="es-HN"/>
        </w:rPr>
        <w:t>[...]</w:t>
      </w:r>
      <w:r w:rsidRPr="00F41528">
        <w:rPr>
          <w:szCs w:val="20"/>
          <w:lang w:val="es-HN"/>
        </w:rPr>
        <w:t>, el Estado incumplió sus obligaciones de respetarlos y garantizarlos sin discriminación.</w:t>
      </w:r>
    </w:p>
    <w:p w14:paraId="673BCAF8" w14:textId="77363262" w:rsidR="007269CF" w:rsidRDefault="007269CF" w:rsidP="00634A49">
      <w:pPr>
        <w:pStyle w:val="Caso"/>
        <w:rPr>
          <w:lang w:val="es-HN"/>
        </w:rPr>
      </w:pPr>
      <w:r w:rsidRPr="00634A49">
        <w:rPr>
          <w:lang w:val="es-HN"/>
        </w:rPr>
        <w:t>Corte IDH. Caso de los Empleados de la Fábrica de Fuegos de Santo Antônio de Jesus y sus familiares Vs. Brasil. Excepciones Preliminares, Fondo, Reparaciones y Costas. Sentencia de 15 de julio de 2020. Serie C No. 407</w:t>
      </w:r>
    </w:p>
    <w:p w14:paraId="7EB9F2BF" w14:textId="77777777" w:rsidR="007269CF" w:rsidRPr="00634A49" w:rsidRDefault="007269CF" w:rsidP="00634A49">
      <w:pPr>
        <w:rPr>
          <w:szCs w:val="20"/>
          <w:lang w:val="es-CR"/>
        </w:rPr>
      </w:pPr>
      <w:r w:rsidRPr="00634A49">
        <w:rPr>
          <w:szCs w:val="20"/>
          <w:lang w:val="es-CR"/>
        </w:rPr>
        <w:t xml:space="preserve">188. En el presente caso, la </w:t>
      </w:r>
      <w:proofErr w:type="spellStart"/>
      <w:r w:rsidRPr="00634A49">
        <w:rPr>
          <w:szCs w:val="20"/>
          <w:lang w:val="es-CR"/>
        </w:rPr>
        <w:t>Comisión</w:t>
      </w:r>
      <w:proofErr w:type="spellEnd"/>
      <w:r w:rsidRPr="00634A49">
        <w:rPr>
          <w:szCs w:val="20"/>
          <w:lang w:val="es-CR"/>
        </w:rPr>
        <w:t xml:space="preserve"> sostuvo que hay un nexo entre el incumplimiento de las obligaciones del Estado y la situación de pobreza que se </w:t>
      </w:r>
      <w:proofErr w:type="spellStart"/>
      <w:r w:rsidRPr="00634A49">
        <w:rPr>
          <w:szCs w:val="20"/>
          <w:lang w:val="es-CR"/>
        </w:rPr>
        <w:t>vivía</w:t>
      </w:r>
      <w:proofErr w:type="spellEnd"/>
      <w:r w:rsidRPr="00634A49">
        <w:rPr>
          <w:szCs w:val="20"/>
          <w:lang w:val="es-CR"/>
        </w:rPr>
        <w:t xml:space="preserve"> en el municipio de Santo </w:t>
      </w:r>
      <w:proofErr w:type="spellStart"/>
      <w:r w:rsidRPr="00634A49">
        <w:rPr>
          <w:szCs w:val="20"/>
          <w:lang w:val="es-CR"/>
        </w:rPr>
        <w:t>Anto</w:t>
      </w:r>
      <w:r w:rsidRPr="00634A49">
        <w:rPr>
          <w:rFonts w:ascii="Arial" w:hAnsi="Arial" w:cs="Arial"/>
          <w:szCs w:val="20"/>
          <w:lang w:val="es-CR"/>
        </w:rPr>
        <w:t>̂</w:t>
      </w:r>
      <w:r w:rsidRPr="00634A49">
        <w:rPr>
          <w:szCs w:val="20"/>
          <w:lang w:val="es-CR"/>
        </w:rPr>
        <w:t>nio</w:t>
      </w:r>
      <w:proofErr w:type="spellEnd"/>
      <w:r w:rsidRPr="00634A49">
        <w:rPr>
          <w:szCs w:val="20"/>
          <w:lang w:val="es-CR"/>
        </w:rPr>
        <w:t xml:space="preserve"> de </w:t>
      </w:r>
      <w:proofErr w:type="spellStart"/>
      <w:r w:rsidRPr="00634A49">
        <w:rPr>
          <w:szCs w:val="20"/>
          <w:lang w:val="es-CR"/>
        </w:rPr>
        <w:t>Jesus</w:t>
      </w:r>
      <w:proofErr w:type="spellEnd"/>
      <w:r w:rsidRPr="00634A49">
        <w:rPr>
          <w:szCs w:val="20"/>
          <w:lang w:val="es-CR"/>
        </w:rPr>
        <w:t xml:space="preserve">, de modo que las condiciones de pobreza de las trabajadoras de la </w:t>
      </w:r>
      <w:proofErr w:type="spellStart"/>
      <w:r w:rsidRPr="00634A49">
        <w:rPr>
          <w:szCs w:val="20"/>
          <w:lang w:val="es-CR"/>
        </w:rPr>
        <w:t>fábrica</w:t>
      </w:r>
      <w:proofErr w:type="spellEnd"/>
      <w:r w:rsidRPr="00634A49">
        <w:rPr>
          <w:szCs w:val="20"/>
          <w:lang w:val="es-CR"/>
        </w:rPr>
        <w:t xml:space="preserve"> de fuegos artificiales </w:t>
      </w:r>
      <w:proofErr w:type="spellStart"/>
      <w:r w:rsidRPr="00634A49">
        <w:rPr>
          <w:szCs w:val="20"/>
          <w:lang w:val="es-CR"/>
        </w:rPr>
        <w:t>habrían</w:t>
      </w:r>
      <w:proofErr w:type="spellEnd"/>
      <w:r w:rsidRPr="00634A49">
        <w:rPr>
          <w:szCs w:val="20"/>
          <w:lang w:val="es-CR"/>
        </w:rPr>
        <w:t xml:space="preserve"> llevado a la </w:t>
      </w:r>
      <w:proofErr w:type="spellStart"/>
      <w:r w:rsidRPr="00634A49">
        <w:rPr>
          <w:szCs w:val="20"/>
          <w:lang w:val="es-CR"/>
        </w:rPr>
        <w:t>violación</w:t>
      </w:r>
      <w:proofErr w:type="spellEnd"/>
      <w:r w:rsidRPr="00634A49">
        <w:rPr>
          <w:szCs w:val="20"/>
          <w:lang w:val="es-CR"/>
        </w:rPr>
        <w:t xml:space="preserve"> de su derecho a condiciones equitativas y satisfactorias de trabajo sin discriminación. Lo anterior indica que este caso se trata de una alegada discriminación estructural en </w:t>
      </w:r>
      <w:proofErr w:type="spellStart"/>
      <w:r w:rsidRPr="00634A49">
        <w:rPr>
          <w:szCs w:val="20"/>
          <w:lang w:val="es-CR"/>
        </w:rPr>
        <w:t>razón</w:t>
      </w:r>
      <w:proofErr w:type="spellEnd"/>
      <w:r w:rsidRPr="00634A49">
        <w:rPr>
          <w:szCs w:val="20"/>
          <w:lang w:val="es-CR"/>
        </w:rPr>
        <w:t xml:space="preserve"> de la pobreza. Sobre el particular, la Corte constata que las presuntas </w:t>
      </w:r>
      <w:proofErr w:type="spellStart"/>
      <w:r w:rsidRPr="00634A49">
        <w:rPr>
          <w:szCs w:val="20"/>
          <w:lang w:val="es-CR"/>
        </w:rPr>
        <w:t>víctimas</w:t>
      </w:r>
      <w:proofErr w:type="spellEnd"/>
      <w:r w:rsidRPr="00634A49">
        <w:rPr>
          <w:szCs w:val="20"/>
          <w:lang w:val="es-CR"/>
        </w:rPr>
        <w:t xml:space="preserve"> eran personas que, por cuenta de la discriminación estructural por su condición de pobreza, no </w:t>
      </w:r>
      <w:proofErr w:type="spellStart"/>
      <w:r w:rsidRPr="00634A49">
        <w:rPr>
          <w:szCs w:val="20"/>
          <w:lang w:val="es-CR"/>
        </w:rPr>
        <w:t>podían</w:t>
      </w:r>
      <w:proofErr w:type="spellEnd"/>
      <w:r w:rsidRPr="00634A49">
        <w:rPr>
          <w:szCs w:val="20"/>
          <w:lang w:val="es-CR"/>
        </w:rPr>
        <w:t xml:space="preserve"> acceder a otra de fuente de ingresos y </w:t>
      </w:r>
      <w:proofErr w:type="spellStart"/>
      <w:r w:rsidRPr="00634A49">
        <w:rPr>
          <w:szCs w:val="20"/>
          <w:lang w:val="es-CR"/>
        </w:rPr>
        <w:t>debían</w:t>
      </w:r>
      <w:proofErr w:type="spellEnd"/>
      <w:r w:rsidRPr="00634A49">
        <w:rPr>
          <w:szCs w:val="20"/>
          <w:lang w:val="es-CR"/>
        </w:rPr>
        <w:t xml:space="preserve"> exponerse al aceptar un trabajo en condiciones de vulnerabilidad, que </w:t>
      </w:r>
      <w:proofErr w:type="spellStart"/>
      <w:r w:rsidRPr="00634A49">
        <w:rPr>
          <w:szCs w:val="20"/>
          <w:lang w:val="es-CR"/>
        </w:rPr>
        <w:t>desconocía</w:t>
      </w:r>
      <w:proofErr w:type="spellEnd"/>
      <w:r w:rsidRPr="00634A49">
        <w:rPr>
          <w:szCs w:val="20"/>
          <w:lang w:val="es-CR"/>
        </w:rPr>
        <w:t xml:space="preserve"> los mandatos de la Convención Americana y que las expuso a los hechos </w:t>
      </w:r>
      <w:proofErr w:type="spellStart"/>
      <w:r w:rsidRPr="00634A49">
        <w:rPr>
          <w:szCs w:val="20"/>
          <w:lang w:val="es-CR"/>
        </w:rPr>
        <w:t>victimizantes</w:t>
      </w:r>
      <w:proofErr w:type="spellEnd"/>
      <w:r w:rsidRPr="00634A49">
        <w:rPr>
          <w:szCs w:val="20"/>
          <w:lang w:val="es-CR"/>
        </w:rPr>
        <w:t>.</w:t>
      </w:r>
    </w:p>
    <w:p w14:paraId="40240213" w14:textId="564E4F09" w:rsidR="007269CF" w:rsidRPr="00634A49" w:rsidRDefault="007269CF" w:rsidP="00634A49">
      <w:pPr>
        <w:rPr>
          <w:szCs w:val="20"/>
          <w:lang w:val="es-CR"/>
        </w:rPr>
      </w:pPr>
      <w:r w:rsidRPr="00634A49">
        <w:rPr>
          <w:szCs w:val="20"/>
          <w:lang w:val="es-CR"/>
        </w:rPr>
        <w:t xml:space="preserve">190. </w:t>
      </w:r>
      <w:proofErr w:type="spellStart"/>
      <w:r w:rsidRPr="00634A49">
        <w:rPr>
          <w:szCs w:val="20"/>
          <w:lang w:val="es-CR"/>
        </w:rPr>
        <w:t>Además</w:t>
      </w:r>
      <w:proofErr w:type="spellEnd"/>
      <w:r w:rsidRPr="00634A49">
        <w:rPr>
          <w:szCs w:val="20"/>
          <w:lang w:val="es-CR"/>
        </w:rPr>
        <w:t xml:space="preserve"> de la discriminación estructural en </w:t>
      </w:r>
      <w:proofErr w:type="spellStart"/>
      <w:r w:rsidRPr="00634A49">
        <w:rPr>
          <w:szCs w:val="20"/>
          <w:lang w:val="es-CR"/>
        </w:rPr>
        <w:t>función</w:t>
      </w:r>
      <w:proofErr w:type="spellEnd"/>
      <w:r w:rsidRPr="00634A49">
        <w:rPr>
          <w:szCs w:val="20"/>
          <w:lang w:val="es-CR"/>
        </w:rPr>
        <w:t xml:space="preserve"> de la condición de pobreza de las presuntas </w:t>
      </w:r>
      <w:proofErr w:type="spellStart"/>
      <w:r w:rsidRPr="00634A49">
        <w:rPr>
          <w:szCs w:val="20"/>
          <w:lang w:val="es-CR"/>
        </w:rPr>
        <w:t>víctimas</w:t>
      </w:r>
      <w:proofErr w:type="spellEnd"/>
      <w:r w:rsidRPr="00634A49">
        <w:rPr>
          <w:szCs w:val="20"/>
          <w:lang w:val="es-CR"/>
        </w:rPr>
        <w:t xml:space="preserve">, esta Corte considera que en ellas </w:t>
      </w:r>
      <w:proofErr w:type="spellStart"/>
      <w:r w:rsidRPr="00634A49">
        <w:rPr>
          <w:szCs w:val="20"/>
          <w:lang w:val="es-CR"/>
        </w:rPr>
        <w:t>confluían</w:t>
      </w:r>
      <w:proofErr w:type="spellEnd"/>
      <w:r w:rsidRPr="00634A49">
        <w:rPr>
          <w:szCs w:val="20"/>
          <w:lang w:val="es-CR"/>
        </w:rPr>
        <w:t xml:space="preserve"> distintas desventajas estructurales que impactaron su </w:t>
      </w:r>
      <w:proofErr w:type="spellStart"/>
      <w:r w:rsidRPr="00634A49">
        <w:rPr>
          <w:szCs w:val="20"/>
          <w:lang w:val="es-CR"/>
        </w:rPr>
        <w:t>victimización</w:t>
      </w:r>
      <w:proofErr w:type="spellEnd"/>
      <w:r w:rsidRPr="00634A49">
        <w:rPr>
          <w:szCs w:val="20"/>
          <w:lang w:val="es-CR"/>
        </w:rPr>
        <w:t xml:space="preserve">. Estas desventajas eran tanto </w:t>
      </w:r>
      <w:proofErr w:type="spellStart"/>
      <w:r w:rsidRPr="00634A49">
        <w:rPr>
          <w:szCs w:val="20"/>
          <w:lang w:val="es-CR"/>
        </w:rPr>
        <w:t>económicas</w:t>
      </w:r>
      <w:proofErr w:type="spellEnd"/>
      <w:r w:rsidRPr="00634A49">
        <w:rPr>
          <w:szCs w:val="20"/>
          <w:lang w:val="es-CR"/>
        </w:rPr>
        <w:t xml:space="preserve"> y sociales, como referidas a grupos determinados de personas. Es decir, se observa una confluencia de factores de discriminación. Este Tribunal se ha referido a dicho concepto de forma expresa o </w:t>
      </w:r>
      <w:proofErr w:type="spellStart"/>
      <w:r w:rsidRPr="00634A49">
        <w:rPr>
          <w:szCs w:val="20"/>
          <w:lang w:val="es-CR"/>
        </w:rPr>
        <w:t>tácita</w:t>
      </w:r>
      <w:proofErr w:type="spellEnd"/>
      <w:r w:rsidRPr="00634A49">
        <w:rPr>
          <w:szCs w:val="20"/>
          <w:lang w:val="es-CR"/>
        </w:rPr>
        <w:t xml:space="preserve"> en diferentes sentencias y ha utilizado para ello diferentes </w:t>
      </w:r>
      <w:proofErr w:type="spellStart"/>
      <w:r w:rsidRPr="00634A49">
        <w:rPr>
          <w:szCs w:val="20"/>
          <w:lang w:val="es-CR"/>
        </w:rPr>
        <w:t>categorías</w:t>
      </w:r>
      <w:proofErr w:type="spellEnd"/>
      <w:r w:rsidRPr="00634A49">
        <w:rPr>
          <w:szCs w:val="20"/>
          <w:lang w:val="es-CR"/>
        </w:rPr>
        <w:t>.</w:t>
      </w:r>
    </w:p>
    <w:p w14:paraId="407062B4" w14:textId="69C4B5F7" w:rsidR="007269CF" w:rsidRPr="00634A49" w:rsidRDefault="007269CF" w:rsidP="00634A49">
      <w:pPr>
        <w:rPr>
          <w:szCs w:val="20"/>
          <w:lang w:val="es-CR"/>
        </w:rPr>
      </w:pPr>
      <w:r w:rsidRPr="00634A49">
        <w:rPr>
          <w:szCs w:val="20"/>
          <w:lang w:val="es-CR"/>
        </w:rPr>
        <w:t xml:space="preserve">191. Ahora bien, la </w:t>
      </w:r>
      <w:proofErr w:type="spellStart"/>
      <w:r w:rsidRPr="00634A49">
        <w:rPr>
          <w:szCs w:val="20"/>
          <w:lang w:val="es-CR"/>
        </w:rPr>
        <w:t>intersección</w:t>
      </w:r>
      <w:proofErr w:type="spellEnd"/>
      <w:r w:rsidRPr="00634A49">
        <w:rPr>
          <w:szCs w:val="20"/>
          <w:lang w:val="es-CR"/>
        </w:rPr>
        <w:t xml:space="preserve"> de factores de discriminación en este caso incrementó las desventajas comparativas de las presuntas </w:t>
      </w:r>
      <w:proofErr w:type="spellStart"/>
      <w:r w:rsidRPr="00634A49">
        <w:rPr>
          <w:szCs w:val="20"/>
          <w:lang w:val="es-CR"/>
        </w:rPr>
        <w:t>víctimas</w:t>
      </w:r>
      <w:proofErr w:type="spellEnd"/>
      <w:r w:rsidRPr="00634A49">
        <w:rPr>
          <w:szCs w:val="20"/>
          <w:lang w:val="es-CR"/>
        </w:rPr>
        <w:t xml:space="preserve">. De modo que las presuntas </w:t>
      </w:r>
      <w:proofErr w:type="spellStart"/>
      <w:r w:rsidRPr="00634A49">
        <w:rPr>
          <w:szCs w:val="20"/>
          <w:lang w:val="es-CR"/>
        </w:rPr>
        <w:t>víctimas</w:t>
      </w:r>
      <w:proofErr w:type="spellEnd"/>
      <w:r w:rsidRPr="00634A49">
        <w:rPr>
          <w:szCs w:val="20"/>
          <w:lang w:val="es-CR"/>
        </w:rPr>
        <w:t xml:space="preserve"> comparten factores </w:t>
      </w:r>
      <w:proofErr w:type="spellStart"/>
      <w:r w:rsidRPr="00634A49">
        <w:rPr>
          <w:szCs w:val="20"/>
          <w:lang w:val="es-CR"/>
        </w:rPr>
        <w:t>específicos</w:t>
      </w:r>
      <w:proofErr w:type="spellEnd"/>
      <w:r w:rsidRPr="00634A49">
        <w:rPr>
          <w:szCs w:val="20"/>
          <w:lang w:val="es-CR"/>
        </w:rPr>
        <w:t xml:space="preserve"> de discriminación que sufren las personas en situación de pobreza, las mujeres y las y los afrodescendientes, pero, </w:t>
      </w:r>
      <w:proofErr w:type="spellStart"/>
      <w:r w:rsidRPr="00634A49">
        <w:rPr>
          <w:szCs w:val="20"/>
          <w:lang w:val="es-CR"/>
        </w:rPr>
        <w:t>además</w:t>
      </w:r>
      <w:proofErr w:type="spellEnd"/>
      <w:r w:rsidRPr="00634A49">
        <w:rPr>
          <w:szCs w:val="20"/>
          <w:lang w:val="es-CR"/>
        </w:rPr>
        <w:t xml:space="preserve">, padecen una forma </w:t>
      </w:r>
      <w:proofErr w:type="spellStart"/>
      <w:r w:rsidRPr="00634A49">
        <w:rPr>
          <w:szCs w:val="20"/>
          <w:lang w:val="es-CR"/>
        </w:rPr>
        <w:t>específica</w:t>
      </w:r>
      <w:proofErr w:type="spellEnd"/>
      <w:r w:rsidRPr="00634A49">
        <w:rPr>
          <w:szCs w:val="20"/>
          <w:lang w:val="es-CR"/>
        </w:rPr>
        <w:t xml:space="preserve"> de discriminación por cuenta de la confluencia de todos estos factores y, en algunos casos, por estar embarazadas, por ser </w:t>
      </w:r>
      <w:proofErr w:type="spellStart"/>
      <w:r w:rsidRPr="00634A49">
        <w:rPr>
          <w:szCs w:val="20"/>
          <w:lang w:val="es-CR"/>
        </w:rPr>
        <w:t>niñas</w:t>
      </w:r>
      <w:proofErr w:type="spellEnd"/>
      <w:r w:rsidRPr="00634A49">
        <w:rPr>
          <w:szCs w:val="20"/>
          <w:lang w:val="es-CR"/>
        </w:rPr>
        <w:t xml:space="preserve">, o por ser </w:t>
      </w:r>
      <w:proofErr w:type="spellStart"/>
      <w:r w:rsidRPr="00634A49">
        <w:rPr>
          <w:szCs w:val="20"/>
          <w:lang w:val="es-CR"/>
        </w:rPr>
        <w:t>niñas</w:t>
      </w:r>
      <w:proofErr w:type="spellEnd"/>
      <w:r w:rsidRPr="00634A49">
        <w:rPr>
          <w:szCs w:val="20"/>
          <w:lang w:val="es-CR"/>
        </w:rPr>
        <w:t xml:space="preserve"> y estar embarazadas. Sobre este asunto es importante destacar que esta Corte ha establecido que el estado de embarazo puede constituir una condición </w:t>
      </w:r>
      <w:r w:rsidRPr="00634A49">
        <w:rPr>
          <w:szCs w:val="20"/>
          <w:lang w:val="es-CR"/>
        </w:rPr>
        <w:lastRenderedPageBreak/>
        <w:t xml:space="preserve">de particular vulnerabilidad y que, en algunos casos de </w:t>
      </w:r>
      <w:proofErr w:type="spellStart"/>
      <w:r w:rsidRPr="00634A49">
        <w:rPr>
          <w:szCs w:val="20"/>
          <w:lang w:val="es-CR"/>
        </w:rPr>
        <w:t>victimización</w:t>
      </w:r>
      <w:proofErr w:type="spellEnd"/>
      <w:r w:rsidRPr="00634A49">
        <w:rPr>
          <w:szCs w:val="20"/>
          <w:lang w:val="es-CR"/>
        </w:rPr>
        <w:t xml:space="preserve">, puede existir una </w:t>
      </w:r>
      <w:proofErr w:type="spellStart"/>
      <w:r w:rsidRPr="00634A49">
        <w:rPr>
          <w:szCs w:val="20"/>
          <w:lang w:val="es-CR"/>
        </w:rPr>
        <w:t>afectación</w:t>
      </w:r>
      <w:proofErr w:type="spellEnd"/>
      <w:r w:rsidRPr="00634A49">
        <w:rPr>
          <w:szCs w:val="20"/>
          <w:lang w:val="es-CR"/>
        </w:rPr>
        <w:t xml:space="preserve"> diferenciada por cuenta del embarazo.</w:t>
      </w:r>
    </w:p>
    <w:p w14:paraId="0155CF00" w14:textId="071245DF" w:rsidR="007269CF" w:rsidRPr="00634A49" w:rsidRDefault="007269CF" w:rsidP="00634A49">
      <w:pPr>
        <w:rPr>
          <w:szCs w:val="20"/>
          <w:lang w:val="es-CR"/>
        </w:rPr>
      </w:pPr>
      <w:r w:rsidRPr="00634A49">
        <w:rPr>
          <w:szCs w:val="20"/>
          <w:lang w:val="es-CR"/>
        </w:rPr>
        <w:t xml:space="preserve">192. En </w:t>
      </w:r>
      <w:proofErr w:type="spellStart"/>
      <w:r w:rsidRPr="00634A49">
        <w:rPr>
          <w:szCs w:val="20"/>
          <w:lang w:val="es-CR"/>
        </w:rPr>
        <w:t>relación</w:t>
      </w:r>
      <w:proofErr w:type="spellEnd"/>
      <w:r w:rsidRPr="00634A49">
        <w:rPr>
          <w:szCs w:val="20"/>
          <w:lang w:val="es-CR"/>
        </w:rPr>
        <w:t xml:space="preserve"> con la discriminación padecida por las mujeres, el </w:t>
      </w:r>
      <w:proofErr w:type="spellStart"/>
      <w:r w:rsidRPr="00634A49">
        <w:rPr>
          <w:szCs w:val="20"/>
          <w:lang w:val="es-CR"/>
        </w:rPr>
        <w:t>Comite</w:t>
      </w:r>
      <w:proofErr w:type="spellEnd"/>
      <w:r w:rsidRPr="00634A49">
        <w:rPr>
          <w:szCs w:val="20"/>
          <w:lang w:val="es-CR"/>
        </w:rPr>
        <w:t xml:space="preserve">́ para la </w:t>
      </w:r>
      <w:proofErr w:type="spellStart"/>
      <w:r w:rsidRPr="00634A49">
        <w:rPr>
          <w:szCs w:val="20"/>
          <w:lang w:val="es-CR"/>
        </w:rPr>
        <w:t>Eliminación</w:t>
      </w:r>
      <w:proofErr w:type="spellEnd"/>
      <w:r w:rsidRPr="00634A49">
        <w:rPr>
          <w:szCs w:val="20"/>
          <w:lang w:val="es-CR"/>
        </w:rPr>
        <w:t xml:space="preserve"> de la Discriminación contra la Mujer de Naciones Unidas, en un informe de</w:t>
      </w:r>
      <w:r>
        <w:rPr>
          <w:szCs w:val="20"/>
          <w:lang w:val="es-CR"/>
        </w:rPr>
        <w:t xml:space="preserve"> </w:t>
      </w:r>
      <w:r w:rsidRPr="00634A49">
        <w:rPr>
          <w:szCs w:val="20"/>
          <w:lang w:val="es-CR"/>
        </w:rPr>
        <w:t>2012,</w:t>
      </w:r>
      <w:r>
        <w:rPr>
          <w:szCs w:val="20"/>
          <w:lang w:val="es-CR"/>
        </w:rPr>
        <w:t xml:space="preserve"> </w:t>
      </w:r>
      <w:proofErr w:type="spellStart"/>
      <w:r w:rsidRPr="00634A49">
        <w:rPr>
          <w:szCs w:val="20"/>
          <w:lang w:val="es-CR"/>
        </w:rPr>
        <w:t>señalo</w:t>
      </w:r>
      <w:proofErr w:type="spellEnd"/>
      <w:r w:rsidRPr="00634A49">
        <w:rPr>
          <w:szCs w:val="20"/>
          <w:lang w:val="es-CR"/>
        </w:rPr>
        <w:t>́ que la igualdad entre hombres y mujeres en el mercado laboral es un problema en Brasil y que “le preocupa[</w:t>
      </w:r>
      <w:proofErr w:type="spellStart"/>
      <w:r w:rsidRPr="00634A49">
        <w:rPr>
          <w:szCs w:val="20"/>
          <w:lang w:val="es-CR"/>
        </w:rPr>
        <w:t>ba</w:t>
      </w:r>
      <w:proofErr w:type="spellEnd"/>
      <w:r w:rsidRPr="00634A49">
        <w:rPr>
          <w:szCs w:val="20"/>
          <w:lang w:val="es-CR"/>
        </w:rPr>
        <w:t xml:space="preserve">] que los estereotipos relacionados con el </w:t>
      </w:r>
      <w:proofErr w:type="spellStart"/>
      <w:r w:rsidRPr="00634A49">
        <w:rPr>
          <w:szCs w:val="20"/>
          <w:lang w:val="es-CR"/>
        </w:rPr>
        <w:t>género</w:t>
      </w:r>
      <w:proofErr w:type="spellEnd"/>
      <w:r w:rsidRPr="00634A49">
        <w:rPr>
          <w:szCs w:val="20"/>
          <w:lang w:val="es-CR"/>
        </w:rPr>
        <w:t xml:space="preserve"> y la raza contribuyan a la </w:t>
      </w:r>
      <w:proofErr w:type="spellStart"/>
      <w:r w:rsidRPr="00634A49">
        <w:rPr>
          <w:szCs w:val="20"/>
          <w:lang w:val="es-CR"/>
        </w:rPr>
        <w:t>segregación</w:t>
      </w:r>
      <w:proofErr w:type="spellEnd"/>
      <w:r w:rsidRPr="00634A49">
        <w:rPr>
          <w:szCs w:val="20"/>
          <w:lang w:val="es-CR"/>
        </w:rPr>
        <w:t xml:space="preserve"> de mujeres afrodescendientes e </w:t>
      </w:r>
      <w:proofErr w:type="spellStart"/>
      <w:r w:rsidRPr="00634A49">
        <w:rPr>
          <w:szCs w:val="20"/>
          <w:lang w:val="es-CR"/>
        </w:rPr>
        <w:t>indígenas</w:t>
      </w:r>
      <w:proofErr w:type="spellEnd"/>
      <w:r w:rsidRPr="00634A49">
        <w:rPr>
          <w:szCs w:val="20"/>
          <w:lang w:val="es-CR"/>
        </w:rPr>
        <w:t xml:space="preserve"> en los empleos de menor calidad”.</w:t>
      </w:r>
    </w:p>
    <w:p w14:paraId="53F2E520" w14:textId="4C21581B" w:rsidR="007269CF" w:rsidRPr="00634A49" w:rsidRDefault="007269CF" w:rsidP="00634A49">
      <w:pPr>
        <w:rPr>
          <w:szCs w:val="20"/>
          <w:lang w:val="es-CR"/>
        </w:rPr>
      </w:pPr>
      <w:r w:rsidRPr="00634A49">
        <w:rPr>
          <w:szCs w:val="20"/>
          <w:lang w:val="es-CR"/>
        </w:rPr>
        <w:t xml:space="preserve">193. Por su parte, la discriminación contra la </w:t>
      </w:r>
      <w:proofErr w:type="spellStart"/>
      <w:r w:rsidRPr="00634A49">
        <w:rPr>
          <w:szCs w:val="20"/>
          <w:lang w:val="es-CR"/>
        </w:rPr>
        <w:t>población</w:t>
      </w:r>
      <w:proofErr w:type="spellEnd"/>
      <w:r w:rsidRPr="00634A49">
        <w:rPr>
          <w:szCs w:val="20"/>
          <w:lang w:val="es-CR"/>
        </w:rPr>
        <w:t xml:space="preserve"> negra en Brasil ha sido una constante </w:t>
      </w:r>
      <w:proofErr w:type="spellStart"/>
      <w:r w:rsidRPr="00634A49">
        <w:rPr>
          <w:szCs w:val="20"/>
          <w:lang w:val="es-CR"/>
        </w:rPr>
        <w:t>histórica</w:t>
      </w:r>
      <w:proofErr w:type="spellEnd"/>
      <w:r w:rsidRPr="00634A49">
        <w:rPr>
          <w:szCs w:val="20"/>
          <w:lang w:val="es-CR"/>
        </w:rPr>
        <w:t xml:space="preserve">. De acuerdo con el </w:t>
      </w:r>
      <w:proofErr w:type="spellStart"/>
      <w:r w:rsidRPr="00634A49">
        <w:rPr>
          <w:szCs w:val="20"/>
          <w:lang w:val="es-CR"/>
        </w:rPr>
        <w:t>Comite</w:t>
      </w:r>
      <w:proofErr w:type="spellEnd"/>
      <w:r w:rsidRPr="00634A49">
        <w:rPr>
          <w:szCs w:val="20"/>
          <w:lang w:val="es-CR"/>
        </w:rPr>
        <w:t xml:space="preserve">́ de los Derechos del </w:t>
      </w:r>
      <w:proofErr w:type="spellStart"/>
      <w:r w:rsidRPr="00634A49">
        <w:rPr>
          <w:szCs w:val="20"/>
          <w:lang w:val="es-CR"/>
        </w:rPr>
        <w:t>Niño</w:t>
      </w:r>
      <w:proofErr w:type="spellEnd"/>
      <w:r w:rsidRPr="00634A49">
        <w:rPr>
          <w:szCs w:val="20"/>
          <w:lang w:val="es-CR"/>
        </w:rPr>
        <w:t xml:space="preserve">, </w:t>
      </w:r>
      <w:proofErr w:type="spellStart"/>
      <w:r w:rsidRPr="00634A49">
        <w:rPr>
          <w:szCs w:val="20"/>
          <w:lang w:val="es-CR"/>
        </w:rPr>
        <w:t>según</w:t>
      </w:r>
      <w:proofErr w:type="spellEnd"/>
      <w:r w:rsidRPr="00634A49">
        <w:rPr>
          <w:szCs w:val="20"/>
          <w:lang w:val="es-CR"/>
        </w:rPr>
        <w:t xml:space="preserve"> datos de 2006, “[e]n el Brasil entre el 10% </w:t>
      </w:r>
      <w:proofErr w:type="spellStart"/>
      <w:r w:rsidRPr="00634A49">
        <w:rPr>
          <w:szCs w:val="20"/>
          <w:lang w:val="es-CR"/>
        </w:rPr>
        <w:t>más</w:t>
      </w:r>
      <w:proofErr w:type="spellEnd"/>
      <w:r w:rsidRPr="00634A49">
        <w:rPr>
          <w:szCs w:val="20"/>
          <w:lang w:val="es-CR"/>
        </w:rPr>
        <w:t xml:space="preserve"> rico de la </w:t>
      </w:r>
      <w:proofErr w:type="spellStart"/>
      <w:r w:rsidRPr="00634A49">
        <w:rPr>
          <w:szCs w:val="20"/>
          <w:lang w:val="es-CR"/>
        </w:rPr>
        <w:t>población</w:t>
      </w:r>
      <w:proofErr w:type="spellEnd"/>
      <w:r w:rsidRPr="00634A49">
        <w:rPr>
          <w:szCs w:val="20"/>
          <w:lang w:val="es-CR"/>
        </w:rPr>
        <w:t xml:space="preserve">, </w:t>
      </w:r>
      <w:proofErr w:type="spellStart"/>
      <w:r w:rsidRPr="00634A49">
        <w:rPr>
          <w:szCs w:val="20"/>
          <w:lang w:val="es-CR"/>
        </w:rPr>
        <w:t>únicamente</w:t>
      </w:r>
      <w:proofErr w:type="spellEnd"/>
      <w:r w:rsidRPr="00634A49">
        <w:rPr>
          <w:szCs w:val="20"/>
          <w:lang w:val="es-CR"/>
        </w:rPr>
        <w:t xml:space="preserve"> el 18% son personas de descendencia africana (mestizos o negros); entre el 10% </w:t>
      </w:r>
      <w:proofErr w:type="spellStart"/>
      <w:r w:rsidRPr="00634A49">
        <w:rPr>
          <w:szCs w:val="20"/>
          <w:lang w:val="es-CR"/>
        </w:rPr>
        <w:t>más</w:t>
      </w:r>
      <w:proofErr w:type="spellEnd"/>
      <w:r w:rsidRPr="00634A49">
        <w:rPr>
          <w:szCs w:val="20"/>
          <w:lang w:val="es-CR"/>
        </w:rPr>
        <w:t xml:space="preserve"> pobre, el 71% son negros o mestizos”. Por su parte, el </w:t>
      </w:r>
      <w:proofErr w:type="spellStart"/>
      <w:r w:rsidRPr="00634A49">
        <w:rPr>
          <w:szCs w:val="20"/>
          <w:lang w:val="es-CR"/>
        </w:rPr>
        <w:t>Comite</w:t>
      </w:r>
      <w:proofErr w:type="spellEnd"/>
      <w:r w:rsidRPr="00634A49">
        <w:rPr>
          <w:szCs w:val="20"/>
          <w:lang w:val="es-CR"/>
        </w:rPr>
        <w:t xml:space="preserve">́ para la </w:t>
      </w:r>
      <w:proofErr w:type="spellStart"/>
      <w:r w:rsidRPr="00634A49">
        <w:rPr>
          <w:szCs w:val="20"/>
          <w:lang w:val="es-CR"/>
        </w:rPr>
        <w:t>Eliminación</w:t>
      </w:r>
      <w:proofErr w:type="spellEnd"/>
      <w:r w:rsidRPr="00634A49">
        <w:rPr>
          <w:szCs w:val="20"/>
          <w:lang w:val="es-CR"/>
        </w:rPr>
        <w:t xml:space="preserve"> de la Discriminación Racial le ha reiterado al Estado, en diversas oportunidades, su </w:t>
      </w:r>
      <w:proofErr w:type="spellStart"/>
      <w:r w:rsidRPr="00634A49">
        <w:rPr>
          <w:szCs w:val="20"/>
          <w:lang w:val="es-CR"/>
        </w:rPr>
        <w:t>preocupación</w:t>
      </w:r>
      <w:proofErr w:type="spellEnd"/>
      <w:r w:rsidRPr="00634A49">
        <w:rPr>
          <w:szCs w:val="20"/>
          <w:lang w:val="es-CR"/>
        </w:rPr>
        <w:t xml:space="preserve"> por desigualdad que afecta a las comunidades negras y mestizas y por su impacto en el ejercicio de otros derechos.</w:t>
      </w:r>
    </w:p>
    <w:p w14:paraId="284CEA53" w14:textId="340DAF00" w:rsidR="007269CF" w:rsidRPr="00634A49" w:rsidRDefault="007269CF" w:rsidP="00634A49">
      <w:pPr>
        <w:rPr>
          <w:szCs w:val="20"/>
          <w:lang w:val="es-CR"/>
        </w:rPr>
      </w:pPr>
      <w:r w:rsidRPr="00634A49">
        <w:rPr>
          <w:szCs w:val="20"/>
          <w:lang w:val="es-CR"/>
        </w:rPr>
        <w:t xml:space="preserve">194. En </w:t>
      </w:r>
      <w:proofErr w:type="spellStart"/>
      <w:r w:rsidRPr="00634A49">
        <w:rPr>
          <w:szCs w:val="20"/>
          <w:lang w:val="es-CR"/>
        </w:rPr>
        <w:t>relación</w:t>
      </w:r>
      <w:proofErr w:type="spellEnd"/>
      <w:r w:rsidRPr="00634A49">
        <w:rPr>
          <w:szCs w:val="20"/>
          <w:lang w:val="es-CR"/>
        </w:rPr>
        <w:t xml:space="preserve"> con la situación de las </w:t>
      </w:r>
      <w:proofErr w:type="spellStart"/>
      <w:r w:rsidRPr="00634A49">
        <w:rPr>
          <w:szCs w:val="20"/>
          <w:lang w:val="es-CR"/>
        </w:rPr>
        <w:t>niñas</w:t>
      </w:r>
      <w:proofErr w:type="spellEnd"/>
      <w:r w:rsidRPr="00634A49">
        <w:rPr>
          <w:szCs w:val="20"/>
          <w:lang w:val="es-CR"/>
        </w:rPr>
        <w:t xml:space="preserve"> y </w:t>
      </w:r>
      <w:proofErr w:type="spellStart"/>
      <w:r w:rsidRPr="00634A49">
        <w:rPr>
          <w:szCs w:val="20"/>
          <w:lang w:val="es-CR"/>
        </w:rPr>
        <w:t>niños</w:t>
      </w:r>
      <w:proofErr w:type="spellEnd"/>
      <w:r w:rsidRPr="00634A49">
        <w:rPr>
          <w:szCs w:val="20"/>
          <w:lang w:val="es-CR"/>
        </w:rPr>
        <w:t xml:space="preserve">, la </w:t>
      </w:r>
      <w:proofErr w:type="spellStart"/>
      <w:r w:rsidRPr="00634A49">
        <w:rPr>
          <w:szCs w:val="20"/>
          <w:lang w:val="es-CR"/>
        </w:rPr>
        <w:t>Comisión</w:t>
      </w:r>
      <w:proofErr w:type="spellEnd"/>
      <w:r w:rsidRPr="00634A49">
        <w:rPr>
          <w:szCs w:val="20"/>
          <w:lang w:val="es-CR"/>
        </w:rPr>
        <w:t xml:space="preserve"> Interamericana </w:t>
      </w:r>
      <w:proofErr w:type="spellStart"/>
      <w:r w:rsidRPr="00634A49">
        <w:rPr>
          <w:szCs w:val="20"/>
          <w:lang w:val="es-CR"/>
        </w:rPr>
        <w:t>encontro</w:t>
      </w:r>
      <w:proofErr w:type="spellEnd"/>
      <w:r w:rsidRPr="00634A49">
        <w:rPr>
          <w:szCs w:val="20"/>
          <w:lang w:val="es-CR"/>
        </w:rPr>
        <w:t xml:space="preserve">́ que en Brasil, para 1997, un </w:t>
      </w:r>
      <w:proofErr w:type="spellStart"/>
      <w:r w:rsidRPr="00634A49">
        <w:rPr>
          <w:szCs w:val="20"/>
          <w:lang w:val="es-CR"/>
        </w:rPr>
        <w:t>año</w:t>
      </w:r>
      <w:proofErr w:type="spellEnd"/>
      <w:r w:rsidRPr="00634A49">
        <w:rPr>
          <w:szCs w:val="20"/>
          <w:lang w:val="es-CR"/>
        </w:rPr>
        <w:t xml:space="preserve"> antes de la </w:t>
      </w:r>
      <w:proofErr w:type="spellStart"/>
      <w:r w:rsidRPr="00634A49">
        <w:rPr>
          <w:szCs w:val="20"/>
          <w:lang w:val="es-CR"/>
        </w:rPr>
        <w:t>explosión</w:t>
      </w:r>
      <w:proofErr w:type="spellEnd"/>
      <w:r w:rsidRPr="00634A49">
        <w:rPr>
          <w:szCs w:val="20"/>
          <w:lang w:val="es-CR"/>
        </w:rPr>
        <w:t xml:space="preserve">, el ausentismo escolar de los </w:t>
      </w:r>
      <w:proofErr w:type="spellStart"/>
      <w:r w:rsidRPr="00634A49">
        <w:rPr>
          <w:szCs w:val="20"/>
          <w:lang w:val="es-CR"/>
        </w:rPr>
        <w:t>niños</w:t>
      </w:r>
      <w:proofErr w:type="spellEnd"/>
      <w:r w:rsidRPr="00634A49">
        <w:rPr>
          <w:szCs w:val="20"/>
          <w:lang w:val="es-CR"/>
        </w:rPr>
        <w:t xml:space="preserve"> y </w:t>
      </w:r>
      <w:proofErr w:type="spellStart"/>
      <w:r w:rsidRPr="00634A49">
        <w:rPr>
          <w:szCs w:val="20"/>
          <w:lang w:val="es-CR"/>
        </w:rPr>
        <w:t>niñas</w:t>
      </w:r>
      <w:proofErr w:type="spellEnd"/>
      <w:r w:rsidRPr="00634A49">
        <w:rPr>
          <w:szCs w:val="20"/>
          <w:lang w:val="es-CR"/>
        </w:rPr>
        <w:t xml:space="preserve"> afrodescendientes se </w:t>
      </w:r>
      <w:proofErr w:type="spellStart"/>
      <w:r w:rsidRPr="00634A49">
        <w:rPr>
          <w:szCs w:val="20"/>
          <w:lang w:val="es-CR"/>
        </w:rPr>
        <w:t>debía</w:t>
      </w:r>
      <w:proofErr w:type="spellEnd"/>
      <w:r w:rsidRPr="00634A49">
        <w:rPr>
          <w:szCs w:val="20"/>
          <w:lang w:val="es-CR"/>
        </w:rPr>
        <w:t xml:space="preserve"> a su necesidad de contribuir con el ingreso familiar y que era </w:t>
      </w:r>
      <w:proofErr w:type="spellStart"/>
      <w:r w:rsidRPr="00634A49">
        <w:rPr>
          <w:szCs w:val="20"/>
          <w:lang w:val="es-CR"/>
        </w:rPr>
        <w:t>común</w:t>
      </w:r>
      <w:proofErr w:type="spellEnd"/>
      <w:r w:rsidRPr="00634A49">
        <w:rPr>
          <w:szCs w:val="20"/>
          <w:lang w:val="es-CR"/>
        </w:rPr>
        <w:t xml:space="preserve"> que las </w:t>
      </w:r>
      <w:proofErr w:type="spellStart"/>
      <w:r w:rsidRPr="00634A49">
        <w:rPr>
          <w:szCs w:val="20"/>
          <w:lang w:val="es-CR"/>
        </w:rPr>
        <w:t>niñas</w:t>
      </w:r>
      <w:proofErr w:type="spellEnd"/>
      <w:r w:rsidRPr="00634A49">
        <w:rPr>
          <w:szCs w:val="20"/>
          <w:lang w:val="es-CR"/>
        </w:rPr>
        <w:t xml:space="preserve"> y los </w:t>
      </w:r>
      <w:proofErr w:type="spellStart"/>
      <w:r w:rsidRPr="00634A49">
        <w:rPr>
          <w:szCs w:val="20"/>
          <w:lang w:val="es-CR"/>
        </w:rPr>
        <w:t>niños</w:t>
      </w:r>
      <w:proofErr w:type="spellEnd"/>
      <w:r w:rsidRPr="00634A49">
        <w:rPr>
          <w:szCs w:val="20"/>
          <w:lang w:val="es-CR"/>
        </w:rPr>
        <w:t xml:space="preserve"> trabajaran en la industria, con productos </w:t>
      </w:r>
      <w:proofErr w:type="spellStart"/>
      <w:r w:rsidRPr="00634A49">
        <w:rPr>
          <w:szCs w:val="20"/>
          <w:lang w:val="es-CR"/>
        </w:rPr>
        <w:t>tóxicos</w:t>
      </w:r>
      <w:proofErr w:type="spellEnd"/>
      <w:r w:rsidRPr="00634A49">
        <w:rPr>
          <w:szCs w:val="20"/>
          <w:lang w:val="es-CR"/>
        </w:rPr>
        <w:t xml:space="preserve"> e insalubres y en condiciones peligrosas, pese a que la </w:t>
      </w:r>
      <w:proofErr w:type="spellStart"/>
      <w:r w:rsidRPr="00634A49">
        <w:rPr>
          <w:szCs w:val="20"/>
          <w:lang w:val="es-CR"/>
        </w:rPr>
        <w:t>Constitución</w:t>
      </w:r>
      <w:proofErr w:type="spellEnd"/>
      <w:r w:rsidRPr="00634A49">
        <w:rPr>
          <w:szCs w:val="20"/>
          <w:lang w:val="es-CR"/>
        </w:rPr>
        <w:t xml:space="preserve"> de Brasil </w:t>
      </w:r>
      <w:proofErr w:type="spellStart"/>
      <w:r w:rsidRPr="00634A49">
        <w:rPr>
          <w:szCs w:val="20"/>
          <w:lang w:val="es-CR"/>
        </w:rPr>
        <w:t>prohibía</w:t>
      </w:r>
      <w:proofErr w:type="spellEnd"/>
      <w:r w:rsidRPr="00634A49">
        <w:rPr>
          <w:szCs w:val="20"/>
          <w:lang w:val="es-CR"/>
        </w:rPr>
        <w:t xml:space="preserve"> el trabajo de menores de 16, salvo que se tratara de aprendices y el trabajo de menores de 18 </w:t>
      </w:r>
      <w:proofErr w:type="spellStart"/>
      <w:r w:rsidRPr="00634A49">
        <w:rPr>
          <w:szCs w:val="20"/>
          <w:lang w:val="es-CR"/>
        </w:rPr>
        <w:t>años</w:t>
      </w:r>
      <w:proofErr w:type="spellEnd"/>
      <w:r w:rsidRPr="00634A49">
        <w:rPr>
          <w:szCs w:val="20"/>
          <w:lang w:val="es-CR"/>
        </w:rPr>
        <w:t xml:space="preserve"> en condiciones peligrosas e insalubres. </w:t>
      </w:r>
      <w:proofErr w:type="spellStart"/>
      <w:r w:rsidRPr="00634A49">
        <w:rPr>
          <w:szCs w:val="20"/>
          <w:lang w:val="es-CR"/>
        </w:rPr>
        <w:t>Además</w:t>
      </w:r>
      <w:proofErr w:type="spellEnd"/>
      <w:r w:rsidRPr="00634A49">
        <w:rPr>
          <w:szCs w:val="20"/>
          <w:lang w:val="es-CR"/>
        </w:rPr>
        <w:t xml:space="preserve">, de acuerdo con uno de los peritajes presentados ante la Corte, el trabajo infantil es un </w:t>
      </w:r>
      <w:proofErr w:type="spellStart"/>
      <w:r w:rsidRPr="00634A49">
        <w:rPr>
          <w:szCs w:val="20"/>
          <w:lang w:val="es-CR"/>
        </w:rPr>
        <w:t>fenómeno</w:t>
      </w:r>
      <w:proofErr w:type="spellEnd"/>
      <w:r w:rsidRPr="00634A49">
        <w:rPr>
          <w:szCs w:val="20"/>
          <w:lang w:val="es-CR"/>
        </w:rPr>
        <w:t xml:space="preserve"> de alta incidencia en Brasil. </w:t>
      </w:r>
      <w:proofErr w:type="spellStart"/>
      <w:r w:rsidRPr="00634A49">
        <w:rPr>
          <w:szCs w:val="20"/>
          <w:lang w:val="es-CR"/>
        </w:rPr>
        <w:t>Según</w:t>
      </w:r>
      <w:proofErr w:type="spellEnd"/>
      <w:r w:rsidRPr="00634A49">
        <w:rPr>
          <w:szCs w:val="20"/>
          <w:lang w:val="es-CR"/>
        </w:rPr>
        <w:t xml:space="preserve"> cifras oficiales, para 2015 </w:t>
      </w:r>
      <w:proofErr w:type="spellStart"/>
      <w:r w:rsidRPr="00634A49">
        <w:rPr>
          <w:szCs w:val="20"/>
          <w:lang w:val="es-CR"/>
        </w:rPr>
        <w:t>había</w:t>
      </w:r>
      <w:proofErr w:type="spellEnd"/>
      <w:r w:rsidRPr="00634A49">
        <w:rPr>
          <w:szCs w:val="20"/>
          <w:lang w:val="es-CR"/>
        </w:rPr>
        <w:t xml:space="preserve"> 2,7 millones de </w:t>
      </w:r>
      <w:proofErr w:type="spellStart"/>
      <w:r w:rsidRPr="00634A49">
        <w:rPr>
          <w:szCs w:val="20"/>
          <w:lang w:val="es-CR"/>
        </w:rPr>
        <w:t>niños</w:t>
      </w:r>
      <w:proofErr w:type="spellEnd"/>
      <w:r w:rsidRPr="00634A49">
        <w:rPr>
          <w:szCs w:val="20"/>
          <w:lang w:val="es-CR"/>
        </w:rPr>
        <w:t xml:space="preserve"> y adolescentes trabajando, la </w:t>
      </w:r>
      <w:proofErr w:type="spellStart"/>
      <w:r w:rsidRPr="00634A49">
        <w:rPr>
          <w:szCs w:val="20"/>
          <w:lang w:val="es-CR"/>
        </w:rPr>
        <w:t>mayoría</w:t>
      </w:r>
      <w:proofErr w:type="spellEnd"/>
      <w:r w:rsidRPr="00634A49">
        <w:rPr>
          <w:szCs w:val="20"/>
          <w:lang w:val="es-CR"/>
        </w:rPr>
        <w:t xml:space="preserve"> de ellos, </w:t>
      </w:r>
      <w:proofErr w:type="spellStart"/>
      <w:r w:rsidRPr="00634A49">
        <w:rPr>
          <w:szCs w:val="20"/>
          <w:lang w:val="es-CR"/>
        </w:rPr>
        <w:t>niños</w:t>
      </w:r>
      <w:proofErr w:type="spellEnd"/>
      <w:r w:rsidRPr="00634A49">
        <w:rPr>
          <w:szCs w:val="20"/>
          <w:lang w:val="es-CR"/>
        </w:rPr>
        <w:t xml:space="preserve"> afrodescendientes que viven en zonas urbanas y realizan un trabajo remunerado. </w:t>
      </w:r>
      <w:proofErr w:type="spellStart"/>
      <w:r w:rsidRPr="00634A49">
        <w:rPr>
          <w:szCs w:val="20"/>
          <w:lang w:val="es-CR"/>
        </w:rPr>
        <w:t>Además</w:t>
      </w:r>
      <w:proofErr w:type="spellEnd"/>
      <w:r w:rsidRPr="00634A49">
        <w:rPr>
          <w:szCs w:val="20"/>
          <w:lang w:val="es-CR"/>
        </w:rPr>
        <w:t>, el trabajo infantil afecta a los grupos particularmente vulnerables.</w:t>
      </w:r>
    </w:p>
    <w:p w14:paraId="10D9A89E" w14:textId="4DBC119F" w:rsidR="007269CF" w:rsidRDefault="007269CF" w:rsidP="00634A49">
      <w:pPr>
        <w:rPr>
          <w:szCs w:val="20"/>
          <w:lang w:val="es-CR"/>
        </w:rPr>
      </w:pPr>
      <w:r w:rsidRPr="00634A49">
        <w:rPr>
          <w:szCs w:val="20"/>
          <w:lang w:val="es-CR"/>
        </w:rPr>
        <w:t xml:space="preserve">195. Ahora bien, las desventajas </w:t>
      </w:r>
      <w:proofErr w:type="spellStart"/>
      <w:r w:rsidRPr="00634A49">
        <w:rPr>
          <w:szCs w:val="20"/>
          <w:lang w:val="es-CR"/>
        </w:rPr>
        <w:t>económicas</w:t>
      </w:r>
      <w:proofErr w:type="spellEnd"/>
      <w:r w:rsidRPr="00634A49">
        <w:rPr>
          <w:szCs w:val="20"/>
          <w:lang w:val="es-CR"/>
        </w:rPr>
        <w:t xml:space="preserve"> y sociales, cuando se relacionan con las referidas a grupos poblacionales pueden imponer mayores desventajas. </w:t>
      </w:r>
      <w:proofErr w:type="spellStart"/>
      <w:r w:rsidRPr="00634A49">
        <w:rPr>
          <w:szCs w:val="20"/>
          <w:lang w:val="es-CR"/>
        </w:rPr>
        <w:t>Asi</w:t>
      </w:r>
      <w:proofErr w:type="spellEnd"/>
      <w:r w:rsidRPr="00634A49">
        <w:rPr>
          <w:szCs w:val="20"/>
          <w:lang w:val="es-CR"/>
        </w:rPr>
        <w:t xml:space="preserve">́, por ejemplo “[e]n muchos </w:t>
      </w:r>
      <w:proofErr w:type="spellStart"/>
      <w:r w:rsidRPr="00634A49">
        <w:rPr>
          <w:szCs w:val="20"/>
          <w:lang w:val="es-CR"/>
        </w:rPr>
        <w:t>países</w:t>
      </w:r>
      <w:proofErr w:type="spellEnd"/>
      <w:r w:rsidRPr="00634A49">
        <w:rPr>
          <w:szCs w:val="20"/>
          <w:lang w:val="es-CR"/>
        </w:rPr>
        <w:t xml:space="preserve">, el sector </w:t>
      </w:r>
      <w:proofErr w:type="spellStart"/>
      <w:r w:rsidRPr="00634A49">
        <w:rPr>
          <w:szCs w:val="20"/>
          <w:lang w:val="es-CR"/>
        </w:rPr>
        <w:t>más</w:t>
      </w:r>
      <w:proofErr w:type="spellEnd"/>
      <w:r w:rsidRPr="00634A49">
        <w:rPr>
          <w:szCs w:val="20"/>
          <w:lang w:val="es-CR"/>
        </w:rPr>
        <w:t xml:space="preserve"> pobre de la </w:t>
      </w:r>
      <w:proofErr w:type="spellStart"/>
      <w:r w:rsidRPr="00634A49">
        <w:rPr>
          <w:szCs w:val="20"/>
          <w:lang w:val="es-CR"/>
        </w:rPr>
        <w:t>población</w:t>
      </w:r>
      <w:proofErr w:type="spellEnd"/>
      <w:r w:rsidRPr="00634A49">
        <w:rPr>
          <w:szCs w:val="20"/>
          <w:lang w:val="es-CR"/>
        </w:rPr>
        <w:t xml:space="preserve"> coincide con los grupos sociales y </w:t>
      </w:r>
      <w:proofErr w:type="spellStart"/>
      <w:r w:rsidRPr="00634A49">
        <w:rPr>
          <w:szCs w:val="20"/>
          <w:lang w:val="es-CR"/>
        </w:rPr>
        <w:t>étnicos</w:t>
      </w:r>
      <w:proofErr w:type="spellEnd"/>
      <w:r w:rsidRPr="00634A49">
        <w:rPr>
          <w:szCs w:val="20"/>
          <w:lang w:val="es-CR"/>
        </w:rPr>
        <w:t xml:space="preserve"> que son objeto de discriminación”. En el mismo sentido, el </w:t>
      </w:r>
      <w:proofErr w:type="spellStart"/>
      <w:r w:rsidRPr="00634A49">
        <w:rPr>
          <w:szCs w:val="20"/>
          <w:lang w:val="es-CR"/>
        </w:rPr>
        <w:t>Comite</w:t>
      </w:r>
      <w:proofErr w:type="spellEnd"/>
      <w:r w:rsidRPr="00634A49">
        <w:rPr>
          <w:szCs w:val="20"/>
          <w:lang w:val="es-CR"/>
        </w:rPr>
        <w:t xml:space="preserve">́ para la </w:t>
      </w:r>
      <w:proofErr w:type="spellStart"/>
      <w:r w:rsidRPr="00634A49">
        <w:rPr>
          <w:szCs w:val="20"/>
          <w:lang w:val="es-CR"/>
        </w:rPr>
        <w:t>Eliminación</w:t>
      </w:r>
      <w:proofErr w:type="spellEnd"/>
      <w:r w:rsidRPr="00634A49">
        <w:rPr>
          <w:szCs w:val="20"/>
          <w:lang w:val="es-CR"/>
        </w:rPr>
        <w:t xml:space="preserve"> de la Discriminación contra la Mujer, en su dictamen sobre la </w:t>
      </w:r>
      <w:proofErr w:type="spellStart"/>
      <w:r w:rsidRPr="00634A49">
        <w:rPr>
          <w:szCs w:val="20"/>
          <w:lang w:val="es-CR"/>
        </w:rPr>
        <w:t>Comunicación</w:t>
      </w:r>
      <w:proofErr w:type="spellEnd"/>
      <w:r w:rsidRPr="00634A49">
        <w:rPr>
          <w:szCs w:val="20"/>
          <w:lang w:val="es-CR"/>
        </w:rPr>
        <w:t xml:space="preserve"> No. 17 de 2008 y en referencia a sus observaciones finales sobre Brasil del 15 de agosto de 2007, destacó que la discriminación contra las mujeres en ese </w:t>
      </w:r>
      <w:proofErr w:type="spellStart"/>
      <w:r w:rsidRPr="00634A49">
        <w:rPr>
          <w:szCs w:val="20"/>
          <w:lang w:val="es-CR"/>
        </w:rPr>
        <w:t>país</w:t>
      </w:r>
      <w:proofErr w:type="spellEnd"/>
      <w:r w:rsidRPr="00634A49">
        <w:rPr>
          <w:szCs w:val="20"/>
          <w:lang w:val="es-CR"/>
        </w:rPr>
        <w:t xml:space="preserve"> es “exacerbada por las disparidades regionales, </w:t>
      </w:r>
      <w:proofErr w:type="spellStart"/>
      <w:r w:rsidRPr="00634A49">
        <w:rPr>
          <w:szCs w:val="20"/>
          <w:lang w:val="es-CR"/>
        </w:rPr>
        <w:t>económicas</w:t>
      </w:r>
      <w:proofErr w:type="spellEnd"/>
      <w:r w:rsidRPr="00634A49">
        <w:rPr>
          <w:szCs w:val="20"/>
          <w:lang w:val="es-CR"/>
        </w:rPr>
        <w:t xml:space="preserve"> y sociales” y </w:t>
      </w:r>
      <w:proofErr w:type="spellStart"/>
      <w:r w:rsidRPr="00634A49">
        <w:rPr>
          <w:szCs w:val="20"/>
          <w:lang w:val="es-CR"/>
        </w:rPr>
        <w:t>recordo</w:t>
      </w:r>
      <w:proofErr w:type="spellEnd"/>
      <w:r w:rsidRPr="00634A49">
        <w:rPr>
          <w:szCs w:val="20"/>
          <w:lang w:val="es-CR"/>
        </w:rPr>
        <w:t xml:space="preserve">́ “que la discriminación contra la mujer basada en el sexo y el </w:t>
      </w:r>
      <w:proofErr w:type="spellStart"/>
      <w:r w:rsidRPr="00634A49">
        <w:rPr>
          <w:szCs w:val="20"/>
          <w:lang w:val="es-CR"/>
        </w:rPr>
        <w:t>género</w:t>
      </w:r>
      <w:proofErr w:type="spellEnd"/>
      <w:r w:rsidRPr="00634A49">
        <w:rPr>
          <w:szCs w:val="20"/>
          <w:lang w:val="es-CR"/>
        </w:rPr>
        <w:t xml:space="preserve"> está indisolublemente vinculada a otros factores que afectan a la mujer, como la raza, el origen </w:t>
      </w:r>
      <w:proofErr w:type="spellStart"/>
      <w:r w:rsidRPr="00634A49">
        <w:rPr>
          <w:szCs w:val="20"/>
          <w:lang w:val="es-CR"/>
        </w:rPr>
        <w:t>étnico</w:t>
      </w:r>
      <w:proofErr w:type="spellEnd"/>
      <w:r w:rsidRPr="00634A49">
        <w:rPr>
          <w:szCs w:val="20"/>
          <w:lang w:val="es-CR"/>
        </w:rPr>
        <w:t xml:space="preserve">, la </w:t>
      </w:r>
      <w:proofErr w:type="spellStart"/>
      <w:r w:rsidRPr="00634A49">
        <w:rPr>
          <w:szCs w:val="20"/>
          <w:lang w:val="es-CR"/>
        </w:rPr>
        <w:t>religión</w:t>
      </w:r>
      <w:proofErr w:type="spellEnd"/>
      <w:r w:rsidRPr="00634A49">
        <w:rPr>
          <w:szCs w:val="20"/>
          <w:lang w:val="es-CR"/>
        </w:rPr>
        <w:t xml:space="preserve"> o las creencias, la salud, la condición </w:t>
      </w:r>
      <w:proofErr w:type="spellStart"/>
      <w:r w:rsidRPr="00634A49">
        <w:rPr>
          <w:szCs w:val="20"/>
          <w:lang w:val="es-CR"/>
        </w:rPr>
        <w:t>jurídica</w:t>
      </w:r>
      <w:proofErr w:type="spellEnd"/>
      <w:r w:rsidRPr="00634A49">
        <w:rPr>
          <w:szCs w:val="20"/>
          <w:lang w:val="es-CR"/>
        </w:rPr>
        <w:t xml:space="preserve"> y social, la edad, la clase, la casta y la </w:t>
      </w:r>
      <w:proofErr w:type="spellStart"/>
      <w:r w:rsidRPr="00634A49">
        <w:rPr>
          <w:szCs w:val="20"/>
          <w:lang w:val="es-CR"/>
        </w:rPr>
        <w:t>orientación</w:t>
      </w:r>
      <w:proofErr w:type="spellEnd"/>
      <w:r w:rsidRPr="00634A49">
        <w:rPr>
          <w:szCs w:val="20"/>
          <w:lang w:val="es-CR"/>
        </w:rPr>
        <w:t xml:space="preserve"> sexual y la identidad de </w:t>
      </w:r>
      <w:proofErr w:type="spellStart"/>
      <w:r w:rsidRPr="00634A49">
        <w:rPr>
          <w:szCs w:val="20"/>
          <w:lang w:val="es-CR"/>
        </w:rPr>
        <w:t>género</w:t>
      </w:r>
      <w:proofErr w:type="spellEnd"/>
      <w:r w:rsidRPr="00634A49">
        <w:rPr>
          <w:szCs w:val="20"/>
          <w:lang w:val="es-CR"/>
        </w:rPr>
        <w:t>”.</w:t>
      </w:r>
    </w:p>
    <w:p w14:paraId="3076B7DE" w14:textId="0ECC9104" w:rsidR="007269CF" w:rsidRPr="00634A49" w:rsidRDefault="007269CF" w:rsidP="00634A49">
      <w:pPr>
        <w:rPr>
          <w:szCs w:val="20"/>
          <w:lang w:val="es-CR"/>
        </w:rPr>
      </w:pPr>
      <w:r w:rsidRPr="00634A49">
        <w:rPr>
          <w:szCs w:val="20"/>
          <w:lang w:val="es-CR"/>
        </w:rPr>
        <w:t xml:space="preserve">196. En el mismo sentido, el </w:t>
      </w:r>
      <w:proofErr w:type="spellStart"/>
      <w:r w:rsidRPr="00634A49">
        <w:rPr>
          <w:szCs w:val="20"/>
          <w:lang w:val="es-CR"/>
        </w:rPr>
        <w:t>Comite</w:t>
      </w:r>
      <w:proofErr w:type="spellEnd"/>
      <w:r w:rsidRPr="00634A49">
        <w:rPr>
          <w:szCs w:val="20"/>
          <w:lang w:val="es-CR"/>
        </w:rPr>
        <w:t xml:space="preserve">́ para la </w:t>
      </w:r>
      <w:proofErr w:type="spellStart"/>
      <w:r w:rsidRPr="00634A49">
        <w:rPr>
          <w:szCs w:val="20"/>
          <w:lang w:val="es-CR"/>
        </w:rPr>
        <w:t>Eliminación</w:t>
      </w:r>
      <w:proofErr w:type="spellEnd"/>
      <w:r w:rsidRPr="00634A49">
        <w:rPr>
          <w:szCs w:val="20"/>
          <w:lang w:val="es-CR"/>
        </w:rPr>
        <w:t xml:space="preserve"> de la Discriminación contra la Mujer de Naciones Unidas ha manifestado su </w:t>
      </w:r>
      <w:proofErr w:type="spellStart"/>
      <w:r w:rsidRPr="00634A49">
        <w:rPr>
          <w:szCs w:val="20"/>
          <w:lang w:val="es-CR"/>
        </w:rPr>
        <w:t>preocupación</w:t>
      </w:r>
      <w:proofErr w:type="spellEnd"/>
      <w:r w:rsidRPr="00634A49">
        <w:rPr>
          <w:szCs w:val="20"/>
          <w:lang w:val="es-CR"/>
        </w:rPr>
        <w:t xml:space="preserve"> “por los efectos de la pobreza sobre las mujeres </w:t>
      </w:r>
      <w:proofErr w:type="spellStart"/>
      <w:r w:rsidRPr="00634A49">
        <w:rPr>
          <w:szCs w:val="20"/>
          <w:lang w:val="es-CR"/>
        </w:rPr>
        <w:t>brasileñas</w:t>
      </w:r>
      <w:proofErr w:type="spellEnd"/>
      <w:r w:rsidRPr="00634A49">
        <w:rPr>
          <w:szCs w:val="20"/>
          <w:lang w:val="es-CR"/>
        </w:rPr>
        <w:t xml:space="preserve"> de ascendencia africana [...] y otros grupos de mujeres socialmente excluidos o marginados y su </w:t>
      </w:r>
      <w:proofErr w:type="spellStart"/>
      <w:r w:rsidRPr="00634A49">
        <w:rPr>
          <w:szCs w:val="20"/>
          <w:lang w:val="es-CR"/>
        </w:rPr>
        <w:t>posición</w:t>
      </w:r>
      <w:proofErr w:type="spellEnd"/>
      <w:r w:rsidRPr="00634A49">
        <w:rPr>
          <w:szCs w:val="20"/>
          <w:lang w:val="es-CR"/>
        </w:rPr>
        <w:t xml:space="preserve"> desventajosa en </w:t>
      </w:r>
      <w:proofErr w:type="spellStart"/>
      <w:r w:rsidRPr="00634A49">
        <w:rPr>
          <w:szCs w:val="20"/>
          <w:lang w:val="es-CR"/>
        </w:rPr>
        <w:t>relación</w:t>
      </w:r>
      <w:proofErr w:type="spellEnd"/>
      <w:r w:rsidRPr="00634A49">
        <w:rPr>
          <w:szCs w:val="20"/>
          <w:lang w:val="es-CR"/>
        </w:rPr>
        <w:t xml:space="preserve"> con el acceso a la </w:t>
      </w:r>
      <w:proofErr w:type="spellStart"/>
      <w:r w:rsidRPr="00634A49">
        <w:rPr>
          <w:szCs w:val="20"/>
          <w:lang w:val="es-CR"/>
        </w:rPr>
        <w:t>educación</w:t>
      </w:r>
      <w:proofErr w:type="spellEnd"/>
      <w:r w:rsidRPr="00634A49">
        <w:rPr>
          <w:szCs w:val="20"/>
          <w:lang w:val="es-CR"/>
        </w:rPr>
        <w:t xml:space="preserve">, la salud, el saneamiento </w:t>
      </w:r>
      <w:proofErr w:type="spellStart"/>
      <w:r w:rsidRPr="00634A49">
        <w:rPr>
          <w:szCs w:val="20"/>
          <w:lang w:val="es-CR"/>
        </w:rPr>
        <w:t>básico</w:t>
      </w:r>
      <w:proofErr w:type="spellEnd"/>
      <w:r w:rsidRPr="00634A49">
        <w:rPr>
          <w:szCs w:val="20"/>
          <w:lang w:val="es-CR"/>
        </w:rPr>
        <w:t xml:space="preserve">, el empleo, la </w:t>
      </w:r>
      <w:proofErr w:type="spellStart"/>
      <w:r w:rsidRPr="00634A49">
        <w:rPr>
          <w:szCs w:val="20"/>
          <w:lang w:val="es-CR"/>
        </w:rPr>
        <w:t>información</w:t>
      </w:r>
      <w:proofErr w:type="spellEnd"/>
      <w:r w:rsidRPr="00634A49">
        <w:rPr>
          <w:szCs w:val="20"/>
          <w:lang w:val="es-CR"/>
        </w:rPr>
        <w:t xml:space="preserve"> y la justicia” y porque “las deficientes condiciones de empleo de la mujer en general, incluida la </w:t>
      </w:r>
      <w:proofErr w:type="spellStart"/>
      <w:r w:rsidRPr="00634A49">
        <w:rPr>
          <w:szCs w:val="20"/>
          <w:lang w:val="es-CR"/>
        </w:rPr>
        <w:t>segregación</w:t>
      </w:r>
      <w:proofErr w:type="spellEnd"/>
      <w:r w:rsidRPr="00634A49">
        <w:rPr>
          <w:szCs w:val="20"/>
          <w:lang w:val="es-CR"/>
        </w:rPr>
        <w:t xml:space="preserve"> vertical y horizontal, se vean agravadas por la raza o el origen </w:t>
      </w:r>
      <w:proofErr w:type="spellStart"/>
      <w:r w:rsidRPr="00634A49">
        <w:rPr>
          <w:szCs w:val="20"/>
          <w:lang w:val="es-CR"/>
        </w:rPr>
        <w:t>étnico</w:t>
      </w:r>
      <w:proofErr w:type="spellEnd"/>
      <w:r w:rsidRPr="00634A49">
        <w:rPr>
          <w:szCs w:val="20"/>
          <w:lang w:val="es-CR"/>
        </w:rPr>
        <w:t>”.</w:t>
      </w:r>
    </w:p>
    <w:p w14:paraId="55787CDD" w14:textId="2C89E1AA" w:rsidR="007269CF" w:rsidRPr="00634A49" w:rsidRDefault="007269CF" w:rsidP="00634A49">
      <w:pPr>
        <w:rPr>
          <w:szCs w:val="20"/>
          <w:lang w:val="es-CR"/>
        </w:rPr>
      </w:pPr>
      <w:r w:rsidRPr="00634A49">
        <w:rPr>
          <w:szCs w:val="20"/>
          <w:lang w:val="es-CR"/>
        </w:rPr>
        <w:t xml:space="preserve">197. En este caso, la Corte pudo constatar que las presuntas </w:t>
      </w:r>
      <w:proofErr w:type="spellStart"/>
      <w:r w:rsidRPr="00634A49">
        <w:rPr>
          <w:szCs w:val="20"/>
          <w:lang w:val="es-CR"/>
        </w:rPr>
        <w:t>víctimas</w:t>
      </w:r>
      <w:proofErr w:type="spellEnd"/>
      <w:r w:rsidRPr="00634A49">
        <w:rPr>
          <w:szCs w:val="20"/>
          <w:lang w:val="es-CR"/>
        </w:rPr>
        <w:t xml:space="preserve"> estaban inmersas en patrones de discriminación estructural e interseccional. Las presuntas </w:t>
      </w:r>
      <w:proofErr w:type="spellStart"/>
      <w:r w:rsidRPr="00634A49">
        <w:rPr>
          <w:szCs w:val="20"/>
          <w:lang w:val="es-CR"/>
        </w:rPr>
        <w:t>víctimas</w:t>
      </w:r>
      <w:proofErr w:type="spellEnd"/>
      <w:r w:rsidRPr="00634A49">
        <w:rPr>
          <w:szCs w:val="20"/>
          <w:lang w:val="es-CR"/>
        </w:rPr>
        <w:t xml:space="preserve"> se encontraban en una situación de pobreza estructural y eran, en una </w:t>
      </w:r>
      <w:proofErr w:type="spellStart"/>
      <w:r w:rsidRPr="00634A49">
        <w:rPr>
          <w:szCs w:val="20"/>
          <w:lang w:val="es-CR"/>
        </w:rPr>
        <w:lastRenderedPageBreak/>
        <w:t>amplísima</w:t>
      </w:r>
      <w:proofErr w:type="spellEnd"/>
      <w:r w:rsidRPr="00634A49">
        <w:rPr>
          <w:szCs w:val="20"/>
          <w:lang w:val="es-CR"/>
        </w:rPr>
        <w:t xml:space="preserve"> </w:t>
      </w:r>
      <w:proofErr w:type="spellStart"/>
      <w:r w:rsidRPr="00634A49">
        <w:rPr>
          <w:szCs w:val="20"/>
          <w:lang w:val="es-CR"/>
        </w:rPr>
        <w:t>mayoría</w:t>
      </w:r>
      <w:proofErr w:type="spellEnd"/>
      <w:r w:rsidRPr="00634A49">
        <w:rPr>
          <w:szCs w:val="20"/>
          <w:lang w:val="es-CR"/>
        </w:rPr>
        <w:t xml:space="preserve">, mujeres y </w:t>
      </w:r>
      <w:proofErr w:type="spellStart"/>
      <w:r w:rsidRPr="00634A49">
        <w:rPr>
          <w:szCs w:val="20"/>
          <w:lang w:val="es-CR"/>
        </w:rPr>
        <w:t>niñas</w:t>
      </w:r>
      <w:proofErr w:type="spellEnd"/>
      <w:r w:rsidRPr="00634A49">
        <w:rPr>
          <w:szCs w:val="20"/>
          <w:lang w:val="es-CR"/>
        </w:rPr>
        <w:t xml:space="preserve"> afrodescendientes, cuatro de ellas estaban embarazadas y no contaban con ninguna otra alternativa </w:t>
      </w:r>
      <w:proofErr w:type="spellStart"/>
      <w:r w:rsidRPr="00634A49">
        <w:rPr>
          <w:szCs w:val="20"/>
          <w:lang w:val="es-CR"/>
        </w:rPr>
        <w:t>económica</w:t>
      </w:r>
      <w:proofErr w:type="spellEnd"/>
      <w:r w:rsidRPr="00634A49">
        <w:rPr>
          <w:szCs w:val="20"/>
          <w:lang w:val="es-CR"/>
        </w:rPr>
        <w:t xml:space="preserve"> </w:t>
      </w:r>
      <w:proofErr w:type="spellStart"/>
      <w:r w:rsidRPr="00634A49">
        <w:rPr>
          <w:szCs w:val="20"/>
          <w:lang w:val="es-CR"/>
        </w:rPr>
        <w:t>más</w:t>
      </w:r>
      <w:proofErr w:type="spellEnd"/>
      <w:r w:rsidRPr="00634A49">
        <w:rPr>
          <w:szCs w:val="20"/>
          <w:lang w:val="es-CR"/>
        </w:rPr>
        <w:t xml:space="preserve"> que aceptar un trabajo peligroso en condiciones de </w:t>
      </w:r>
      <w:proofErr w:type="spellStart"/>
      <w:r w:rsidRPr="00634A49">
        <w:rPr>
          <w:szCs w:val="20"/>
          <w:lang w:val="es-CR"/>
        </w:rPr>
        <w:t>explotación</w:t>
      </w:r>
      <w:proofErr w:type="spellEnd"/>
      <w:r w:rsidRPr="00634A49">
        <w:rPr>
          <w:szCs w:val="20"/>
          <w:lang w:val="es-CR"/>
        </w:rPr>
        <w:t xml:space="preserve">. La confluencia de estos factores hizo posible que una </w:t>
      </w:r>
      <w:proofErr w:type="spellStart"/>
      <w:r w:rsidRPr="00634A49">
        <w:rPr>
          <w:szCs w:val="20"/>
          <w:lang w:val="es-CR"/>
        </w:rPr>
        <w:t>fábrica</w:t>
      </w:r>
      <w:proofErr w:type="spellEnd"/>
      <w:r w:rsidRPr="00634A49">
        <w:rPr>
          <w:szCs w:val="20"/>
          <w:lang w:val="es-CR"/>
        </w:rPr>
        <w:t xml:space="preserve"> como la que se describe en este proceso haya podida instalarse y operar en la zona y que las mujeres, </w:t>
      </w:r>
      <w:proofErr w:type="spellStart"/>
      <w:r w:rsidRPr="00634A49">
        <w:rPr>
          <w:szCs w:val="20"/>
          <w:lang w:val="es-CR"/>
        </w:rPr>
        <w:t>niñas</w:t>
      </w:r>
      <w:proofErr w:type="spellEnd"/>
      <w:r w:rsidRPr="00634A49">
        <w:rPr>
          <w:szCs w:val="20"/>
          <w:lang w:val="es-CR"/>
        </w:rPr>
        <w:t xml:space="preserve"> y </w:t>
      </w:r>
      <w:proofErr w:type="spellStart"/>
      <w:r w:rsidRPr="00634A49">
        <w:rPr>
          <w:szCs w:val="20"/>
          <w:lang w:val="es-CR"/>
        </w:rPr>
        <w:t>niños</w:t>
      </w:r>
      <w:proofErr w:type="spellEnd"/>
      <w:r w:rsidRPr="00634A49">
        <w:rPr>
          <w:szCs w:val="20"/>
          <w:lang w:val="es-CR"/>
        </w:rPr>
        <w:t xml:space="preserve"> presuntas </w:t>
      </w:r>
      <w:proofErr w:type="spellStart"/>
      <w:r w:rsidRPr="00634A49">
        <w:rPr>
          <w:szCs w:val="20"/>
          <w:lang w:val="es-CR"/>
        </w:rPr>
        <w:t>víctimas</w:t>
      </w:r>
      <w:proofErr w:type="spellEnd"/>
      <w:r w:rsidRPr="00634A49">
        <w:rPr>
          <w:szCs w:val="20"/>
          <w:lang w:val="es-CR"/>
        </w:rPr>
        <w:t xml:space="preserve"> se hayan visto compelidos a trabajar </w:t>
      </w:r>
      <w:proofErr w:type="spellStart"/>
      <w:r w:rsidRPr="00634A49">
        <w:rPr>
          <w:szCs w:val="20"/>
          <w:lang w:val="es-CR"/>
        </w:rPr>
        <w:t>alli</w:t>
      </w:r>
      <w:proofErr w:type="spellEnd"/>
      <w:r w:rsidRPr="00634A49">
        <w:rPr>
          <w:szCs w:val="20"/>
          <w:lang w:val="es-CR"/>
        </w:rPr>
        <w:t>́.</w:t>
      </w:r>
    </w:p>
    <w:p w14:paraId="5163B2EE" w14:textId="3A60F95C" w:rsidR="007269CF" w:rsidRDefault="007269CF" w:rsidP="00634A49">
      <w:pPr>
        <w:rPr>
          <w:szCs w:val="20"/>
          <w:lang w:val="es-CR"/>
        </w:rPr>
      </w:pPr>
      <w:r w:rsidRPr="00634A49">
        <w:rPr>
          <w:szCs w:val="20"/>
          <w:lang w:val="es-CR"/>
        </w:rPr>
        <w:t xml:space="preserve">198. Sobre este asunto, es necesario destacar que el hecho de que las presuntas </w:t>
      </w:r>
      <w:proofErr w:type="spellStart"/>
      <w:r w:rsidRPr="00634A49">
        <w:rPr>
          <w:szCs w:val="20"/>
          <w:lang w:val="es-CR"/>
        </w:rPr>
        <w:t>víctimas</w:t>
      </w:r>
      <w:proofErr w:type="spellEnd"/>
      <w:r w:rsidRPr="00634A49">
        <w:rPr>
          <w:szCs w:val="20"/>
          <w:lang w:val="es-CR"/>
        </w:rPr>
        <w:t xml:space="preserve"> pertenecieran a un grupo en especial situación de vulnerabilidad acentuaba los deberes de respeto y </w:t>
      </w:r>
      <w:proofErr w:type="spellStart"/>
      <w:r w:rsidRPr="00634A49">
        <w:rPr>
          <w:szCs w:val="20"/>
          <w:lang w:val="es-CR"/>
        </w:rPr>
        <w:t>garantía</w:t>
      </w:r>
      <w:proofErr w:type="spellEnd"/>
      <w:r w:rsidRPr="00634A49">
        <w:rPr>
          <w:szCs w:val="20"/>
          <w:lang w:val="es-CR"/>
        </w:rPr>
        <w:t xml:space="preserve"> a cargo del Estado. Sin embargo, conforme se desprende del acervo probatorio del caso, el Estado no adoptó medidas orientadas a garantizar el ejercicio del derecho a condiciones de trabajo equitativas y satisfactorias sin discriminación, y la </w:t>
      </w:r>
      <w:proofErr w:type="spellStart"/>
      <w:r w:rsidRPr="00634A49">
        <w:rPr>
          <w:szCs w:val="20"/>
          <w:lang w:val="es-CR"/>
        </w:rPr>
        <w:t>intersección</w:t>
      </w:r>
      <w:proofErr w:type="spellEnd"/>
      <w:r w:rsidRPr="00634A49">
        <w:rPr>
          <w:szCs w:val="20"/>
          <w:lang w:val="es-CR"/>
        </w:rPr>
        <w:t xml:space="preserve"> de desventajas comparativas hizo que la experiencia de </w:t>
      </w:r>
      <w:proofErr w:type="spellStart"/>
      <w:r w:rsidRPr="00634A49">
        <w:rPr>
          <w:szCs w:val="20"/>
          <w:lang w:val="es-CR"/>
        </w:rPr>
        <w:t>victimización</w:t>
      </w:r>
      <w:proofErr w:type="spellEnd"/>
      <w:r w:rsidRPr="00634A49">
        <w:rPr>
          <w:szCs w:val="20"/>
          <w:lang w:val="es-CR"/>
        </w:rPr>
        <w:t xml:space="preserve"> en este caso fuese agravada.</w:t>
      </w:r>
    </w:p>
    <w:p w14:paraId="354B1890" w14:textId="35827DE8" w:rsidR="007269CF" w:rsidRDefault="007269CF" w:rsidP="00FD5063">
      <w:pPr>
        <w:pStyle w:val="Caso"/>
        <w:rPr>
          <w:lang w:val="es-CR"/>
        </w:rPr>
      </w:pPr>
      <w:r w:rsidRPr="00FD5063">
        <w:rPr>
          <w:lang w:val="es-CR"/>
        </w:rPr>
        <w:t xml:space="preserve">Corte IDH. Caso de los Buzos </w:t>
      </w:r>
      <w:proofErr w:type="spellStart"/>
      <w:r w:rsidRPr="00FD5063">
        <w:rPr>
          <w:lang w:val="es-CR"/>
        </w:rPr>
        <w:t>Miskitos</w:t>
      </w:r>
      <w:proofErr w:type="spellEnd"/>
      <w:r w:rsidRPr="00FD5063">
        <w:rPr>
          <w:lang w:val="es-CR"/>
        </w:rPr>
        <w:t xml:space="preserve"> (</w:t>
      </w:r>
      <w:proofErr w:type="spellStart"/>
      <w:r w:rsidRPr="00FD5063">
        <w:rPr>
          <w:lang w:val="es-CR"/>
        </w:rPr>
        <w:t>Lemoth</w:t>
      </w:r>
      <w:proofErr w:type="spellEnd"/>
      <w:r w:rsidRPr="00FD5063">
        <w:rPr>
          <w:lang w:val="es-CR"/>
        </w:rPr>
        <w:t xml:space="preserve"> Morris y otros) Vs. Honduras. Sentencia de 31 de agosto de 2021. Serie C No. 432</w:t>
      </w:r>
    </w:p>
    <w:p w14:paraId="6A24EEC4" w14:textId="51802836" w:rsidR="007269CF" w:rsidRDefault="007269CF" w:rsidP="00634A49">
      <w:pPr>
        <w:rPr>
          <w:szCs w:val="20"/>
          <w:lang w:val="es-CR"/>
        </w:rPr>
      </w:pPr>
      <w:r w:rsidRPr="00FD5063">
        <w:rPr>
          <w:szCs w:val="20"/>
          <w:lang w:val="es-CR"/>
        </w:rPr>
        <w:t xml:space="preserve">107. En este sentido, el Tribunal advierte que las </w:t>
      </w:r>
      <w:proofErr w:type="spellStart"/>
      <w:r w:rsidRPr="00FD5063">
        <w:rPr>
          <w:szCs w:val="20"/>
          <w:lang w:val="es-CR"/>
        </w:rPr>
        <w:t>víctimas</w:t>
      </w:r>
      <w:proofErr w:type="spellEnd"/>
      <w:r w:rsidRPr="00FD5063">
        <w:rPr>
          <w:szCs w:val="20"/>
          <w:lang w:val="es-CR"/>
        </w:rPr>
        <w:t xml:space="preserve"> se encontraban inmersas en patrones de discriminación estructural e interseccional, pues eran personas pertenecientes a un pueblo </w:t>
      </w:r>
      <w:proofErr w:type="spellStart"/>
      <w:r w:rsidRPr="00FD5063">
        <w:rPr>
          <w:szCs w:val="20"/>
          <w:lang w:val="es-CR"/>
        </w:rPr>
        <w:t>indígena</w:t>
      </w:r>
      <w:proofErr w:type="spellEnd"/>
      <w:r w:rsidRPr="00FD5063">
        <w:rPr>
          <w:szCs w:val="20"/>
          <w:lang w:val="es-CR"/>
        </w:rPr>
        <w:t xml:space="preserve"> y se encontraban en una situación de pobreza, una de ellas era un </w:t>
      </w:r>
      <w:proofErr w:type="spellStart"/>
      <w:r w:rsidRPr="00FD5063">
        <w:rPr>
          <w:szCs w:val="20"/>
          <w:lang w:val="es-CR"/>
        </w:rPr>
        <w:t>niño</w:t>
      </w:r>
      <w:proofErr w:type="spellEnd"/>
      <w:r w:rsidRPr="00FD5063">
        <w:rPr>
          <w:szCs w:val="20"/>
          <w:lang w:val="es-CR"/>
        </w:rPr>
        <w:t xml:space="preserve">, algunas de ellas adquirieron discapacidades y no recibieron tratamiento </w:t>
      </w:r>
      <w:proofErr w:type="spellStart"/>
      <w:r w:rsidRPr="00FD5063">
        <w:rPr>
          <w:szCs w:val="20"/>
          <w:lang w:val="es-CR"/>
        </w:rPr>
        <w:t>médico</w:t>
      </w:r>
      <w:proofErr w:type="spellEnd"/>
      <w:r w:rsidRPr="00FD5063">
        <w:rPr>
          <w:szCs w:val="20"/>
          <w:lang w:val="es-CR"/>
        </w:rPr>
        <w:t xml:space="preserve">, y no contaban con ninguna otra alternativa </w:t>
      </w:r>
      <w:proofErr w:type="spellStart"/>
      <w:r w:rsidRPr="00FD5063">
        <w:rPr>
          <w:szCs w:val="20"/>
          <w:lang w:val="es-CR"/>
        </w:rPr>
        <w:t>económica</w:t>
      </w:r>
      <w:proofErr w:type="spellEnd"/>
      <w:r w:rsidRPr="00FD5063">
        <w:rPr>
          <w:szCs w:val="20"/>
          <w:lang w:val="es-CR"/>
        </w:rPr>
        <w:t xml:space="preserve"> </w:t>
      </w:r>
      <w:proofErr w:type="spellStart"/>
      <w:r w:rsidRPr="00FD5063">
        <w:rPr>
          <w:szCs w:val="20"/>
          <w:lang w:val="es-CR"/>
        </w:rPr>
        <w:t>más</w:t>
      </w:r>
      <w:proofErr w:type="spellEnd"/>
      <w:r w:rsidRPr="00FD5063">
        <w:rPr>
          <w:szCs w:val="20"/>
          <w:lang w:val="es-CR"/>
        </w:rPr>
        <w:t xml:space="preserve"> que aceptar un trabajo peligroso que </w:t>
      </w:r>
      <w:proofErr w:type="spellStart"/>
      <w:r w:rsidRPr="00FD5063">
        <w:rPr>
          <w:szCs w:val="20"/>
          <w:lang w:val="es-CR"/>
        </w:rPr>
        <w:t>ponía</w:t>
      </w:r>
      <w:proofErr w:type="spellEnd"/>
      <w:r w:rsidRPr="00FD5063">
        <w:rPr>
          <w:szCs w:val="20"/>
          <w:lang w:val="es-CR"/>
        </w:rPr>
        <w:t xml:space="preserve"> en riesgo su salud, su integridad personal y su vida. La confluencia de estos factores hizo posible que una actividad riesgosa, como lo es la pesca submarina que implica grandes riesgos </w:t>
      </w:r>
      <w:r w:rsidR="005B7B62">
        <w:rPr>
          <w:szCs w:val="20"/>
          <w:lang w:val="es-CR"/>
        </w:rPr>
        <w:t>[...]</w:t>
      </w:r>
      <w:r w:rsidRPr="00FD5063">
        <w:rPr>
          <w:szCs w:val="20"/>
          <w:lang w:val="es-CR"/>
        </w:rPr>
        <w:t xml:space="preserve">, haya podido realizarse sin una efectiva </w:t>
      </w:r>
      <w:proofErr w:type="spellStart"/>
      <w:r w:rsidRPr="00FD5063">
        <w:rPr>
          <w:szCs w:val="20"/>
          <w:lang w:val="es-CR"/>
        </w:rPr>
        <w:t>implementación</w:t>
      </w:r>
      <w:proofErr w:type="spellEnd"/>
      <w:r w:rsidRPr="00FD5063">
        <w:rPr>
          <w:szCs w:val="20"/>
          <w:lang w:val="es-CR"/>
        </w:rPr>
        <w:t xml:space="preserve"> de la regulación en la zona de la </w:t>
      </w:r>
      <w:proofErr w:type="spellStart"/>
      <w:r w:rsidRPr="00FD5063">
        <w:rPr>
          <w:szCs w:val="20"/>
          <w:lang w:val="es-CR"/>
        </w:rPr>
        <w:t>Moskitia</w:t>
      </w:r>
      <w:proofErr w:type="spellEnd"/>
      <w:r w:rsidRPr="00FD5063">
        <w:rPr>
          <w:szCs w:val="20"/>
          <w:lang w:val="es-CR"/>
        </w:rPr>
        <w:t xml:space="preserve">, y que las </w:t>
      </w:r>
      <w:proofErr w:type="spellStart"/>
      <w:r w:rsidRPr="00FD5063">
        <w:rPr>
          <w:szCs w:val="20"/>
          <w:lang w:val="es-CR"/>
        </w:rPr>
        <w:t>víctimas</w:t>
      </w:r>
      <w:proofErr w:type="spellEnd"/>
      <w:r w:rsidRPr="00FD5063">
        <w:rPr>
          <w:szCs w:val="20"/>
          <w:lang w:val="es-CR"/>
        </w:rPr>
        <w:t xml:space="preserve"> del caso se hayan visto compelidos a trabajar </w:t>
      </w:r>
      <w:proofErr w:type="spellStart"/>
      <w:r w:rsidRPr="00FD5063">
        <w:rPr>
          <w:szCs w:val="20"/>
          <w:lang w:val="es-CR"/>
        </w:rPr>
        <w:t>alli</w:t>
      </w:r>
      <w:proofErr w:type="spellEnd"/>
      <w:r w:rsidRPr="00FD5063">
        <w:rPr>
          <w:szCs w:val="20"/>
          <w:lang w:val="es-CR"/>
        </w:rPr>
        <w:t xml:space="preserve">́ en condiciones insalubres, y sin protección de seguridad social. En ese sentido, es necesario destacar que el hecho de que las </w:t>
      </w:r>
      <w:proofErr w:type="spellStart"/>
      <w:r w:rsidRPr="00FD5063">
        <w:rPr>
          <w:szCs w:val="20"/>
          <w:lang w:val="es-CR"/>
        </w:rPr>
        <w:t>víctimas</w:t>
      </w:r>
      <w:proofErr w:type="spellEnd"/>
      <w:r w:rsidRPr="00FD5063">
        <w:rPr>
          <w:szCs w:val="20"/>
          <w:lang w:val="es-CR"/>
        </w:rPr>
        <w:t xml:space="preserve"> pertenecieran a un grupo en especial situación de vulnerabilidad acentuaba los deberes de respeto y </w:t>
      </w:r>
      <w:proofErr w:type="spellStart"/>
      <w:r w:rsidRPr="00FD5063">
        <w:rPr>
          <w:szCs w:val="20"/>
          <w:lang w:val="es-CR"/>
        </w:rPr>
        <w:t>garantía</w:t>
      </w:r>
      <w:proofErr w:type="spellEnd"/>
      <w:r w:rsidRPr="00FD5063">
        <w:rPr>
          <w:szCs w:val="20"/>
          <w:lang w:val="es-CR"/>
        </w:rPr>
        <w:t xml:space="preserve"> a cargo del Estado. Sin embargo, el Estado no adoptó medidas orientadas a garantizar el ejercicio de sus derechos sin discriminación, y la </w:t>
      </w:r>
      <w:proofErr w:type="spellStart"/>
      <w:r w:rsidRPr="00FD5063">
        <w:rPr>
          <w:szCs w:val="20"/>
          <w:lang w:val="es-CR"/>
        </w:rPr>
        <w:t>intersección</w:t>
      </w:r>
      <w:proofErr w:type="spellEnd"/>
      <w:r w:rsidRPr="00FD5063">
        <w:rPr>
          <w:szCs w:val="20"/>
          <w:lang w:val="es-CR"/>
        </w:rPr>
        <w:t xml:space="preserve"> de desventajas comparativas hizo que la experiencia de </w:t>
      </w:r>
      <w:proofErr w:type="spellStart"/>
      <w:r w:rsidRPr="00FD5063">
        <w:rPr>
          <w:szCs w:val="20"/>
          <w:lang w:val="es-CR"/>
        </w:rPr>
        <w:t>victimización</w:t>
      </w:r>
      <w:proofErr w:type="spellEnd"/>
      <w:r w:rsidRPr="00FD5063">
        <w:rPr>
          <w:szCs w:val="20"/>
          <w:lang w:val="es-CR"/>
        </w:rPr>
        <w:t xml:space="preserve"> en este caso fuese agravada.</w:t>
      </w:r>
    </w:p>
    <w:p w14:paraId="7BD5AAA8" w14:textId="77777777" w:rsidR="007269CF" w:rsidRPr="00634A49" w:rsidRDefault="007269CF" w:rsidP="00634A49">
      <w:pPr>
        <w:rPr>
          <w:szCs w:val="20"/>
          <w:lang w:val="es-CR"/>
        </w:rPr>
      </w:pPr>
    </w:p>
    <w:p w14:paraId="45CE1E71" w14:textId="77777777" w:rsidR="007269CF" w:rsidRPr="00BB63D0" w:rsidRDefault="007269CF" w:rsidP="00BB63D0">
      <w:pPr>
        <w:jc w:val="center"/>
        <w:rPr>
          <w:szCs w:val="20"/>
          <w:lang w:val="es-CR"/>
        </w:rPr>
      </w:pPr>
    </w:p>
    <w:p w14:paraId="0F72A41A" w14:textId="77777777" w:rsidR="007269CF" w:rsidRPr="00BB63D0" w:rsidRDefault="007269CF" w:rsidP="00BB63D0">
      <w:pPr>
        <w:jc w:val="center"/>
        <w:rPr>
          <w:szCs w:val="20"/>
          <w:lang w:val="es-CR"/>
        </w:rPr>
      </w:pPr>
    </w:p>
    <w:p w14:paraId="3C0E4520" w14:textId="77777777" w:rsidR="007269CF" w:rsidRPr="00BB63D0" w:rsidRDefault="007269CF" w:rsidP="00BB63D0">
      <w:pPr>
        <w:jc w:val="center"/>
        <w:rPr>
          <w:szCs w:val="20"/>
          <w:lang w:val="es-CR"/>
        </w:rPr>
      </w:pPr>
    </w:p>
    <w:p w14:paraId="0A7EA1A3" w14:textId="77777777" w:rsidR="007269CF" w:rsidRPr="00BB63D0" w:rsidRDefault="007269CF" w:rsidP="00BB63D0">
      <w:pPr>
        <w:jc w:val="center"/>
        <w:rPr>
          <w:szCs w:val="20"/>
          <w:lang w:val="es-CR"/>
        </w:rPr>
      </w:pPr>
    </w:p>
    <w:p w14:paraId="370BA8DB" w14:textId="373308B0" w:rsidR="007269CF" w:rsidRPr="00BB63D0" w:rsidRDefault="007269CF" w:rsidP="00BB63D0">
      <w:pPr>
        <w:jc w:val="center"/>
        <w:outlineLvl w:val="0"/>
        <w:rPr>
          <w:szCs w:val="20"/>
          <w:lang w:val="es-CR"/>
        </w:rPr>
      </w:pPr>
    </w:p>
    <w:p w14:paraId="5559ADB4" w14:textId="77777777" w:rsidR="007269CF" w:rsidRPr="00BB63D0" w:rsidRDefault="007269CF" w:rsidP="00BB63D0">
      <w:pPr>
        <w:pStyle w:val="Ttulo1"/>
        <w:pBdr>
          <w:bottom w:val="none" w:sz="0" w:space="0" w:color="auto"/>
        </w:pBdr>
        <w:rPr>
          <w:sz w:val="20"/>
          <w:szCs w:val="20"/>
        </w:rPr>
      </w:pPr>
      <w:r w:rsidRPr="00BB63D0">
        <w:rPr>
          <w:sz w:val="20"/>
          <w:szCs w:val="20"/>
        </w:rPr>
        <w:br w:type="page"/>
      </w:r>
    </w:p>
    <w:p w14:paraId="6C69AB8E" w14:textId="77777777" w:rsidR="007269CF" w:rsidRPr="00BB63D0" w:rsidRDefault="007269CF" w:rsidP="00326300">
      <w:pPr>
        <w:pStyle w:val="Ttulo1"/>
      </w:pPr>
      <w:bookmarkStart w:id="8" w:name="_Toc89017870"/>
      <w:r w:rsidRPr="00BB63D0">
        <w:lastRenderedPageBreak/>
        <w:t xml:space="preserve">2. </w:t>
      </w:r>
      <w:r w:rsidRPr="00BB63D0">
        <w:tab/>
        <w:t xml:space="preserve">Uso </w:t>
      </w:r>
      <w:r w:rsidRPr="00326300">
        <w:t>de</w:t>
      </w:r>
      <w:r w:rsidRPr="00BB63D0">
        <w:t xml:space="preserve"> las categorías protegidas</w:t>
      </w:r>
      <w:bookmarkEnd w:id="8"/>
      <w:r w:rsidRPr="00BB63D0">
        <w:tab/>
      </w:r>
    </w:p>
    <w:p w14:paraId="2CE74645" w14:textId="2812A7F9" w:rsidR="007269CF" w:rsidRPr="00BB63D0" w:rsidRDefault="007269CF" w:rsidP="00BB63D0">
      <w:pPr>
        <w:rPr>
          <w:szCs w:val="20"/>
          <w:lang w:val="es-ES_tradnl"/>
        </w:rPr>
      </w:pPr>
      <w:r w:rsidRPr="00BB63D0">
        <w:rPr>
          <w:szCs w:val="20"/>
          <w:lang w:val="es-ES_tradnl"/>
        </w:rPr>
        <w:t>En este segundo apartado se exponen los párrafos de la jurisprudencia de la Corte que hacen referencia a los motivos prohibidos de discriminación, tales como opiniones políticas, condiciones de salud -referencia particular a las personas con VIH-, el origen étnico, la orientación sexual</w:t>
      </w:r>
      <w:r w:rsidR="00FD4F4F">
        <w:rPr>
          <w:szCs w:val="20"/>
          <w:lang w:val="es-ES_tradnl"/>
        </w:rPr>
        <w:t xml:space="preserve"> e identidad de género</w:t>
      </w:r>
      <w:r w:rsidRPr="00BB63D0">
        <w:rPr>
          <w:szCs w:val="20"/>
          <w:lang w:val="es-ES_tradnl"/>
        </w:rPr>
        <w:t>, la posición económica</w:t>
      </w:r>
      <w:r w:rsidR="00FD4F4F">
        <w:rPr>
          <w:szCs w:val="20"/>
          <w:lang w:val="es-ES_tradnl"/>
        </w:rPr>
        <w:t>,</w:t>
      </w:r>
      <w:r w:rsidRPr="00BB63D0">
        <w:rPr>
          <w:szCs w:val="20"/>
          <w:lang w:val="es-ES_tradnl"/>
        </w:rPr>
        <w:t xml:space="preserve"> sexo y género</w:t>
      </w:r>
      <w:r w:rsidR="00FD4F4F">
        <w:rPr>
          <w:szCs w:val="20"/>
          <w:lang w:val="es-ES_tradnl"/>
        </w:rPr>
        <w:t>, personas mayores y niños, niñas y adolescentes y personas en situación de discapacidad</w:t>
      </w:r>
      <w:r w:rsidRPr="00BB63D0">
        <w:rPr>
          <w:szCs w:val="20"/>
          <w:lang w:val="es-ES_tradnl"/>
        </w:rPr>
        <w:t xml:space="preserve">. </w:t>
      </w:r>
    </w:p>
    <w:p w14:paraId="3F7F9D42" w14:textId="64E72BB7" w:rsidR="007269CF" w:rsidRPr="00BB63D0" w:rsidRDefault="007269CF" w:rsidP="00326300">
      <w:pPr>
        <w:pStyle w:val="Ttulo2"/>
      </w:pPr>
      <w:bookmarkStart w:id="9" w:name="_Toc89017871"/>
      <w:proofErr w:type="spellStart"/>
      <w:r w:rsidRPr="00326300">
        <w:t>Opinion</w:t>
      </w:r>
      <w:proofErr w:type="spellEnd"/>
      <w:r w:rsidRPr="00BB63D0">
        <w:t xml:space="preserve"> políticas</w:t>
      </w:r>
      <w:bookmarkEnd w:id="9"/>
      <w:r w:rsidRPr="00BB63D0">
        <w:t xml:space="preserve"> </w:t>
      </w:r>
    </w:p>
    <w:p w14:paraId="06647F70" w14:textId="77777777" w:rsidR="007269CF" w:rsidRPr="00BB63D0" w:rsidRDefault="007269CF" w:rsidP="00BB63D0">
      <w:pPr>
        <w:rPr>
          <w:b/>
          <w:szCs w:val="20"/>
          <w:lang w:val="es-ES_tradnl"/>
        </w:rPr>
      </w:pPr>
      <w:r w:rsidRPr="00BB63D0">
        <w:rPr>
          <w:b/>
          <w:szCs w:val="20"/>
          <w:lang w:val="es-ES_tradnl"/>
        </w:rPr>
        <w:t xml:space="preserve">Corte IDH. Caso </w:t>
      </w:r>
      <w:proofErr w:type="spellStart"/>
      <w:r w:rsidRPr="00BB63D0">
        <w:rPr>
          <w:b/>
          <w:szCs w:val="20"/>
          <w:lang w:val="es-ES_tradnl"/>
        </w:rPr>
        <w:t>Granier</w:t>
      </w:r>
      <w:proofErr w:type="spellEnd"/>
      <w:r w:rsidRPr="00BB63D0">
        <w:rPr>
          <w:b/>
          <w:szCs w:val="20"/>
          <w:lang w:val="es-ES_tradnl"/>
        </w:rPr>
        <w:t xml:space="preserve"> y otros (Radio Caracas Televisión) Vs. Venezuela. Excepciones Preliminares, Fondo, Reparaciones y Costas. Sentencia de 22 de junio de 2015. Serie C No. 293</w:t>
      </w:r>
    </w:p>
    <w:p w14:paraId="5879B1AB" w14:textId="77777777" w:rsidR="007269CF" w:rsidRPr="00BB63D0" w:rsidRDefault="007269CF" w:rsidP="00BB63D0">
      <w:pPr>
        <w:rPr>
          <w:szCs w:val="20"/>
          <w:lang w:val="es-ES_tradnl"/>
        </w:rPr>
      </w:pPr>
      <w:r w:rsidRPr="00BB63D0">
        <w:rPr>
          <w:szCs w:val="20"/>
          <w:lang w:val="es-ES_tradnl"/>
        </w:rPr>
        <w:t>222.</w:t>
      </w:r>
      <w:r w:rsidRPr="00BB63D0">
        <w:rPr>
          <w:szCs w:val="20"/>
          <w:lang w:val="es-ES_tradnl"/>
        </w:rPr>
        <w:tab/>
        <w:t xml:space="preserve">La Corte evaluará la razón del posible trato diferenciado y la alegada aplicación de una categoría prohibida de discriminación contemplada en el artículo 1.1 de la Convención. A este respecto, la Corte nota lo argumentado por la Comisión con relación a la existencia de un indicio razonable respecto a que el trato diferenciado hacia RCTV habría estado basado en una categoría prohibida de discriminación contenida en el artículo 1.1, es decir, las opiniones políticas expresadas por los directivos y trabajadores de RCTV. </w:t>
      </w:r>
    </w:p>
    <w:p w14:paraId="4FA1DFFC" w14:textId="77777777" w:rsidR="007269CF" w:rsidRPr="00BB63D0" w:rsidRDefault="007269CF" w:rsidP="00BB63D0">
      <w:pPr>
        <w:rPr>
          <w:szCs w:val="20"/>
          <w:lang w:val="es-ES_tradnl"/>
        </w:rPr>
      </w:pPr>
      <w:r w:rsidRPr="00BB63D0">
        <w:rPr>
          <w:szCs w:val="20"/>
          <w:lang w:val="es-ES_tradnl"/>
        </w:rPr>
        <w:t>223.</w:t>
      </w:r>
      <w:r w:rsidRPr="00BB63D0">
        <w:rPr>
          <w:szCs w:val="20"/>
          <w:lang w:val="es-ES_tradnl"/>
        </w:rPr>
        <w:tab/>
        <w:t xml:space="preserve">Al respecto, la Corte recuerda que el artículo 1.1 de la Convención contempla que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Por ello, la Corte analizará si la línea editorial de un canal de televisión se encuentra dentro de la categoría de “opiniones políticas”, enunciada en el artículo 1.1 de la Convención. Posteriormente, evaluará si existen elementos que permitan considerar que la aplicación de dicha categoría prohibida de discriminación fue la razón en la cual se habría fundamentado el trato diferenciado. </w:t>
      </w:r>
    </w:p>
    <w:p w14:paraId="101AB1D9" w14:textId="77777777" w:rsidR="007269CF" w:rsidRPr="00BB63D0" w:rsidRDefault="007269CF" w:rsidP="00BB63D0">
      <w:pPr>
        <w:rPr>
          <w:szCs w:val="20"/>
          <w:lang w:val="es-ES_tradnl"/>
        </w:rPr>
      </w:pPr>
      <w:r w:rsidRPr="00BB63D0">
        <w:rPr>
          <w:szCs w:val="20"/>
          <w:lang w:val="es-ES_tradnl"/>
        </w:rPr>
        <w:t>224.</w:t>
      </w:r>
      <w:r w:rsidRPr="00BB63D0">
        <w:rPr>
          <w:szCs w:val="20"/>
          <w:lang w:val="es-ES_tradnl"/>
        </w:rPr>
        <w:tab/>
        <w:t xml:space="preserve">[…] En este sentido, este Tribunal considera que </w:t>
      </w:r>
      <w:r w:rsidRPr="00326300">
        <w:rPr>
          <w:szCs w:val="20"/>
          <w:lang w:val="es-ES_tradnl"/>
        </w:rPr>
        <w:t>la línea editorial de un canal de televisión puede ser considerada como un reflejo de las opiniones políticas de sus directivos y trabajadores en la medida en que estos se involucren y determinen el contenido de la información transmitida.</w:t>
      </w:r>
      <w:r w:rsidRPr="00BB63D0">
        <w:rPr>
          <w:szCs w:val="20"/>
          <w:lang w:val="es-ES_tradnl"/>
        </w:rPr>
        <w:t xml:space="preserve"> Así, puede entenderse que la postura crítica de un canal es un reflejo de la postura crítica que sostienen sus directivos y trabajadores involucrados en determinar el tipo de información que es transmitida. Lo anterior debido a que, como ya se indicó previamente </w:t>
      </w:r>
      <w:r w:rsidRPr="00BB63D0">
        <w:rPr>
          <w:szCs w:val="20"/>
        </w:rPr>
        <w:t>[…]</w:t>
      </w:r>
      <w:r w:rsidRPr="00BB63D0">
        <w:rPr>
          <w:szCs w:val="20"/>
          <w:lang w:val="es-ES_tradnl"/>
        </w:rPr>
        <w:t>, los medios de comunicación son en diversas oportunidades los mecanismos mediante los cuales las personas ejercen su derecho a la libertad de expresión, lo cual puede implicar la expresión de contenidos tales como opiniones o posturas políticas.</w:t>
      </w:r>
    </w:p>
    <w:p w14:paraId="6B258980" w14:textId="77777777" w:rsidR="007269CF" w:rsidRPr="00BB63D0" w:rsidRDefault="007269CF" w:rsidP="00BB63D0">
      <w:pPr>
        <w:rPr>
          <w:szCs w:val="20"/>
          <w:lang w:val="es-ES_tradnl"/>
        </w:rPr>
      </w:pPr>
      <w:r w:rsidRPr="00BB63D0">
        <w:rPr>
          <w:szCs w:val="20"/>
          <w:lang w:val="es-ES_tradnl"/>
        </w:rPr>
        <w:t>225.</w:t>
      </w:r>
      <w:r w:rsidRPr="00BB63D0">
        <w:rPr>
          <w:szCs w:val="20"/>
          <w:lang w:val="es-ES_tradnl"/>
        </w:rPr>
        <w:tab/>
        <w:t xml:space="preserve">En particular, la Corte nota que la línea editorial y el contenido de un canal de televisión no se genera de manera accidental, sino que es el resultado de decisiones y acciones que toman personas concretas vinculadas a la definición de dicha línea editorial. Es razonable asumir que estas personas, teniendo una relación directa con la definición de la línea editorial del canal, plasman en la misma sus opiniones políticas y, con base en estas, construyen el contenido de su programación. Al respecto, la Corte resalta lo declarado por Soraya Castellano, Gerente de Información de la Vice-Presidencia de Información de RCTV, con relación a que “[la] pauta o jerarquización [de las noticias] se sometía a discusión y aprobación de la Producción de los Noticieros, de la Dirección de Información, y de la Vicepresidencia de </w:t>
      </w:r>
      <w:r w:rsidRPr="00BB63D0">
        <w:rPr>
          <w:szCs w:val="20"/>
          <w:lang w:val="es-ES_tradnl"/>
        </w:rPr>
        <w:lastRenderedPageBreak/>
        <w:t xml:space="preserve">Información […]. En [la] mesa de trabajo quedaba aprobada la pauta de la emisión estelar de ‘El Observador’”. </w:t>
      </w:r>
    </w:p>
    <w:p w14:paraId="1A18F222" w14:textId="1384F56F" w:rsidR="007269CF" w:rsidRPr="00BB63D0" w:rsidRDefault="007269CF" w:rsidP="00BB63D0">
      <w:pPr>
        <w:rPr>
          <w:szCs w:val="20"/>
          <w:lang w:val="es-ES_tradnl"/>
        </w:rPr>
      </w:pPr>
      <w:r w:rsidRPr="00BB63D0">
        <w:rPr>
          <w:szCs w:val="20"/>
          <w:lang w:val="es-ES_tradnl"/>
        </w:rPr>
        <w:t>226.</w:t>
      </w:r>
      <w:r w:rsidRPr="00BB63D0">
        <w:rPr>
          <w:szCs w:val="20"/>
          <w:lang w:val="es-ES_tradnl"/>
        </w:rPr>
        <w:tab/>
        <w:t xml:space="preserve">Sobre este punto, la Corte destaca la necesidad de proteger la expresión de las opiniones políticas de las personas en una sociedad democrática y recuerda lo asentado anteriormente en el sentido de que “[e]l control democrático, por parte de la sociedad a través de la opinión pública, fomenta la transparencia de las actividades estatales y promueve la responsabilidad de los funcionarios sobre su gestión pública”. En ese sentido, este Tribunal reafirma la importancia de la prohibición de discriminación basada en las opiniones políticas de una persona o un grupo de personas, y el consiguiente deber de los Estados de respetar y garantizar los derechos contenidos en la Convención Americana sin discriminación alguna por este motivo. </w:t>
      </w:r>
    </w:p>
    <w:p w14:paraId="4A0DB4EE" w14:textId="77777777" w:rsidR="007269CF" w:rsidRPr="00BB63D0" w:rsidRDefault="007269CF" w:rsidP="00BB63D0">
      <w:pPr>
        <w:rPr>
          <w:szCs w:val="20"/>
          <w:lang w:val="es-ES_tradnl"/>
        </w:rPr>
      </w:pPr>
      <w:r w:rsidRPr="00BB63D0">
        <w:rPr>
          <w:szCs w:val="20"/>
          <w:lang w:val="es-ES_tradnl"/>
        </w:rPr>
        <w:t>227.</w:t>
      </w:r>
      <w:r w:rsidRPr="00BB63D0">
        <w:rPr>
          <w:szCs w:val="20"/>
          <w:lang w:val="es-ES_tradnl"/>
        </w:rPr>
        <w:tab/>
        <w:t xml:space="preserve">Por lo anterior, la Corte concluye </w:t>
      </w:r>
      <w:r w:rsidRPr="00326300">
        <w:rPr>
          <w:szCs w:val="20"/>
          <w:lang w:val="es-ES_tradnl"/>
        </w:rPr>
        <w:t>que es posible afirmar que la línea editorial de un canal de televisión es el reflejo de la expresión de las personas involucradas con el diseño de dicha línea, por lo que pueden ser objeto de un trato discriminatorio en razón de sus opiniones políticas.</w:t>
      </w:r>
      <w:r w:rsidRPr="00BB63D0">
        <w:rPr>
          <w:szCs w:val="20"/>
          <w:lang w:val="es-ES_tradnl"/>
        </w:rPr>
        <w:t xml:space="preserve"> Una vez establecido esto, el Tribunal procederá a analizar la inversión de la carga de la prueba que deriva de la presunción de existencia de un trato discriminatorio basado en una categoría prohibida de discriminación establecida en el artículo 1.1 de la Convención, en este caso las opiniones políticas de los directivos y empleados de RCTV.</w:t>
      </w:r>
    </w:p>
    <w:p w14:paraId="0AE2D93E" w14:textId="77777777" w:rsidR="007269CF" w:rsidRPr="00BB63D0" w:rsidRDefault="007269CF" w:rsidP="00BB63D0">
      <w:pPr>
        <w:rPr>
          <w:szCs w:val="20"/>
          <w:lang w:val="es-ES_tradnl"/>
        </w:rPr>
      </w:pPr>
      <w:r w:rsidRPr="00BB63D0">
        <w:rPr>
          <w:szCs w:val="20"/>
          <w:lang w:val="es-ES_tradnl"/>
        </w:rPr>
        <w:t>231.</w:t>
      </w:r>
      <w:r w:rsidRPr="00BB63D0">
        <w:rPr>
          <w:szCs w:val="20"/>
          <w:lang w:val="es-ES_tradnl"/>
        </w:rPr>
        <w:tab/>
        <w:t xml:space="preserve">De otro lado, la Corte ya dio por probado que la línea editorial y la postura política transmitida en RCTV eran unos de los motivos principales detrás de las decisiones tomadas en la Comunicación N° 0424 o en la Resolución Nº 002 </w:t>
      </w:r>
      <w:r w:rsidRPr="00BB63D0">
        <w:rPr>
          <w:szCs w:val="20"/>
        </w:rPr>
        <w:t>[…]</w:t>
      </w:r>
      <w:r w:rsidRPr="00BB63D0">
        <w:rPr>
          <w:szCs w:val="20"/>
          <w:lang w:val="es-ES_tradnl"/>
        </w:rPr>
        <w:t xml:space="preserve">. Lo anterior quedó demostrado con las múltiples declaraciones citadas de diversos funcionarios estatales, en las cuales fueron expuestos argumentos respecto al contenido de las transmisiones de RCTV </w:t>
      </w:r>
      <w:r w:rsidRPr="00BB63D0">
        <w:rPr>
          <w:szCs w:val="20"/>
        </w:rPr>
        <w:t>[…].</w:t>
      </w:r>
    </w:p>
    <w:p w14:paraId="3BB4DDA4" w14:textId="77777777" w:rsidR="007269CF" w:rsidRPr="00BB63D0" w:rsidRDefault="007269CF" w:rsidP="00BB63D0">
      <w:pPr>
        <w:rPr>
          <w:szCs w:val="20"/>
          <w:lang w:val="es-ES_tradnl"/>
        </w:rPr>
      </w:pPr>
      <w:r w:rsidRPr="00BB63D0">
        <w:rPr>
          <w:szCs w:val="20"/>
          <w:lang w:val="es-ES_tradnl"/>
        </w:rPr>
        <w:t>234.</w:t>
      </w:r>
      <w:r w:rsidRPr="00BB63D0">
        <w:rPr>
          <w:szCs w:val="20"/>
          <w:lang w:val="es-ES_tradnl"/>
        </w:rPr>
        <w:tab/>
        <w:t xml:space="preserve">Al respecto, este Tribunal resalta que al </w:t>
      </w:r>
      <w:r w:rsidRPr="00326300">
        <w:rPr>
          <w:szCs w:val="20"/>
          <w:lang w:val="es-ES_tradnl"/>
        </w:rPr>
        <w:t>realizar el gobierno un trato diferenciado basado en el agrado o disgusto que le causaba la línea editorial de un canal, esto conlleva que se genere un efecto disuasivo, atemorizador e inhibidor sobre todos los que ejercen el derecho a la libertad de expresión</w:t>
      </w:r>
      <w:r w:rsidRPr="00BB63D0">
        <w:rPr>
          <w:szCs w:val="20"/>
          <w:lang w:val="es-ES_tradnl"/>
        </w:rPr>
        <w:t xml:space="preserve"> </w:t>
      </w:r>
      <w:r w:rsidRPr="00BB63D0">
        <w:rPr>
          <w:szCs w:val="20"/>
        </w:rPr>
        <w:t>[…]</w:t>
      </w:r>
      <w:r w:rsidRPr="00BB63D0">
        <w:rPr>
          <w:szCs w:val="20"/>
          <w:lang w:val="es-ES_tradnl"/>
        </w:rPr>
        <w:t>, ya que envía un mensaje amedrentador para los otros medios de comunicación respecto a lo que les podría llegar a ocurrir en caso de seguir una línea editorial como la de RCTV. Como se mencionó anteriormente, no permitir el ejercicio del derecho a la libertad de expresión en condiciones de igualdad, impide el debate público sobre temas de interés de la sociedad que es esencial para la protección de la democracia y el pluralismo de medios.</w:t>
      </w:r>
    </w:p>
    <w:p w14:paraId="24A7A64F" w14:textId="77777777" w:rsidR="007269CF" w:rsidRPr="00BB63D0" w:rsidRDefault="007269CF" w:rsidP="00BB63D0">
      <w:pPr>
        <w:rPr>
          <w:szCs w:val="20"/>
          <w:lang w:val="es-ES_tradnl"/>
        </w:rPr>
      </w:pPr>
      <w:r w:rsidRPr="00BB63D0">
        <w:rPr>
          <w:szCs w:val="20"/>
          <w:lang w:val="es-ES_tradnl"/>
        </w:rPr>
        <w:t>235.</w:t>
      </w:r>
      <w:r w:rsidRPr="00BB63D0">
        <w:rPr>
          <w:szCs w:val="20"/>
          <w:lang w:val="es-ES_tradnl"/>
        </w:rPr>
        <w:tab/>
        <w:t xml:space="preserve">Por lo anterior, la Corte concluye que en el presente caso existen elementos para determinar que la decisión de reservarse la porción del espectro asignado a RCTV implicó un trato discriminatorio en el ejercicio del derecho a la libertad de expresión que tuvo como base la aplicación de una de las categorías prohibidas de discriminación contempladas en el artículo 1.1 de la Convención Americana. En consecuencia, la Corte considera que el Estado es responsable de la violación del derecho a la libertad de expresión establecido en el artículo 13 en relación con el deber de no discriminación contenido en el artículo 1.1 de la Convención Americana, en perjuicio de Marcel </w:t>
      </w:r>
      <w:proofErr w:type="spellStart"/>
      <w:r w:rsidRPr="00BB63D0">
        <w:rPr>
          <w:szCs w:val="20"/>
          <w:lang w:val="es-ES_tradnl"/>
        </w:rPr>
        <w:t>Granier</w:t>
      </w:r>
      <w:proofErr w:type="spellEnd"/>
      <w:r w:rsidRPr="00BB63D0">
        <w:rPr>
          <w:szCs w:val="20"/>
          <w:lang w:val="es-ES_tradnl"/>
        </w:rPr>
        <w:t xml:space="preserve">, Peter </w:t>
      </w:r>
      <w:proofErr w:type="spellStart"/>
      <w:r w:rsidRPr="00BB63D0">
        <w:rPr>
          <w:szCs w:val="20"/>
          <w:lang w:val="es-ES_tradnl"/>
        </w:rPr>
        <w:t>Bottome</w:t>
      </w:r>
      <w:proofErr w:type="spellEnd"/>
      <w:r w:rsidRPr="00BB63D0">
        <w:rPr>
          <w:szCs w:val="20"/>
          <w:lang w:val="es-ES_tradnl"/>
        </w:rPr>
        <w:t xml:space="preserve">, Jaime </w:t>
      </w:r>
      <w:proofErr w:type="spellStart"/>
      <w:r w:rsidRPr="00BB63D0">
        <w:rPr>
          <w:szCs w:val="20"/>
          <w:lang w:val="es-ES_tradnl"/>
        </w:rPr>
        <w:t>Nestares</w:t>
      </w:r>
      <w:proofErr w:type="spellEnd"/>
      <w:r w:rsidRPr="00BB63D0">
        <w:rPr>
          <w:szCs w:val="20"/>
          <w:lang w:val="es-ES_tradnl"/>
        </w:rPr>
        <w:t xml:space="preserve">, Inés Bacalao, Eladio </w:t>
      </w:r>
      <w:proofErr w:type="spellStart"/>
      <w:r w:rsidRPr="00BB63D0">
        <w:rPr>
          <w:szCs w:val="20"/>
          <w:lang w:val="es-ES_tradnl"/>
        </w:rPr>
        <w:t>Lárez</w:t>
      </w:r>
      <w:proofErr w:type="spellEnd"/>
      <w:r w:rsidRPr="00BB63D0">
        <w:rPr>
          <w:szCs w:val="20"/>
          <w:lang w:val="es-ES_tradnl"/>
        </w:rPr>
        <w:t xml:space="preserve">, Eduardo </w:t>
      </w:r>
      <w:proofErr w:type="spellStart"/>
      <w:r w:rsidRPr="00BB63D0">
        <w:rPr>
          <w:szCs w:val="20"/>
          <w:lang w:val="es-ES_tradnl"/>
        </w:rPr>
        <w:t>Sapene</w:t>
      </w:r>
      <w:proofErr w:type="spellEnd"/>
      <w:r w:rsidRPr="00BB63D0">
        <w:rPr>
          <w:szCs w:val="20"/>
          <w:lang w:val="es-ES_tradnl"/>
        </w:rPr>
        <w:t xml:space="preserve">, Daniela </w:t>
      </w:r>
      <w:proofErr w:type="spellStart"/>
      <w:r w:rsidRPr="00BB63D0">
        <w:rPr>
          <w:szCs w:val="20"/>
          <w:lang w:val="es-ES_tradnl"/>
        </w:rPr>
        <w:t>Bergami</w:t>
      </w:r>
      <w:proofErr w:type="spellEnd"/>
      <w:r w:rsidRPr="00BB63D0">
        <w:rPr>
          <w:szCs w:val="20"/>
          <w:lang w:val="es-ES_tradnl"/>
        </w:rPr>
        <w:t>, Miguel Ángel Rodríguez, Soraya Castellano, María Arriaga y Larissa Patiño.</w:t>
      </w:r>
    </w:p>
    <w:p w14:paraId="4EA3F459" w14:textId="77777777" w:rsidR="007269CF" w:rsidRPr="00BB63D0" w:rsidRDefault="007269CF" w:rsidP="00326300">
      <w:pPr>
        <w:pStyle w:val="Caso"/>
        <w:rPr>
          <w:lang w:val="es-ES_tradnl"/>
        </w:rPr>
      </w:pPr>
      <w:r w:rsidRPr="00BB63D0">
        <w:rPr>
          <w:lang w:val="es-ES_tradnl"/>
        </w:rPr>
        <w:lastRenderedPageBreak/>
        <w:t>Corte IDH. Caso San Miguel Sosa y otras Vs. Venezuela. Fondo, Reparaciones y Costas. Sentencia de 8 de febrero de 2018. Serie C No. 348</w:t>
      </w:r>
      <w:r w:rsidRPr="00F42681">
        <w:rPr>
          <w:rStyle w:val="Refdenotaalpie"/>
          <w:bCs/>
          <w:lang w:val="es-ES_tradnl"/>
        </w:rPr>
        <w:footnoteReference w:id="33"/>
      </w:r>
    </w:p>
    <w:p w14:paraId="02E1D766" w14:textId="77777777" w:rsidR="007269CF" w:rsidRPr="00BB63D0" w:rsidRDefault="007269CF" w:rsidP="00BB63D0">
      <w:pPr>
        <w:rPr>
          <w:szCs w:val="20"/>
          <w:lang w:val="es-ES_tradnl"/>
        </w:rPr>
      </w:pPr>
      <w:r w:rsidRPr="00BB63D0">
        <w:rPr>
          <w:szCs w:val="20"/>
          <w:lang w:val="es-ES_tradnl"/>
        </w:rPr>
        <w:t>116.</w:t>
      </w:r>
      <w:r w:rsidRPr="00BB63D0">
        <w:rPr>
          <w:szCs w:val="20"/>
          <w:lang w:val="es-ES_tradnl"/>
        </w:rPr>
        <w:tab/>
        <w:t>En este caso se alega que las señoras San Miguel, Chang y Coromoto fueron discriminadas, mediante la terminación de sus contratos de servicios con una entidad estatal, precisamente por haber firmado dicha solicitud de referendo. Este Tribunal ha considerado que, al analizar un caso, se presume la existencia de un trato discriminatorio cuando éste se basa en una categoría prohibida de trato diferenciado establecida en el artículo 1.1 de la Convención.</w:t>
      </w:r>
    </w:p>
    <w:p w14:paraId="2D110819" w14:textId="77777777" w:rsidR="007269CF" w:rsidRPr="00BB63D0" w:rsidRDefault="007269CF" w:rsidP="00BB63D0">
      <w:pPr>
        <w:rPr>
          <w:szCs w:val="20"/>
        </w:rPr>
      </w:pPr>
      <w:r w:rsidRPr="00BB63D0">
        <w:rPr>
          <w:szCs w:val="20"/>
        </w:rPr>
        <w:t>118.</w:t>
      </w:r>
      <w:r w:rsidRPr="00BB63D0">
        <w:rPr>
          <w:szCs w:val="20"/>
        </w:rPr>
        <w:tab/>
        <w:t xml:space="preserve">En este caso lo que se ha alegado es que las presuntas víctimas fueron objeto de represalia y discriminación porque las autoridades del CNF que decidieron o justificaron la terminación de sus contratos consideraron la referida firma como un acto de deslealtad hacia el gobierno o como un “gesto de desconfianza”, al enterarse de ello luego de la publicación de la lista </w:t>
      </w:r>
      <w:proofErr w:type="spellStart"/>
      <w:r w:rsidRPr="00BB63D0">
        <w:rPr>
          <w:szCs w:val="20"/>
        </w:rPr>
        <w:t>Tascón</w:t>
      </w:r>
      <w:proofErr w:type="spellEnd"/>
      <w:r w:rsidRPr="00BB63D0">
        <w:rPr>
          <w:szCs w:val="20"/>
        </w:rPr>
        <w:t>. Es decir, independientemente de alguna opinión política desfavorable hacia el gobierno efectivamente manifestada, lo que se alega es que tales autoridades lo asumieron o percibieron así por el hecho mismo de haber firmado. En una sociedad democrática, la oposición política es consustancial y funcional a su existencia misma, por lo cual el haber sido percibidas como opositoras políticas por el hecho de la firma de la solicitud no debe ser considerado, en sí mismo, un problema bajo la Convención. Lo que sí sería incompatible con ésta es utilizar tal percepción para discriminarlas y eso es lo que corresponde a este Tribunal examinar.</w:t>
      </w:r>
    </w:p>
    <w:p w14:paraId="017068BA" w14:textId="77777777" w:rsidR="007269CF" w:rsidRPr="00BB63D0" w:rsidRDefault="007269CF" w:rsidP="00BB63D0">
      <w:pPr>
        <w:rPr>
          <w:szCs w:val="20"/>
        </w:rPr>
      </w:pPr>
      <w:r w:rsidRPr="00BB63D0">
        <w:rPr>
          <w:szCs w:val="20"/>
        </w:rPr>
        <w:t>121.</w:t>
      </w:r>
      <w:r w:rsidRPr="00BB63D0">
        <w:rPr>
          <w:szCs w:val="20"/>
        </w:rPr>
        <w:tab/>
        <w:t xml:space="preserve">En este sentido, este Tribunal estima que, en razón de las circunstancias en que ocurrieron los hechos, no corresponde analizar este caso como un supuesto de restricción directa de derechos –en que se analizaría la justificación de la restricción en los términos de la Convención–, ni como un caso de diferencia de trato directa –en que se evaluaría la objetividad y razonabilidad de la justificación aportada por el Estado-. En la medida en que se alega un acto de persecución, discriminación o represalia encubiertos o una interferencia arbitraria o indirecta en el ejercicio de un derecho, es relevante tomar en cuenta que el motivo o propósito de un determinado acto de las autoridades estatales cobra significación para el análisis jurídico de un caso, por cuanto una motivación o un propósito distinto al de la norma que otorga las potestades a la autoridad estatal para actuar, puede llegar a demostrar si la acción puede ser considerada como actuación arbitraria o una desviación de poder. </w:t>
      </w:r>
    </w:p>
    <w:p w14:paraId="506E502E" w14:textId="77777777" w:rsidR="007269CF" w:rsidRPr="00BB63D0" w:rsidRDefault="007269CF" w:rsidP="00BB63D0">
      <w:pPr>
        <w:rPr>
          <w:szCs w:val="20"/>
        </w:rPr>
      </w:pPr>
      <w:r w:rsidRPr="00BB63D0">
        <w:rPr>
          <w:szCs w:val="20"/>
        </w:rPr>
        <w:t>122.</w:t>
      </w:r>
      <w:r w:rsidRPr="00BB63D0">
        <w:rPr>
          <w:szCs w:val="20"/>
        </w:rPr>
        <w:tab/>
        <w:t>En relación con lo anterior, el Tribunal toma como punto de partida que las actuaciones de las autoridades estatales están cubiertas por una presunción de comportamiento conforme a derecho, por lo cual, para desvirtuar esta presunción de buena fe, una actuación irregular por parte de aquéllas tiene que aparecer probada. Para tales efectos, la Corte ha procedido a realizar un recuento de la prueba obrante en el expediente sobre la alegada finalidad no declarada y a examinar dicha prueba.</w:t>
      </w:r>
    </w:p>
    <w:p w14:paraId="3306DFC9" w14:textId="048FA22D" w:rsidR="007269CF" w:rsidRPr="00BB63D0" w:rsidRDefault="005B7B62" w:rsidP="00BB63D0">
      <w:pPr>
        <w:rPr>
          <w:szCs w:val="20"/>
        </w:rPr>
      </w:pPr>
      <w:r>
        <w:rPr>
          <w:szCs w:val="20"/>
        </w:rPr>
        <w:lastRenderedPageBreak/>
        <w:t>[...]</w:t>
      </w:r>
    </w:p>
    <w:p w14:paraId="29C3F69E" w14:textId="77777777" w:rsidR="007269CF" w:rsidRPr="00BB63D0" w:rsidRDefault="007269CF" w:rsidP="00BB63D0">
      <w:pPr>
        <w:rPr>
          <w:szCs w:val="20"/>
        </w:rPr>
      </w:pPr>
      <w:r w:rsidRPr="00BB63D0">
        <w:rPr>
          <w:szCs w:val="20"/>
        </w:rPr>
        <w:t>148.</w:t>
      </w:r>
      <w:r w:rsidRPr="00BB63D0">
        <w:rPr>
          <w:szCs w:val="20"/>
        </w:rPr>
        <w:tab/>
        <w:t xml:space="preserve">Los elementos anteriores permiten al Tribunal considerar que la terminación de los contratos de las presuntas víctimas se dio en un contexto de alta inestabilidad, polarización política e intolerancia a la disidencia, el cual pudo propiciar formas de persecución o discriminación contra opositores políticos del gobierno de entonces o de quienes fueran percibidos como tales, así como contra ciudadanos y funcionarios públicos que firmaron la solicitud de referendo. Asimismo, el hecho de que lo anterior fuera posible mediante actos y declaraciones de miembros de los Poderes Ejecutivo y Legislativo, así como de la autoridad electoral competente que debía velar por la correcta realización del referendo revocatorio, podrían indicar formas de coordinación entre miembros de poderes del Estado o de subordinación de miembros de éstos o de ciertas instituciones al Poder Ejecutivo de entonces. </w:t>
      </w:r>
    </w:p>
    <w:p w14:paraId="5DD8C1A5" w14:textId="77777777" w:rsidR="007269CF" w:rsidRPr="00BB63D0" w:rsidRDefault="007269CF" w:rsidP="00BB63D0">
      <w:pPr>
        <w:rPr>
          <w:szCs w:val="20"/>
        </w:rPr>
      </w:pPr>
      <w:r w:rsidRPr="00BB63D0">
        <w:rPr>
          <w:szCs w:val="20"/>
        </w:rPr>
        <w:t>149.</w:t>
      </w:r>
      <w:r w:rsidRPr="00BB63D0">
        <w:rPr>
          <w:szCs w:val="20"/>
        </w:rPr>
        <w:tab/>
        <w:t xml:space="preserve">Más allá de la naturaleza del vínculo de las presuntas víctimas con la administración pública, o de la necesidad de determinar si –en virtud de una cláusula en su contrato– la autoridad respectiva tenía o no una facultad discrecional para darlo por terminado en cualquier momento, incluso sin motivación, en el caso, el Estado no ha dado una explicación circunstanciada y precisa acerca de los motivos de su decisión. En casos como el presente no basta la mera invocación de conveniencia o reorganización, sin aportar más explicaciones, pues la debilidad de precisiones en cuanto a las motivaciones refuerza la verosimilitud de los indicios contrarios. </w:t>
      </w:r>
    </w:p>
    <w:p w14:paraId="5F89C443" w14:textId="77777777" w:rsidR="007269CF" w:rsidRPr="00BB63D0" w:rsidRDefault="007269CF" w:rsidP="00BB63D0">
      <w:pPr>
        <w:rPr>
          <w:szCs w:val="20"/>
        </w:rPr>
      </w:pPr>
      <w:r w:rsidRPr="00BB63D0">
        <w:rPr>
          <w:szCs w:val="20"/>
        </w:rPr>
        <w:t>150.</w:t>
      </w:r>
      <w:r w:rsidRPr="00BB63D0">
        <w:rPr>
          <w:szCs w:val="20"/>
        </w:rPr>
        <w:tab/>
        <w:t>Por ello, la Corte concluye que la terminación de los contratos constituyó una forma de desviación de poder, utilizando dicha cláusula como velo de legalidad para encubrir la verdadera motivación o finalidad real, a saber: una represalia en su contra por haber ejercido legítimamente un derecho de carácter político constitucionalmente previsto, al firmar a favor de la convocatoria al referendo revocatorio presidencial. Ello fue percibido por los funcionarios superiores como un acto de deslealtad política y como la manifestación de una opinión u orientación política opositora o disidente, que motivó un trato diferenciado hacia ellas, como en efecto fue el hecho de dar por terminada arbitrariamente la relación laboral.</w:t>
      </w:r>
    </w:p>
    <w:p w14:paraId="433B18B4" w14:textId="77777777" w:rsidR="007269CF" w:rsidRPr="00BB63D0" w:rsidRDefault="007269CF" w:rsidP="00BB63D0">
      <w:pPr>
        <w:rPr>
          <w:szCs w:val="20"/>
        </w:rPr>
      </w:pPr>
      <w:r w:rsidRPr="00BB63D0">
        <w:rPr>
          <w:szCs w:val="20"/>
        </w:rPr>
        <w:t>151.</w:t>
      </w:r>
      <w:r w:rsidRPr="00BB63D0">
        <w:rPr>
          <w:szCs w:val="20"/>
        </w:rPr>
        <w:tab/>
        <w:t xml:space="preserve">En conclusión, la Corte declara que el Estado es responsable por la violación del derecho a la participación política, reconocido en el artículo 23.1.b) y c) de la Convención Americana, en relación con el principio de no discriminación contenido en el artículo 1.1 de la misma, en perjuicio de las señoras Rocío San Miguel Sosa, </w:t>
      </w:r>
      <w:proofErr w:type="spellStart"/>
      <w:r w:rsidRPr="00BB63D0">
        <w:rPr>
          <w:szCs w:val="20"/>
        </w:rPr>
        <w:t>Magally</w:t>
      </w:r>
      <w:proofErr w:type="spellEnd"/>
      <w:r w:rsidRPr="00BB63D0">
        <w:rPr>
          <w:szCs w:val="20"/>
        </w:rPr>
        <w:t xml:space="preserve"> Chang Girón y Thais Coromoto Peña.</w:t>
      </w:r>
    </w:p>
    <w:p w14:paraId="4D2F8D7A" w14:textId="77777777" w:rsidR="007269CF" w:rsidRPr="00BB63D0" w:rsidRDefault="007269CF" w:rsidP="00BB63D0">
      <w:pPr>
        <w:rPr>
          <w:szCs w:val="20"/>
        </w:rPr>
      </w:pPr>
      <w:r w:rsidRPr="00BB63D0">
        <w:rPr>
          <w:szCs w:val="20"/>
        </w:rPr>
        <w:t>[...]</w:t>
      </w:r>
    </w:p>
    <w:p w14:paraId="3453643A" w14:textId="77777777" w:rsidR="007269CF" w:rsidRPr="00BB63D0" w:rsidRDefault="007269CF" w:rsidP="00BB63D0">
      <w:pPr>
        <w:rPr>
          <w:szCs w:val="20"/>
        </w:rPr>
      </w:pPr>
      <w:r w:rsidRPr="00BB63D0">
        <w:rPr>
          <w:szCs w:val="20"/>
        </w:rPr>
        <w:t>158.</w:t>
      </w:r>
      <w:r w:rsidRPr="00BB63D0">
        <w:rPr>
          <w:szCs w:val="20"/>
        </w:rPr>
        <w:tab/>
        <w:t xml:space="preserve">Consecuentemente, </w:t>
      </w:r>
      <w:r w:rsidRPr="00326300">
        <w:rPr>
          <w:szCs w:val="20"/>
        </w:rPr>
        <w:t>el hecho de que las presuntas víctimas fueron objeto de discriminación política precisamente como represalia por haber ejercido su libertad de expresión al firmar la solicitud de referendo, implica necesariamente una restricción directa al ejercicio de la misma</w:t>
      </w:r>
      <w:r w:rsidRPr="00BB63D0">
        <w:rPr>
          <w:szCs w:val="20"/>
        </w:rPr>
        <w:t xml:space="preserve">. El despido arbitrario al que fueron sometidas, luego de la publicación de la lista </w:t>
      </w:r>
      <w:proofErr w:type="spellStart"/>
      <w:r w:rsidRPr="00BB63D0">
        <w:rPr>
          <w:szCs w:val="20"/>
        </w:rPr>
        <w:t>Tascón</w:t>
      </w:r>
      <w:proofErr w:type="spellEnd"/>
      <w:r w:rsidRPr="00BB63D0">
        <w:rPr>
          <w:szCs w:val="20"/>
        </w:rPr>
        <w:t xml:space="preserve"> y en un contexto de denuncias de despidos arbitrarios y de otras formas de represalia para quienes habían firmado por el referendo, tenía la intención encubierta de acallar y desincentivar la disidencia política, pues fue instrumentalizado como factor ejemplarizante para que otras personas que ejercieron esa misma libertad se vieran amedrentadas de participar políticamente y eventualmente motivadas de manera ilegítima a retirar o “reparar” sus firmas en el procedimiento establecido por el Consejo Nacional Electoral al efecto. </w:t>
      </w:r>
    </w:p>
    <w:p w14:paraId="7E38D5EA" w14:textId="77777777" w:rsidR="007269CF" w:rsidRPr="00BB63D0" w:rsidRDefault="007269CF" w:rsidP="00BB63D0">
      <w:pPr>
        <w:rPr>
          <w:szCs w:val="20"/>
        </w:rPr>
      </w:pPr>
      <w:r w:rsidRPr="00BB63D0">
        <w:rPr>
          <w:szCs w:val="20"/>
        </w:rPr>
        <w:t>159.</w:t>
      </w:r>
      <w:r w:rsidRPr="00BB63D0">
        <w:rPr>
          <w:szCs w:val="20"/>
        </w:rPr>
        <w:tab/>
        <w:t xml:space="preserve">Según fue considerado, las situaciones analizadas pudieron generar impedimentos en el libre debate público sobre temas de interés de la sociedad, lo que es esencial para el sano funcionamiento de una sociedad democrática y, por ende, efectos disuasivos, atemorizadores e inhibidores en la dimensión colectiva de la libertad de expresión. </w:t>
      </w:r>
    </w:p>
    <w:p w14:paraId="657371D5" w14:textId="77777777" w:rsidR="007269CF" w:rsidRPr="00BB63D0" w:rsidRDefault="007269CF" w:rsidP="00BB63D0">
      <w:pPr>
        <w:rPr>
          <w:szCs w:val="20"/>
        </w:rPr>
      </w:pPr>
      <w:r w:rsidRPr="00BB63D0">
        <w:rPr>
          <w:szCs w:val="20"/>
        </w:rPr>
        <w:lastRenderedPageBreak/>
        <w:t>160.</w:t>
      </w:r>
      <w:r w:rsidRPr="00BB63D0">
        <w:rPr>
          <w:szCs w:val="20"/>
        </w:rPr>
        <w:tab/>
        <w:t xml:space="preserve">Por las razones anteriores, la Corte declara que el Estado es responsable por la violación de la libertad de pensamiento y expresión, reconocida en el artículo 13.1 de la Convención Americana, en relación con el principio de no discriminación contenido en el artículo 1.1 de la misma, en perjuicio de las señoras Rocío San Miguel Sosa, </w:t>
      </w:r>
      <w:proofErr w:type="spellStart"/>
      <w:r w:rsidRPr="00BB63D0">
        <w:rPr>
          <w:szCs w:val="20"/>
        </w:rPr>
        <w:t>Magally</w:t>
      </w:r>
      <w:proofErr w:type="spellEnd"/>
      <w:r w:rsidRPr="00BB63D0">
        <w:rPr>
          <w:szCs w:val="20"/>
        </w:rPr>
        <w:t xml:space="preserve"> Chang Girón y Thais Coromoto Peña.</w:t>
      </w:r>
    </w:p>
    <w:p w14:paraId="18E2F417" w14:textId="77777777" w:rsidR="007269CF" w:rsidRPr="00BB63D0" w:rsidRDefault="007269CF" w:rsidP="00BB63D0">
      <w:pPr>
        <w:rPr>
          <w:szCs w:val="20"/>
        </w:rPr>
      </w:pPr>
      <w:r w:rsidRPr="00BB63D0">
        <w:rPr>
          <w:szCs w:val="20"/>
        </w:rPr>
        <w:t>[...]</w:t>
      </w:r>
    </w:p>
    <w:p w14:paraId="55BAC58F" w14:textId="77777777" w:rsidR="007269CF" w:rsidRPr="00BB63D0" w:rsidRDefault="007269CF" w:rsidP="00BB63D0">
      <w:pPr>
        <w:rPr>
          <w:szCs w:val="20"/>
        </w:rPr>
      </w:pPr>
      <w:r w:rsidRPr="00BB63D0">
        <w:rPr>
          <w:szCs w:val="20"/>
        </w:rPr>
        <w:t>221.</w:t>
      </w:r>
      <w:r w:rsidRPr="00BB63D0">
        <w:rPr>
          <w:szCs w:val="20"/>
        </w:rPr>
        <w:tab/>
        <w:t>En el presente caso, la Corte concluyó que la terminación arbitraria de la relación laboral de las presuntas víctimas con el Consejo Nacional de Fronteras constituyó una forma de desviación de poder, pues se utilizó una cláusula establecida en su contrato como velo de legalidad para encubrir la verdadera finalidad de tal medida, a saber: una represalia en su contra por haber ejercido legítimamente sus derechos de participación política y libertad de expresión. Es decir, ellas fueron objeto de discriminación política mediante un despido arbitrario, el cual ocurrió en un contexto de denuncias de despidos semejantes y de otras formas de represalia para quienes habían decidido ejercer sus libertades al firmar por la solicitud de referendo. Así, su despido tenía la intención encubierta de acallar y desincentivar la disidencia política, pues fue instrumentalizado para que otras personas se vieran amedrentadas de participar políticamente y de expresar sus ideas y opiniones. Además de lo anterior, este Tribunal ha considerado que el derecho al trabajo incluye la obligación del Estado de garantizar los derechos de acceso a la justicia y a la tutela judicial efectiva, tanto en el ámbito público como en el ámbito privado de las relaciones laborales. Según fue constatado, en este caso el Estado no garantizó a las presuntas víctimas estos derechos ante su despido arbitrario.</w:t>
      </w:r>
    </w:p>
    <w:p w14:paraId="7939E96B" w14:textId="77777777" w:rsidR="007269CF" w:rsidRPr="00BB63D0" w:rsidRDefault="007269CF" w:rsidP="00326300">
      <w:pPr>
        <w:pStyle w:val="Caso"/>
      </w:pPr>
      <w:r w:rsidRPr="00BB63D0">
        <w:t>Corte IDH. Caso Isaza Uribe y otros Vs. Colombia. Fondo, Reparaciones y Costas. Sentencia de 20 de noviembre de 2018. Serie C No. 363</w:t>
      </w:r>
      <w:r w:rsidRPr="00F42681">
        <w:rPr>
          <w:rStyle w:val="Refdenotaalpie"/>
          <w:bCs/>
        </w:rPr>
        <w:footnoteReference w:id="34"/>
      </w:r>
    </w:p>
    <w:p w14:paraId="3DBCB258" w14:textId="4F1E0973" w:rsidR="007269CF" w:rsidRPr="00BB63D0" w:rsidRDefault="007269CF" w:rsidP="00BB63D0">
      <w:pPr>
        <w:rPr>
          <w:szCs w:val="20"/>
        </w:rPr>
      </w:pPr>
      <w:r w:rsidRPr="00BB63D0">
        <w:rPr>
          <w:szCs w:val="20"/>
        </w:rPr>
        <w:t>144.</w:t>
      </w:r>
      <w:r w:rsidRPr="00BB63D0">
        <w:rPr>
          <w:szCs w:val="20"/>
        </w:rPr>
        <w:tab/>
        <w:t xml:space="preserve">Respecto del alegado incumplimiento del artículo 2 de la Convención, la Corte ha tomado en cuenta la vigencia, para el momento de inicio de ejecución de la desaparición forzada, de los marcos normativos relacionados con la creación y fortalecimiento del paramilitarismo y que propiciaron la identificación del sindicalismo con la noción de “enemigo interno”. Independientemente de que el marco normativo que propició el paramilitarismo no se encuentre vigente, o de que los manuales militares en cuestión continúen en vigor o en aplicación por parte de las fuerzas militares colombianas </w:t>
      </w:r>
      <w:r w:rsidR="005B7B62">
        <w:rPr>
          <w:szCs w:val="20"/>
        </w:rPr>
        <w:t>[...]</w:t>
      </w:r>
      <w:r w:rsidRPr="00BB63D0">
        <w:rPr>
          <w:szCs w:val="20"/>
        </w:rPr>
        <w:t xml:space="preserve">, la Corte considera que varios contenidos de tales marcos normativos, por su propio texto o por su interpretación, permitieron o introdujeron riesgos para determinados miembros o grupos de la población civil en el marco del conflicto armado interno, en este caso sindicalistas que fueron estigmatizados, perseguidos y atacados, en muchos casos por grupos paramilitares. </w:t>
      </w:r>
      <w:r w:rsidRPr="00326300">
        <w:rPr>
          <w:szCs w:val="20"/>
        </w:rPr>
        <w:t xml:space="preserve">En consecuencia, tales contenidos de esa normativa o su aplicación práctica, por demás contrarias al principio de distinción del Derecho Internacional Humanitario, constituyeron en esa época un incumplimiento de la obligación del Estado de conformar su ordenamiento </w:t>
      </w:r>
      <w:r w:rsidRPr="00326300">
        <w:rPr>
          <w:szCs w:val="20"/>
        </w:rPr>
        <w:lastRenderedPageBreak/>
        <w:t>jurídico interno con la Convención Americana, establecida en el artículo 2 de la misma, por atentar contra su obligación de garantizar los derechos humanos en una sociedad democrática, particularmente en relación con las libertades de pensamiento y expresión y de asociación, así como con el principio de no discriminación por motivos de opinión política y condición social.</w:t>
      </w:r>
    </w:p>
    <w:p w14:paraId="0B12B935" w14:textId="68276E76" w:rsidR="007269CF" w:rsidRPr="00BB63D0" w:rsidRDefault="007269CF" w:rsidP="00326300">
      <w:pPr>
        <w:pStyle w:val="Ttulo2"/>
      </w:pPr>
      <w:bookmarkStart w:id="10" w:name="_Toc89017872"/>
      <w:r w:rsidRPr="00BB63D0">
        <w:t xml:space="preserve">Condición de </w:t>
      </w:r>
      <w:r w:rsidRPr="00326300">
        <w:t>salud</w:t>
      </w:r>
      <w:r w:rsidRPr="00BB63D0">
        <w:t xml:space="preserve"> (personas con VIH)</w:t>
      </w:r>
      <w:bookmarkEnd w:id="10"/>
      <w:r w:rsidRPr="00BB63D0">
        <w:t xml:space="preserve"> </w:t>
      </w:r>
    </w:p>
    <w:p w14:paraId="0C825588" w14:textId="77777777" w:rsidR="007269CF" w:rsidRPr="00BB63D0" w:rsidRDefault="007269CF" w:rsidP="00BB63D0">
      <w:pPr>
        <w:rPr>
          <w:b/>
          <w:szCs w:val="20"/>
          <w:lang w:val="es-ES_tradnl"/>
        </w:rPr>
      </w:pPr>
      <w:r w:rsidRPr="00BB63D0">
        <w:rPr>
          <w:b/>
          <w:szCs w:val="20"/>
          <w:lang w:val="es-ES_tradnl"/>
        </w:rPr>
        <w:t>Corte IDH. Caso Gonzales Lluy y otros Vs. Ecuador. Excepciones Preliminares, Fondo, Reparaciones y Costas. Sentencia de 1 de septiembre de 2015. Serie C No. 298</w:t>
      </w:r>
    </w:p>
    <w:p w14:paraId="7F18053D" w14:textId="77777777" w:rsidR="007269CF" w:rsidRPr="00BB63D0" w:rsidRDefault="007269CF" w:rsidP="00BB63D0">
      <w:pPr>
        <w:rPr>
          <w:szCs w:val="20"/>
          <w:lang w:val="es-ES_tradnl"/>
        </w:rPr>
      </w:pPr>
      <w:r w:rsidRPr="00BB63D0">
        <w:rPr>
          <w:szCs w:val="20"/>
          <w:lang w:val="es-ES_tradnl"/>
        </w:rPr>
        <w:t>252.</w:t>
      </w:r>
      <w:r w:rsidRPr="00BB63D0">
        <w:rPr>
          <w:szCs w:val="20"/>
          <w:lang w:val="es-ES_tradnl"/>
        </w:rPr>
        <w:tab/>
        <w:t xml:space="preserve">Teniendo en cuenta estos elementos, la Corte constata que la decisión adoptada a nivel interno </w:t>
      </w:r>
      <w:r w:rsidRPr="00326300">
        <w:rPr>
          <w:szCs w:val="20"/>
          <w:lang w:val="es-ES_tradnl"/>
        </w:rPr>
        <w:t xml:space="preserve">tuvo como fundamento principal la situación médica de Talía asociada tanto a la púrpura </w:t>
      </w:r>
      <w:proofErr w:type="spellStart"/>
      <w:r w:rsidRPr="00326300">
        <w:rPr>
          <w:szCs w:val="20"/>
          <w:lang w:val="es-ES_tradnl"/>
        </w:rPr>
        <w:t>trombocitopénica</w:t>
      </w:r>
      <w:proofErr w:type="spellEnd"/>
      <w:r w:rsidRPr="00326300">
        <w:rPr>
          <w:szCs w:val="20"/>
          <w:lang w:val="es-ES_tradnl"/>
        </w:rPr>
        <w:t xml:space="preserve"> idiopática como al VIH; por lo cual este Tribunal concluye que se realizó</w:t>
      </w:r>
      <w:r w:rsidRPr="00BB63D0">
        <w:rPr>
          <w:szCs w:val="20"/>
          <w:lang w:val="es-ES_tradnl"/>
        </w:rPr>
        <w:t xml:space="preserve"> una diferencia de trato basada en la condición de salud de Talía. Para determinar si dicha diferencia de trato constituyó discriminación, a continuación se analizará la justificación que hizo el Estado para efectuarla, es decir, la alegada protección de la seguridad de los demás niños.</w:t>
      </w:r>
    </w:p>
    <w:p w14:paraId="578DF643" w14:textId="77777777" w:rsidR="007269CF" w:rsidRPr="00BB63D0" w:rsidRDefault="007269CF" w:rsidP="00BB63D0">
      <w:pPr>
        <w:rPr>
          <w:szCs w:val="20"/>
          <w:lang w:val="es-ES_tradnl"/>
        </w:rPr>
      </w:pPr>
      <w:r w:rsidRPr="00BB63D0">
        <w:rPr>
          <w:szCs w:val="20"/>
          <w:lang w:val="es-ES_tradnl"/>
        </w:rPr>
        <w:t>253.</w:t>
      </w:r>
      <w:r w:rsidRPr="00BB63D0">
        <w:rPr>
          <w:szCs w:val="20"/>
          <w:lang w:val="es-ES_tradnl"/>
        </w:rPr>
        <w:tab/>
        <w:t>La Convención Americana no contiene una definición explícita del concepto de “discriminación”, sin embargo, a partir de diversas referencias en el corpus iuris en la materia, la Corte ha señalado que la discriminación se relaciona con:</w:t>
      </w:r>
    </w:p>
    <w:p w14:paraId="7C2D40FA" w14:textId="77777777" w:rsidR="007269CF" w:rsidRPr="00BB63D0" w:rsidRDefault="007269CF" w:rsidP="00BB63D0">
      <w:pPr>
        <w:rPr>
          <w:szCs w:val="20"/>
          <w:lang w:val="es-ES_tradnl"/>
        </w:rPr>
      </w:pPr>
      <w:r w:rsidRPr="00BB63D0">
        <w:rPr>
          <w:szCs w:val="20"/>
          <w:lang w:val="es-ES_tradnl"/>
        </w:rPr>
        <w:t>toda distinción, exclusión, restricción o preferencia que se basen en determinados motivos, como la raza, el color, el sexo, el idioma, la religión, la opinión política o de otra índole, el origen nacional o social, la propiedad, el nacimiento o cualquier otra condición social, y que tengan por objeto o por resultado anular o menoscabar el reconocimiento, goce o ejercicio, en condiciones de igualdad, de los derechos humanos y libertades fundamentales de todas las personas.</w:t>
      </w:r>
    </w:p>
    <w:p w14:paraId="6F22B273" w14:textId="77777777" w:rsidR="007269CF" w:rsidRPr="00BB63D0" w:rsidRDefault="007269CF" w:rsidP="00BB63D0">
      <w:pPr>
        <w:rPr>
          <w:szCs w:val="20"/>
          <w:lang w:val="es-ES_tradnl"/>
        </w:rPr>
      </w:pPr>
      <w:r w:rsidRPr="00BB63D0">
        <w:rPr>
          <w:szCs w:val="20"/>
          <w:lang w:val="es-ES_tradnl"/>
        </w:rPr>
        <w:t>254.</w:t>
      </w:r>
      <w:r w:rsidRPr="00BB63D0">
        <w:rPr>
          <w:szCs w:val="20"/>
          <w:lang w:val="es-ES_tradnl"/>
        </w:rPr>
        <w:tab/>
        <w:t xml:space="preserve">Algunos de los </w:t>
      </w:r>
      <w:r w:rsidRPr="00F42681">
        <w:rPr>
          <w:szCs w:val="20"/>
          <w:lang w:val="es-ES_tradnl"/>
        </w:rPr>
        <w:t>principales tratados internacionales de derechos humanos se han interpretado de tal manera que incluyen el VIH como motivo por el cual está prohibida la discriminación.</w:t>
      </w:r>
      <w:r w:rsidRPr="00BB63D0">
        <w:rPr>
          <w:szCs w:val="20"/>
          <w:lang w:val="es-ES_tradnl"/>
        </w:rPr>
        <w:t xml:space="preserve"> Por ejemplo, el Pacto Internacional de Derechos Económicos, Sociales y Culturales prohíbe la discriminación por diversos motivos, incluyendo “cualquier otra condición social”, y el Comité de Derechos Económicos, Sociales y Culturales de las Naciones Unidas ha confirmado que el “estado de salud (incluidos el VIH/SIDA)” es un motivo prohibido de discriminación. El Comité de los Derechos del Niño ha llegado a la misma conclusión en relación con el artículo 2 de la Convención sobre los Derechos del Niño y también la antigua Comisión de Derechos Humanos señaló que la discriminación, actual o presunta, contra las personas con VIH/SIDA o con cualquier otra condición médica se encuentra tutelada al interior de otras condiciones sociales presentes en las cláusulas antidiscriminación. Los Relatores Especiales de la ONU sobre el derecho a la salud han adoptado esta postura.</w:t>
      </w:r>
    </w:p>
    <w:p w14:paraId="2124DAE4" w14:textId="77777777" w:rsidR="007269CF" w:rsidRPr="00BB63D0" w:rsidRDefault="007269CF" w:rsidP="00BB63D0">
      <w:pPr>
        <w:rPr>
          <w:szCs w:val="20"/>
          <w:lang w:val="es-ES_tradnl"/>
        </w:rPr>
      </w:pPr>
      <w:r w:rsidRPr="00BB63D0">
        <w:rPr>
          <w:szCs w:val="20"/>
          <w:lang w:val="es-ES_tradnl"/>
        </w:rPr>
        <w:t>255.</w:t>
      </w:r>
      <w:r w:rsidRPr="00BB63D0">
        <w:rPr>
          <w:szCs w:val="20"/>
          <w:lang w:val="es-ES_tradnl"/>
        </w:rPr>
        <w:tab/>
        <w:t xml:space="preserve">En el marco de este corpus iuris en la materia, la Corte considera que el VIH es un motivo por el cual está prohibida la discriminación en el marco del término “otra condición social” establecido en el artículo 1.1 de la Convención Americana. En esta protección contra la discriminación bajo “otra condición social” se encuentra asimismo la condición de persona con VIH como aspecto potencialmente generador de discapacidad en aquellos casos donde, además de las afectaciones orgánicas emanadas del VIH, existan barreras económicas, sociales o de otra índole derivadas del VIH que afecten su desarrollo y participación en la sociedad </w:t>
      </w:r>
      <w:r w:rsidRPr="00BB63D0">
        <w:rPr>
          <w:szCs w:val="20"/>
        </w:rPr>
        <w:t>[…].</w:t>
      </w:r>
    </w:p>
    <w:p w14:paraId="1DEE3313" w14:textId="77777777" w:rsidR="007269CF" w:rsidRPr="00BB63D0" w:rsidRDefault="007269CF" w:rsidP="00BB63D0">
      <w:pPr>
        <w:rPr>
          <w:szCs w:val="20"/>
          <w:lang w:val="es-ES_tradnl"/>
        </w:rPr>
      </w:pPr>
      <w:r w:rsidRPr="00BB63D0">
        <w:rPr>
          <w:szCs w:val="20"/>
          <w:lang w:val="es-ES_tradnl"/>
        </w:rPr>
        <w:t>256.</w:t>
      </w:r>
      <w:r w:rsidRPr="00BB63D0">
        <w:rPr>
          <w:szCs w:val="20"/>
          <w:lang w:val="es-ES_tradnl"/>
        </w:rPr>
        <w:tab/>
        <w:t xml:space="preserve">La Corte resalta que el </w:t>
      </w:r>
      <w:r w:rsidRPr="00326300">
        <w:rPr>
          <w:szCs w:val="20"/>
          <w:lang w:val="es-ES_tradnl"/>
        </w:rPr>
        <w:t>efecto jurídico directo</w:t>
      </w:r>
      <w:r w:rsidRPr="00BB63D0">
        <w:rPr>
          <w:szCs w:val="20"/>
          <w:lang w:val="es-ES_tradnl"/>
        </w:rPr>
        <w:t xml:space="preserve"> de que una condición o característica de una persona se enmarque dentro de las categorías del artículo 1.1 </w:t>
      </w:r>
      <w:r w:rsidRPr="00BB63D0">
        <w:rPr>
          <w:szCs w:val="20"/>
          <w:lang w:val="es-ES_tradnl"/>
        </w:rPr>
        <w:lastRenderedPageBreak/>
        <w:t xml:space="preserve">de la Convención es que el </w:t>
      </w:r>
      <w:r w:rsidRPr="00326300">
        <w:rPr>
          <w:szCs w:val="20"/>
          <w:lang w:val="es-ES_tradnl"/>
        </w:rPr>
        <w:t>escrutinio judicial debe ser más estricto al valorar diferencias de trato basadas en dichas categorías</w:t>
      </w:r>
      <w:r w:rsidRPr="00BB63D0">
        <w:rPr>
          <w:szCs w:val="20"/>
          <w:lang w:val="es-ES_tradnl"/>
        </w:rPr>
        <w:t>. La capacidad de diferenciación de las autoridades con base en esos criterios sospechosos se encuentra limitada, y solo en casos en donde las autoridades demuestren que se está en presencia de necesidades imperiosas, y que recurrir a esa diferenciación es el único método para alcanzar esa necesidad imperiosa, podría eventualmente admitirse el uso de esa categoría. Como ejemplo del juicio estricto de igualdad se pueden señalar algunas decisiones adoptadas por la Corte Suprema de Justicia de Estados Unidos, la Corte Constitucional de Colombia, la Corte Suprema de Argentina y la Sala Constitucional de la Corte Suprema de Justicia de Costa Rica.</w:t>
      </w:r>
    </w:p>
    <w:p w14:paraId="562A1600" w14:textId="77777777" w:rsidR="007269CF" w:rsidRPr="00BB63D0" w:rsidRDefault="007269CF" w:rsidP="00326300">
      <w:pPr>
        <w:pStyle w:val="Caso"/>
        <w:rPr>
          <w:lang w:val="es-MX"/>
        </w:rPr>
      </w:pPr>
      <w:r w:rsidRPr="00BB63D0">
        <w:rPr>
          <w:lang w:val="es-MX"/>
        </w:rPr>
        <w:t>Corte IDH. Caso Cuscul Pivaral y otros Vs. Guatemala. Excepción Preliminar, Fondo, Reparaciones y Costas. Sentencia de 23 de agosto de 2018. Serie C No. 359</w:t>
      </w:r>
    </w:p>
    <w:p w14:paraId="279ADD63" w14:textId="77777777" w:rsidR="007269CF" w:rsidRPr="00BB63D0" w:rsidRDefault="007269CF" w:rsidP="00BB63D0">
      <w:pPr>
        <w:rPr>
          <w:szCs w:val="20"/>
          <w:lang w:val="es-MX"/>
        </w:rPr>
      </w:pPr>
      <w:r w:rsidRPr="00BB63D0">
        <w:rPr>
          <w:szCs w:val="20"/>
          <w:lang w:val="es-MX"/>
        </w:rPr>
        <w:t>129.</w:t>
      </w:r>
      <w:r w:rsidRPr="00BB63D0">
        <w:rPr>
          <w:szCs w:val="20"/>
          <w:lang w:val="es-MX"/>
        </w:rPr>
        <w:tab/>
        <w:t>Al respecto, la Corte recuerda que, como condición transversal de la accesibilidad a los servicios de salud, el Estado está obligado a garantizar un trato igualitario a todas las personas. De esta forma, de conformidad con el artículo 1.1 de la Convención Americana no son permitidos tratos discriminatorios, “por motivos de raza, color, sexo, […] posición económica, nacimiento o cualquier otra condición social”. El Tribunal recuerda que los criterios específicos 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hubiesen sido explícitamente indicadas.</w:t>
      </w:r>
    </w:p>
    <w:p w14:paraId="7B2BDB34" w14:textId="77777777" w:rsidR="007269CF" w:rsidRPr="00BB63D0" w:rsidRDefault="007269CF" w:rsidP="00BB63D0">
      <w:pPr>
        <w:rPr>
          <w:szCs w:val="20"/>
          <w:lang w:val="es-MX"/>
        </w:rPr>
      </w:pPr>
      <w:r w:rsidRPr="00BB63D0">
        <w:rPr>
          <w:szCs w:val="20"/>
          <w:lang w:val="es-MX"/>
        </w:rPr>
        <w:t>130.</w:t>
      </w:r>
      <w:r w:rsidRPr="00BB63D0">
        <w:rPr>
          <w:szCs w:val="20"/>
          <w:lang w:val="es-MX"/>
        </w:rPr>
        <w:tab/>
        <w:t>En ese sentido, la Corte señala que, en la esfera de protección de la Convención, el VIH es un motivo por el cual está prohibida la discriminación en el marco del término “otra condición social” establecido en el artículo 1.1 de la Convención. La Corte resalta que el derecho a la igualdad y no discriminación abarca dos concepciones: una negativa relacionada con la prohibición de diferencias de trato arbitrarias, y una positiva relacionada con la obligación de los Estados de crear condiciones de igualdad real frente a grupos que han sido históricamente excluidos o que se encuentran en mayor riesgo de ser discriminados, como es el caso de las personas que viven con el VIH. La adopción de medidas positivas se acentúa en relación con la protección de personas en situación de vulnerabilidad o en situación de riesgo, quienes deben tener garantizado el acceso a los servicios médicos de salud en vía de igualdad.</w:t>
      </w:r>
    </w:p>
    <w:p w14:paraId="5C855B97" w14:textId="77777777" w:rsidR="007269CF" w:rsidRPr="00BB63D0" w:rsidRDefault="007269CF" w:rsidP="00BB63D0">
      <w:pPr>
        <w:rPr>
          <w:szCs w:val="20"/>
          <w:lang w:val="es-MX"/>
        </w:rPr>
      </w:pPr>
      <w:r w:rsidRPr="00BB63D0">
        <w:rPr>
          <w:szCs w:val="20"/>
          <w:lang w:val="es-MX"/>
        </w:rPr>
        <w:t>131.</w:t>
      </w:r>
      <w:r w:rsidRPr="00BB63D0">
        <w:rPr>
          <w:szCs w:val="20"/>
          <w:lang w:val="es-MX"/>
        </w:rPr>
        <w:tab/>
        <w:t>De esta forma, la obligación de los Estados en el respeto y garantía del derecho a la salud adquiere una dimensión especial en materia de protección a personas en situación de vulnerabilidad. La Corte reconoce que las personas que viven en una situación de pobreza a menudo tienen un acceso inequitativo a los servicios e información en materia de salud, lo que los expone a un mayor riesgo de infección y de recibir una atención médica inadecuada o incompleta. El Tribunal también advierte la situación de vulnerabilidad en la que se encuentran mujeres que viven con el VIH, sobre todo aquellas que se encuentran en edad reproductiva.</w:t>
      </w:r>
    </w:p>
    <w:p w14:paraId="031799E2" w14:textId="77777777" w:rsidR="007269CF" w:rsidRPr="00BB63D0" w:rsidRDefault="007269CF" w:rsidP="00BB63D0">
      <w:pPr>
        <w:rPr>
          <w:szCs w:val="20"/>
          <w:lang w:val="es-MX"/>
        </w:rPr>
      </w:pPr>
      <w:r w:rsidRPr="00BB63D0">
        <w:rPr>
          <w:szCs w:val="20"/>
          <w:lang w:val="es-MX"/>
        </w:rPr>
        <w:t>137.</w:t>
      </w:r>
      <w:r w:rsidRPr="00BB63D0">
        <w:rPr>
          <w:szCs w:val="20"/>
          <w:lang w:val="es-MX"/>
        </w:rPr>
        <w:tab/>
        <w:t xml:space="preserve">En consecuencia, el Tribunal considera que no otorgar tratamiento antirretroviral a la señora Zepeda Herrera cuando estaba embarazada, y no haber practicado un parto por cesárea a la señora Jesús Mérida, cuando esta estaba programada como una medida preventiva, constituyó una forma de discriminación basada en género, pues el Estado omitió brindar una adecuada atención médica a mujeres que viven con el VIH en estado de embarazo, lo cual tuvo un impacto diferenciado y generó un riesgo de transmisión vertical del VIH a sus hijos. La Corte advierte que, según información presentada ante este Tribunal por el perito Oscar Cabrera, la transmisión del VIH materno-infantil es una prioridad para eliminar el VIH </w:t>
      </w:r>
      <w:r w:rsidRPr="00BB63D0">
        <w:rPr>
          <w:szCs w:val="20"/>
          <w:lang w:val="es-MX"/>
        </w:rPr>
        <w:lastRenderedPageBreak/>
        <w:t>en los niños, pues más del 90% de los niños con VIH se infectan a través de su madre durante el embarazo, el trabajo de parto, el parto y la lactancia, y que sin intervención más de la mitad de los niños con VIH morirán en los primeros dos años de vida.</w:t>
      </w:r>
    </w:p>
    <w:p w14:paraId="3B772767" w14:textId="77777777" w:rsidR="007269CF" w:rsidRPr="00BB63D0" w:rsidRDefault="007269CF" w:rsidP="00BB63D0">
      <w:pPr>
        <w:rPr>
          <w:szCs w:val="20"/>
          <w:lang w:val="es-MX"/>
        </w:rPr>
      </w:pPr>
      <w:r w:rsidRPr="00BB63D0">
        <w:rPr>
          <w:szCs w:val="20"/>
          <w:lang w:val="es-MX"/>
        </w:rPr>
        <w:t>138.</w:t>
      </w:r>
      <w:r w:rsidRPr="00BB63D0">
        <w:rPr>
          <w:szCs w:val="20"/>
          <w:lang w:val="es-MX"/>
        </w:rPr>
        <w:tab/>
        <w:t>Además, el Tribunal considera que las condiciones de mujeres que viven con el VIH, y en situación de embarazo, confluyeron de manera interseccional en las señoras Zepeda Herrera y Jesús Mérida, quienes por sus condiciones formaban parte de un grupo vulnerable por lo que su discriminación fue el producto de varios factores que interseccionaron y que se condicionaron entre sí. En ese sentido, la Corte recuerda que la discriminación interseccional es resultado de la confluencia de distintos factores de vulnerabilidad o fuentes de discriminación asociados a ciertas condiciones de una persona. En ese sentido, tal y como lo ha señalado el Tribunal, la discriminación de la mujer por motivos de sexo y género está unida de manera indivisible a otros factores que afectan a la mujer, y que este tipo de discriminación puede afectar a las mujeres de algunos grupos de diferente medida o forma que a los hombres. De esta forma, los Estados deben reconocer y prohibir en sus instrumentos jurídicos estas formas entrecruzadas de discriminación y su impacto negativo combinado en las mujeres afectadas, así como aprobar y poner en práctica políticas y programas para eliminar estas situaciones.</w:t>
      </w:r>
    </w:p>
    <w:p w14:paraId="652F6C04" w14:textId="77777777" w:rsidR="007269CF" w:rsidRPr="00BB63D0" w:rsidRDefault="007269CF" w:rsidP="00BB63D0">
      <w:pPr>
        <w:rPr>
          <w:szCs w:val="20"/>
          <w:lang w:val="es-MX"/>
        </w:rPr>
      </w:pPr>
      <w:r w:rsidRPr="00BB63D0">
        <w:rPr>
          <w:szCs w:val="20"/>
          <w:lang w:val="es-MX"/>
        </w:rPr>
        <w:t>139.</w:t>
      </w:r>
      <w:r w:rsidRPr="00BB63D0">
        <w:rPr>
          <w:szCs w:val="20"/>
          <w:lang w:val="es-MX"/>
        </w:rPr>
        <w:tab/>
        <w:t>En consecuencia, la Corte concluye que el Estado es responsable por la violación de la prohibición de discriminación en relación con la obligación de garantizar el derecho a la salud, consagrado en el artículo 26 de la Convención, en relación con el artículo 1.1, en perjuicio de las señoras Sandra Lisbeth Zepeda Herrera y de Pascuala de Jesús Mérida Rodríguez.</w:t>
      </w:r>
    </w:p>
    <w:p w14:paraId="674FBEE0" w14:textId="73A32B86" w:rsidR="007269CF" w:rsidRPr="00BB63D0" w:rsidRDefault="007269CF" w:rsidP="00326300">
      <w:pPr>
        <w:pStyle w:val="Ttulo2"/>
      </w:pPr>
      <w:bookmarkStart w:id="11" w:name="_Toc89017873"/>
      <w:r w:rsidRPr="00BB63D0">
        <w:t>Origen étnico</w:t>
      </w:r>
      <w:bookmarkEnd w:id="11"/>
      <w:r w:rsidRPr="00BB63D0">
        <w:t xml:space="preserve"> </w:t>
      </w:r>
    </w:p>
    <w:p w14:paraId="795A8704" w14:textId="77777777" w:rsidR="007269CF" w:rsidRPr="00BB63D0" w:rsidRDefault="007269CF" w:rsidP="00BB63D0">
      <w:pPr>
        <w:pStyle w:val="Sinespaciado"/>
        <w:rPr>
          <w:szCs w:val="20"/>
        </w:rPr>
      </w:pPr>
    </w:p>
    <w:p w14:paraId="20FA9705" w14:textId="77777777" w:rsidR="007269CF" w:rsidRPr="00BB63D0" w:rsidRDefault="007269CF" w:rsidP="00326300">
      <w:pPr>
        <w:pStyle w:val="Caso"/>
      </w:pPr>
      <w:r w:rsidRPr="00BB63D0">
        <w:t>Corte IDH. Caso Norín Catrimán y otros (Dirigentes, miembros y activista del Pueblo Indígena Mapuche) Vs. Chile. Fondo, Reparaciones y Costas. Sentencia de 29 de mayo de 2014. Serie C No. 279</w:t>
      </w:r>
    </w:p>
    <w:p w14:paraId="48806A51" w14:textId="36A1EFDE" w:rsidR="007269CF" w:rsidRPr="00BB63D0" w:rsidRDefault="007269CF" w:rsidP="00BB63D0">
      <w:pPr>
        <w:rPr>
          <w:szCs w:val="20"/>
        </w:rPr>
      </w:pPr>
      <w:r w:rsidRPr="00BB63D0">
        <w:rPr>
          <w:szCs w:val="20"/>
        </w:rPr>
        <w:t>202.</w:t>
      </w:r>
      <w:r w:rsidRPr="00BB63D0">
        <w:rPr>
          <w:szCs w:val="20"/>
        </w:rPr>
        <w:tab/>
        <w:t xml:space="preserve">Tomando en cuenta los criterios de interpretación estipulados en el artículo 29 de la Convención Americana y en la Convención de Viena sobre el Derecho de los Tratados, la Corte considera que el origen étnico es un criterio prohibido de discriminación que se encuentra comprendido dentro de la expresión "cualquier otra condición social" del artículo 1.1. de la Convención Americana. El Tribunal ha indicado que al interpretarse el contenido de dicha expresión debe “elegirse la alternativa más favorable para la tutela de los derechos protegidos por dicho tratado, según el principio de la norma más favorable al ser humano”. Los criterios específicos en virtud de los cuales está prohibido discriminar, según el referido artículo, no son un listado taxativo o limitativo sino meramente enunciativo. La redacción de esa norma “deja abiertos los criterios con la inclusión del término ‘otra condición social’ para incorporar así a otras categorías que no hubiesen sido explícitamente indicadas”. </w:t>
      </w:r>
    </w:p>
    <w:p w14:paraId="017B748E" w14:textId="77777777" w:rsidR="007269CF" w:rsidRPr="00BB63D0" w:rsidRDefault="007269CF" w:rsidP="00BB63D0">
      <w:pPr>
        <w:rPr>
          <w:szCs w:val="20"/>
        </w:rPr>
      </w:pPr>
      <w:r w:rsidRPr="00BB63D0">
        <w:rPr>
          <w:szCs w:val="20"/>
        </w:rPr>
        <w:t>203.</w:t>
      </w:r>
      <w:r w:rsidRPr="00BB63D0">
        <w:rPr>
          <w:szCs w:val="20"/>
        </w:rPr>
        <w:tab/>
        <w:t xml:space="preserve">Varios tratados internacionales prohíben expresamente la discriminación por origen étnico. Asimismo, otros instrumentos internacionales reafirman que los pueblos indígenas deben estar libres de toda forma de discriminación. </w:t>
      </w:r>
    </w:p>
    <w:p w14:paraId="783317DE" w14:textId="77777777" w:rsidR="007269CF" w:rsidRPr="00BB63D0" w:rsidRDefault="007269CF" w:rsidP="00BB63D0">
      <w:pPr>
        <w:rPr>
          <w:szCs w:val="20"/>
        </w:rPr>
      </w:pPr>
      <w:r w:rsidRPr="00BB63D0">
        <w:rPr>
          <w:szCs w:val="20"/>
        </w:rPr>
        <w:t>204.</w:t>
      </w:r>
      <w:r w:rsidRPr="00BB63D0">
        <w:rPr>
          <w:szCs w:val="20"/>
        </w:rPr>
        <w:tab/>
        <w:t xml:space="preserve">La Corte toma en cuenta que la etnia se refiere a comunidades de personas que comparten, entre otras, características de naturaleza socio cultural, tales como afinidades culturales, lingüísticas, espirituales y orígenes históricos y tradicionales. Dentro de esta categoría se encuentran los pueblos indígenas, respecto de los cuales la Corte ha reconocido que tienen características propias que conforman su identidad </w:t>
      </w:r>
      <w:r w:rsidRPr="00BB63D0">
        <w:rPr>
          <w:szCs w:val="20"/>
        </w:rPr>
        <w:lastRenderedPageBreak/>
        <w:t>cultural, tales como su derecho consuetudinario, sus características económicas, sociales, sus valores, usos y costumbres.</w:t>
      </w:r>
    </w:p>
    <w:p w14:paraId="5B2786E6" w14:textId="2E0E0959" w:rsidR="007269CF" w:rsidRDefault="007269CF" w:rsidP="00BB63D0">
      <w:pPr>
        <w:rPr>
          <w:szCs w:val="20"/>
        </w:rPr>
      </w:pPr>
      <w:r w:rsidRPr="00BB63D0">
        <w:rPr>
          <w:szCs w:val="20"/>
        </w:rPr>
        <w:t>206.</w:t>
      </w:r>
      <w:r w:rsidRPr="00BB63D0">
        <w:rPr>
          <w:szCs w:val="20"/>
        </w:rPr>
        <w:tab/>
        <w:t xml:space="preserve">El artículo 1.1. de la Convención Americana proscribe la discriminación, en general, e incluye categorías prohibidas de discriminación […]. Tomando en cuenta los criterios desarrollados anteriormente, esta Corte deja establecido que el origen étnico de las personas es una categoría protegida por la Convención. Por ello, está proscrita por la Convención Americana cualquier norma, acto o práctica discriminatoria basada en la </w:t>
      </w:r>
      <w:r w:rsidRPr="00326300">
        <w:rPr>
          <w:szCs w:val="20"/>
        </w:rPr>
        <w:t>etnia de la persona. En consecuencia, ninguna norma, decisión o práctica de derecho interno, sea por parte de autoridades estatales o por particulares, pueden disminuir o restringir, de modo alguno, los derechos de una persona a partir de su origen étnico</w:t>
      </w:r>
      <w:r w:rsidRPr="00BB63D0">
        <w:rPr>
          <w:szCs w:val="20"/>
        </w:rPr>
        <w:t>. Ello es igualmente aplicable a que, de acuerdo al artículo 24 de dicho tratado, se proscribe una desigualdad basada en el origen étnico proveniente de la ley interna o de su aplicación.</w:t>
      </w:r>
    </w:p>
    <w:p w14:paraId="0BB4FAC6" w14:textId="390545A3" w:rsidR="007269CF" w:rsidRDefault="007269CF" w:rsidP="00126364">
      <w:pPr>
        <w:pStyle w:val="Caso"/>
        <w:rPr>
          <w:lang w:val="es-CR"/>
        </w:rPr>
      </w:pPr>
      <w:r w:rsidRPr="00126364">
        <w:rPr>
          <w:lang w:val="es-CR"/>
        </w:rPr>
        <w:t xml:space="preserve">Corte IDH. Caso de los Buzos </w:t>
      </w:r>
      <w:proofErr w:type="spellStart"/>
      <w:r w:rsidRPr="00126364">
        <w:rPr>
          <w:lang w:val="es-CR"/>
        </w:rPr>
        <w:t>Miskitos</w:t>
      </w:r>
      <w:proofErr w:type="spellEnd"/>
      <w:r w:rsidRPr="00126364">
        <w:rPr>
          <w:lang w:val="es-CR"/>
        </w:rPr>
        <w:t xml:space="preserve"> (</w:t>
      </w:r>
      <w:proofErr w:type="spellStart"/>
      <w:r w:rsidRPr="00126364">
        <w:rPr>
          <w:lang w:val="es-CR"/>
        </w:rPr>
        <w:t>Lemoth</w:t>
      </w:r>
      <w:proofErr w:type="spellEnd"/>
      <w:r w:rsidRPr="00126364">
        <w:rPr>
          <w:lang w:val="es-CR"/>
        </w:rPr>
        <w:t xml:space="preserve"> Morris y otros) Vs. Honduras. Sentencia de 31 de agosto de 2021. Serie C No. 432</w:t>
      </w:r>
    </w:p>
    <w:p w14:paraId="128F141A" w14:textId="1F9AAB93" w:rsidR="007269CF" w:rsidRPr="00B71152" w:rsidRDefault="007269CF" w:rsidP="00126364">
      <w:pPr>
        <w:rPr>
          <w:szCs w:val="20"/>
          <w:lang w:val="es-CR"/>
        </w:rPr>
      </w:pPr>
      <w:r w:rsidRPr="00B71152">
        <w:rPr>
          <w:szCs w:val="20"/>
          <w:lang w:val="es-CR"/>
        </w:rPr>
        <w:t xml:space="preserve">101. En </w:t>
      </w:r>
      <w:proofErr w:type="spellStart"/>
      <w:r w:rsidRPr="00B71152">
        <w:rPr>
          <w:szCs w:val="20"/>
          <w:lang w:val="es-CR"/>
        </w:rPr>
        <w:t>relación</w:t>
      </w:r>
      <w:proofErr w:type="spellEnd"/>
      <w:r w:rsidRPr="00B71152">
        <w:rPr>
          <w:szCs w:val="20"/>
          <w:lang w:val="es-CR"/>
        </w:rPr>
        <w:t xml:space="preserve"> con lo anterior, este Tribunal ha </w:t>
      </w:r>
      <w:proofErr w:type="spellStart"/>
      <w:r w:rsidRPr="00B71152">
        <w:rPr>
          <w:szCs w:val="20"/>
          <w:lang w:val="es-CR"/>
        </w:rPr>
        <w:t>señalado</w:t>
      </w:r>
      <w:proofErr w:type="spellEnd"/>
      <w:r w:rsidRPr="00B71152">
        <w:rPr>
          <w:szCs w:val="20"/>
          <w:lang w:val="es-CR"/>
        </w:rPr>
        <w:t xml:space="preserve"> que el origen </w:t>
      </w:r>
      <w:proofErr w:type="spellStart"/>
      <w:r w:rsidRPr="00B71152">
        <w:rPr>
          <w:szCs w:val="20"/>
          <w:lang w:val="es-CR"/>
        </w:rPr>
        <w:t>étnico</w:t>
      </w:r>
      <w:proofErr w:type="spellEnd"/>
      <w:r w:rsidRPr="00B71152">
        <w:rPr>
          <w:szCs w:val="20"/>
          <w:lang w:val="es-CR"/>
        </w:rPr>
        <w:t xml:space="preserve"> de las personas es una </w:t>
      </w:r>
      <w:proofErr w:type="spellStart"/>
      <w:r w:rsidRPr="00B71152">
        <w:rPr>
          <w:szCs w:val="20"/>
          <w:lang w:val="es-CR"/>
        </w:rPr>
        <w:t>categoría</w:t>
      </w:r>
      <w:proofErr w:type="spellEnd"/>
      <w:r w:rsidRPr="00B71152">
        <w:rPr>
          <w:szCs w:val="20"/>
          <w:lang w:val="es-CR"/>
        </w:rPr>
        <w:t xml:space="preserve"> protegida por el artículo 1.1 de la Convención, por lo que ninguna norma, </w:t>
      </w:r>
      <w:proofErr w:type="spellStart"/>
      <w:r w:rsidRPr="00B71152">
        <w:rPr>
          <w:szCs w:val="20"/>
          <w:lang w:val="es-CR"/>
        </w:rPr>
        <w:t>decisión</w:t>
      </w:r>
      <w:proofErr w:type="spellEnd"/>
      <w:r w:rsidRPr="00B71152">
        <w:rPr>
          <w:szCs w:val="20"/>
          <w:lang w:val="es-CR"/>
        </w:rPr>
        <w:t xml:space="preserve"> o </w:t>
      </w:r>
      <w:proofErr w:type="spellStart"/>
      <w:r w:rsidRPr="00B71152">
        <w:rPr>
          <w:szCs w:val="20"/>
          <w:lang w:val="es-CR"/>
        </w:rPr>
        <w:t>práctica</w:t>
      </w:r>
      <w:proofErr w:type="spellEnd"/>
      <w:r w:rsidRPr="00B71152">
        <w:rPr>
          <w:szCs w:val="20"/>
          <w:lang w:val="es-CR"/>
        </w:rPr>
        <w:t xml:space="preserve"> de derecho interno, sea por parte de autoridades estatales o por particulares, pueden disminuir o restringir, de modo alguno, los derechos de una persona a</w:t>
      </w:r>
      <w:r>
        <w:rPr>
          <w:szCs w:val="20"/>
          <w:lang w:val="es-CR"/>
        </w:rPr>
        <w:t xml:space="preserve"> </w:t>
      </w:r>
      <w:r w:rsidRPr="00B71152">
        <w:rPr>
          <w:szCs w:val="20"/>
          <w:lang w:val="es-CR"/>
        </w:rPr>
        <w:t xml:space="preserve">partir de su origen </w:t>
      </w:r>
      <w:proofErr w:type="spellStart"/>
      <w:r w:rsidRPr="00B71152">
        <w:rPr>
          <w:szCs w:val="20"/>
          <w:lang w:val="es-CR"/>
        </w:rPr>
        <w:t>étnico</w:t>
      </w:r>
      <w:proofErr w:type="spellEnd"/>
      <w:r w:rsidRPr="00B71152">
        <w:rPr>
          <w:szCs w:val="20"/>
          <w:lang w:val="es-CR"/>
        </w:rPr>
        <w:t xml:space="preserve">. La Corte ha tomado en cuenta que la etnia se refiere a comunidades de personas que comparten, entre otras, </w:t>
      </w:r>
      <w:proofErr w:type="spellStart"/>
      <w:r w:rsidRPr="00B71152">
        <w:rPr>
          <w:szCs w:val="20"/>
          <w:lang w:val="es-CR"/>
        </w:rPr>
        <w:t>características</w:t>
      </w:r>
      <w:proofErr w:type="spellEnd"/>
      <w:r w:rsidRPr="00B71152">
        <w:rPr>
          <w:szCs w:val="20"/>
          <w:lang w:val="es-CR"/>
        </w:rPr>
        <w:t xml:space="preserve"> de naturaleza socio- cultural, tales como afinidades culturales, </w:t>
      </w:r>
      <w:proofErr w:type="spellStart"/>
      <w:r w:rsidRPr="00B71152">
        <w:rPr>
          <w:szCs w:val="20"/>
          <w:lang w:val="es-CR"/>
        </w:rPr>
        <w:t>lingu</w:t>
      </w:r>
      <w:r w:rsidRPr="00B71152">
        <w:rPr>
          <w:rFonts w:ascii="Arial" w:hAnsi="Arial" w:cs="Arial"/>
          <w:szCs w:val="20"/>
          <w:lang w:val="es-CR"/>
        </w:rPr>
        <w:t>̈</w:t>
      </w:r>
      <w:r w:rsidRPr="00B71152">
        <w:rPr>
          <w:szCs w:val="20"/>
          <w:lang w:val="es-CR"/>
        </w:rPr>
        <w:t>ísticas</w:t>
      </w:r>
      <w:proofErr w:type="spellEnd"/>
      <w:r w:rsidRPr="00B71152">
        <w:rPr>
          <w:szCs w:val="20"/>
          <w:lang w:val="es-CR"/>
        </w:rPr>
        <w:t xml:space="preserve">, espirituales y </w:t>
      </w:r>
      <w:proofErr w:type="spellStart"/>
      <w:r w:rsidRPr="00B71152">
        <w:rPr>
          <w:szCs w:val="20"/>
          <w:lang w:val="es-CR"/>
        </w:rPr>
        <w:t>orígenes</w:t>
      </w:r>
      <w:proofErr w:type="spellEnd"/>
      <w:r w:rsidRPr="00B71152">
        <w:rPr>
          <w:szCs w:val="20"/>
          <w:lang w:val="es-CR"/>
        </w:rPr>
        <w:t xml:space="preserve"> </w:t>
      </w:r>
      <w:proofErr w:type="spellStart"/>
      <w:r w:rsidRPr="00B71152">
        <w:rPr>
          <w:szCs w:val="20"/>
          <w:lang w:val="es-CR"/>
        </w:rPr>
        <w:t>históricos</w:t>
      </w:r>
      <w:proofErr w:type="spellEnd"/>
      <w:r w:rsidRPr="00B71152">
        <w:rPr>
          <w:szCs w:val="20"/>
          <w:lang w:val="es-CR"/>
        </w:rPr>
        <w:t xml:space="preserve"> y tradicionales. Dentro de esta </w:t>
      </w:r>
      <w:proofErr w:type="spellStart"/>
      <w:r w:rsidRPr="00B71152">
        <w:rPr>
          <w:szCs w:val="20"/>
          <w:lang w:val="es-CR"/>
        </w:rPr>
        <w:t>categoría</w:t>
      </w:r>
      <w:proofErr w:type="spellEnd"/>
      <w:r w:rsidRPr="00B71152">
        <w:rPr>
          <w:szCs w:val="20"/>
          <w:lang w:val="es-CR"/>
        </w:rPr>
        <w:t xml:space="preserve"> se encuentran los pueblos </w:t>
      </w:r>
      <w:proofErr w:type="spellStart"/>
      <w:r w:rsidRPr="00B71152">
        <w:rPr>
          <w:szCs w:val="20"/>
          <w:lang w:val="es-CR"/>
        </w:rPr>
        <w:t>indígenas</w:t>
      </w:r>
      <w:proofErr w:type="spellEnd"/>
      <w:r w:rsidRPr="00B71152">
        <w:rPr>
          <w:szCs w:val="20"/>
          <w:lang w:val="es-CR"/>
        </w:rPr>
        <w:t xml:space="preserve">, respecto de los cuales la Corte ha reconocido que tienen </w:t>
      </w:r>
      <w:proofErr w:type="spellStart"/>
      <w:r w:rsidRPr="00B71152">
        <w:rPr>
          <w:szCs w:val="20"/>
          <w:lang w:val="es-CR"/>
        </w:rPr>
        <w:t>características</w:t>
      </w:r>
      <w:proofErr w:type="spellEnd"/>
      <w:r w:rsidRPr="00B71152">
        <w:rPr>
          <w:szCs w:val="20"/>
          <w:lang w:val="es-CR"/>
        </w:rPr>
        <w:t xml:space="preserve"> propias que conforman su identidad cultural, tales como su derecho consuetudinario, sus </w:t>
      </w:r>
      <w:proofErr w:type="spellStart"/>
      <w:r w:rsidRPr="00B71152">
        <w:rPr>
          <w:szCs w:val="20"/>
          <w:lang w:val="es-CR"/>
        </w:rPr>
        <w:t>características</w:t>
      </w:r>
      <w:proofErr w:type="spellEnd"/>
      <w:r w:rsidRPr="00B71152">
        <w:rPr>
          <w:szCs w:val="20"/>
          <w:lang w:val="es-CR"/>
        </w:rPr>
        <w:t xml:space="preserve"> </w:t>
      </w:r>
      <w:proofErr w:type="spellStart"/>
      <w:r w:rsidRPr="00B71152">
        <w:rPr>
          <w:szCs w:val="20"/>
          <w:lang w:val="es-CR"/>
        </w:rPr>
        <w:t>económicas</w:t>
      </w:r>
      <w:proofErr w:type="spellEnd"/>
      <w:r w:rsidRPr="00B71152">
        <w:rPr>
          <w:szCs w:val="20"/>
          <w:lang w:val="es-CR"/>
        </w:rPr>
        <w:t>, sociales, sus valores, usos y costumbres.</w:t>
      </w:r>
    </w:p>
    <w:p w14:paraId="6B896FB3" w14:textId="77777777" w:rsidR="007269CF" w:rsidRPr="00BB63D0" w:rsidRDefault="007269CF" w:rsidP="00BB63D0">
      <w:pPr>
        <w:rPr>
          <w:szCs w:val="20"/>
        </w:rPr>
      </w:pPr>
    </w:p>
    <w:p w14:paraId="166F1679" w14:textId="18AE3727" w:rsidR="007269CF" w:rsidRPr="00326300" w:rsidRDefault="007269CF" w:rsidP="00326300">
      <w:pPr>
        <w:pStyle w:val="Ttulo2"/>
      </w:pPr>
      <w:bookmarkStart w:id="12" w:name="_Toc89017874"/>
      <w:r w:rsidRPr="00326300">
        <w:t>Orientación sexual e Identidad de Género</w:t>
      </w:r>
      <w:bookmarkEnd w:id="12"/>
      <w:r w:rsidRPr="00326300">
        <w:t xml:space="preserve"> </w:t>
      </w:r>
    </w:p>
    <w:p w14:paraId="179B0A80" w14:textId="77777777" w:rsidR="007269CF" w:rsidRPr="00BB63D0" w:rsidRDefault="007269CF" w:rsidP="00BB63D0">
      <w:pPr>
        <w:rPr>
          <w:b/>
          <w:szCs w:val="20"/>
        </w:rPr>
      </w:pPr>
      <w:r w:rsidRPr="00BB63D0">
        <w:rPr>
          <w:b/>
          <w:szCs w:val="20"/>
        </w:rPr>
        <w:t>Corte IDH. Caso Atala Riffo y niñas Vs. Chile. Fondo, Reparaciones y Costas. Sentencia de 24 de febrero de 2012. Serie C No. 239</w:t>
      </w:r>
    </w:p>
    <w:p w14:paraId="31EE9F07" w14:textId="377AAD2A" w:rsidR="007269CF" w:rsidRPr="00BB63D0" w:rsidRDefault="007269CF" w:rsidP="00BB63D0">
      <w:pPr>
        <w:rPr>
          <w:b/>
          <w:szCs w:val="20"/>
        </w:rPr>
      </w:pPr>
      <w:r w:rsidRPr="00BB63D0">
        <w:rPr>
          <w:szCs w:val="20"/>
        </w:rPr>
        <w:t>84.</w:t>
      </w:r>
      <w:r w:rsidRPr="00BB63D0">
        <w:rPr>
          <w:szCs w:val="20"/>
        </w:rPr>
        <w:tab/>
        <w:t xml:space="preserve">En este sentido, </w:t>
      </w:r>
      <w:r w:rsidRPr="00326300">
        <w:rPr>
          <w:szCs w:val="20"/>
        </w:rPr>
        <w:t>al interpretar la expresión "cualquier otra condición social" del artículo 1.1. de la Convención, debe siempre elegirse la alternativa más favorable para la tutela de los derechos protegidos por dicho tratado, según el principio de la norma más favorable al ser humano</w:t>
      </w:r>
      <w:r w:rsidRPr="00BB63D0">
        <w:rPr>
          <w:szCs w:val="20"/>
        </w:rPr>
        <w:t xml:space="preserve">. </w:t>
      </w:r>
      <w:r w:rsidR="00651730">
        <w:rPr>
          <w:rStyle w:val="EnelmismoCar"/>
        </w:rPr>
        <w:t>En similar sentido, ver entre otros</w:t>
      </w:r>
      <w:r w:rsidRPr="00326300">
        <w:rPr>
          <w:rStyle w:val="EnelmismoCar"/>
        </w:rPr>
        <w:t>: Caso Norín Catrimán y otros (Dirigentes, miembros y activista del Pueblo Indígena Mapuche) Vs. Chile. Fondo, Reparaciones y Costas. Sentencia de 29 de mayo de 2014. Serie C No. 279, párr. 202.</w:t>
      </w:r>
    </w:p>
    <w:p w14:paraId="2A5790CF" w14:textId="77777777" w:rsidR="007269CF" w:rsidRPr="00BB63D0" w:rsidRDefault="007269CF" w:rsidP="00BB63D0">
      <w:pPr>
        <w:rPr>
          <w:szCs w:val="20"/>
        </w:rPr>
      </w:pPr>
      <w:r w:rsidRPr="00BB63D0">
        <w:rPr>
          <w:szCs w:val="20"/>
        </w:rPr>
        <w:t>85.</w:t>
      </w:r>
      <w:r w:rsidRPr="00BB63D0">
        <w:rPr>
          <w:szCs w:val="20"/>
        </w:rPr>
        <w:tab/>
        <w:t>Los criterios específicos 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hubiesen sido explícitamente indicadas. La expresión “cualquier otra condición social” del artículo 1.1. de la Convención debe ser interpretada por la Corte, en consecuencia, en la perspectiva de la opción más favorable a la persona y de la evolución de los derechos fundamentales en el derecho internacional contemporáneo.</w:t>
      </w:r>
    </w:p>
    <w:p w14:paraId="7C5B10B0" w14:textId="77777777" w:rsidR="007269CF" w:rsidRPr="00BB63D0" w:rsidRDefault="007269CF" w:rsidP="00BB63D0">
      <w:pPr>
        <w:rPr>
          <w:szCs w:val="20"/>
        </w:rPr>
      </w:pPr>
      <w:r w:rsidRPr="00BB63D0">
        <w:rPr>
          <w:szCs w:val="20"/>
        </w:rPr>
        <w:t>86.</w:t>
      </w:r>
      <w:r w:rsidRPr="00BB63D0">
        <w:rPr>
          <w:szCs w:val="20"/>
        </w:rPr>
        <w:tab/>
        <w:t xml:space="preserve">Al respecto, en el Sistema Interamericano, la Asamblea General de la Organización de Estados Americanos (en adelante “OEA”) ha aprobado desde 2008 </w:t>
      </w:r>
      <w:r w:rsidRPr="00BB63D0">
        <w:rPr>
          <w:szCs w:val="20"/>
        </w:rPr>
        <w:lastRenderedPageBreak/>
        <w:t>en sus sesiones anuales cuatro resoluciones sucesivas respecto a la protección de las personas contra tratos discriminatorios basados en su orientación sexual e identidad de género, mediante las cuales se ha exigido la adopción de medidas concretas para una protección eficaz contra actos discriminatorios.</w:t>
      </w:r>
    </w:p>
    <w:p w14:paraId="4C9C38AE" w14:textId="77777777" w:rsidR="007269CF" w:rsidRPr="00BB63D0" w:rsidRDefault="007269CF" w:rsidP="00BB63D0">
      <w:pPr>
        <w:rPr>
          <w:szCs w:val="20"/>
        </w:rPr>
      </w:pPr>
      <w:r w:rsidRPr="00BB63D0">
        <w:rPr>
          <w:szCs w:val="20"/>
        </w:rPr>
        <w:t>87.</w:t>
      </w:r>
      <w:r w:rsidRPr="00BB63D0">
        <w:rPr>
          <w:szCs w:val="20"/>
        </w:rPr>
        <w:tab/>
        <w:t xml:space="preserve">Respecto a la inclusión de la orientación sexual como categoría de discriminación prohibida, el Tribunal Europeo de Derechos Humanos ha señalado que la orientación sexual es “otra condición” mencionada en el artículo 14 del Convenio Europeo para la Protección de los Derechos Humanos y de las Libertades Fundamentales (en adelante “Convenio Europeo”), el cual prohíbe tratos discriminatorios. En particular, en el Caso </w:t>
      </w:r>
      <w:proofErr w:type="spellStart"/>
      <w:r w:rsidRPr="00BB63D0">
        <w:rPr>
          <w:szCs w:val="20"/>
        </w:rPr>
        <w:t>Salgueiro</w:t>
      </w:r>
      <w:proofErr w:type="spellEnd"/>
      <w:r w:rsidRPr="00BB63D0">
        <w:rPr>
          <w:szCs w:val="20"/>
        </w:rPr>
        <w:t xml:space="preserve"> da Silva </w:t>
      </w:r>
      <w:proofErr w:type="spellStart"/>
      <w:r w:rsidRPr="00BB63D0">
        <w:rPr>
          <w:szCs w:val="20"/>
        </w:rPr>
        <w:t>Mouta</w:t>
      </w:r>
      <w:proofErr w:type="spellEnd"/>
      <w:r w:rsidRPr="00BB63D0">
        <w:rPr>
          <w:szCs w:val="20"/>
        </w:rPr>
        <w:t xml:space="preserve"> Vs. Portugal, el Tribunal Europeo concluyó que la orientación sexual es un concepto que se encuentra cubierto por el artículo 14 del Convenio Europeo. Además, reiteró que el listado de categorías que se realiza en dicho artículo es ilustrativo y no exhaustivo. Asimismo, en el Caso </w:t>
      </w:r>
      <w:proofErr w:type="spellStart"/>
      <w:r w:rsidRPr="00326300">
        <w:rPr>
          <w:i/>
          <w:iCs/>
          <w:szCs w:val="20"/>
        </w:rPr>
        <w:t>Clift</w:t>
      </w:r>
      <w:proofErr w:type="spellEnd"/>
      <w:r w:rsidRPr="00326300">
        <w:rPr>
          <w:i/>
          <w:iCs/>
          <w:szCs w:val="20"/>
        </w:rPr>
        <w:t xml:space="preserve"> Vs. Reino Unido</w:t>
      </w:r>
      <w:r w:rsidRPr="00BB63D0">
        <w:rPr>
          <w:szCs w:val="20"/>
        </w:rPr>
        <w:t xml:space="preserve">, el Tribunal Europeo reiteró que la orientación sexual, como una de las categorías que puede ser incluida bajo “otra condición”, es otro ejemplo específico de los que se encuentran en dicho listado, que son consideradas como características personales en el sentido que son innatas o inherentes a la persona. </w:t>
      </w:r>
    </w:p>
    <w:p w14:paraId="20375816" w14:textId="77777777" w:rsidR="007269CF" w:rsidRPr="00BB63D0" w:rsidRDefault="007269CF" w:rsidP="00BB63D0">
      <w:pPr>
        <w:rPr>
          <w:szCs w:val="20"/>
        </w:rPr>
      </w:pPr>
      <w:r w:rsidRPr="00BB63D0">
        <w:rPr>
          <w:szCs w:val="20"/>
        </w:rPr>
        <w:t>88.</w:t>
      </w:r>
      <w:r w:rsidRPr="00BB63D0">
        <w:rPr>
          <w:szCs w:val="20"/>
        </w:rPr>
        <w:tab/>
        <w:t xml:space="preserve">En el marco del Sistema Universal de Protección de Derechos Humanos, el Comité de Derechos Humanos y el Comité de Derechos Económicos, Sociales y Culturales han calificado la orientación sexual como una de las categorías de discriminación prohibida consideradas en el artículo 2.1 del Pacto Internacional de Derechos Civiles y Políticos y el artículo 2.2 del Pacto Internacional de Derechos Económicos, Sociales y Culturales. Al respecto, el Comité de Derechos Humanos indicó en el caso </w:t>
      </w:r>
      <w:proofErr w:type="spellStart"/>
      <w:r w:rsidRPr="00BB63D0">
        <w:rPr>
          <w:szCs w:val="20"/>
        </w:rPr>
        <w:t>Toonen</w:t>
      </w:r>
      <w:proofErr w:type="spellEnd"/>
      <w:r w:rsidRPr="00BB63D0">
        <w:rPr>
          <w:szCs w:val="20"/>
        </w:rPr>
        <w:t xml:space="preserve"> Vs. Australia que la referencia a la categoría “sexo” incluiría la orientación sexual de las personas. Igualmente, el Comité de Derechos Humanos ha expresado su preocupación frente a diversas situaciones discriminatorias relacionadas con la orientación sexual de las personas, lo cual ha sido expresado reiteradamente en sus observaciones finales a los informes presentados por los Estados.</w:t>
      </w:r>
    </w:p>
    <w:p w14:paraId="063AF48D" w14:textId="77777777" w:rsidR="007269CF" w:rsidRPr="00BB63D0" w:rsidRDefault="007269CF" w:rsidP="00BB63D0">
      <w:pPr>
        <w:rPr>
          <w:szCs w:val="20"/>
        </w:rPr>
      </w:pPr>
      <w:r w:rsidRPr="00BB63D0">
        <w:rPr>
          <w:szCs w:val="20"/>
        </w:rPr>
        <w:t>89.</w:t>
      </w:r>
      <w:r w:rsidRPr="00BB63D0">
        <w:rPr>
          <w:szCs w:val="20"/>
        </w:rPr>
        <w:tab/>
        <w:t xml:space="preserve">Por su parte, el Comité de Derechos Económicos, Sociales y Culturales determinó que la orientación sexual puede ser enmarcada bajo “otra condición social”. Asimismo, el Comité de los Derechos del Niño, el Comité contra la Tortura y el Comité para la Eliminación de la Discriminación contra la Mujer han realizado referencias en el marco de sus observaciones generales y recomendaciones, respecto a la inclusión de la orientación sexual como una de las categorías prohibidas de discriminación. </w:t>
      </w:r>
    </w:p>
    <w:p w14:paraId="1EC46D50" w14:textId="77777777" w:rsidR="007269CF" w:rsidRPr="00BB63D0" w:rsidRDefault="007269CF" w:rsidP="00BB63D0">
      <w:pPr>
        <w:rPr>
          <w:szCs w:val="20"/>
        </w:rPr>
      </w:pPr>
      <w:r w:rsidRPr="00BB63D0">
        <w:rPr>
          <w:szCs w:val="20"/>
        </w:rPr>
        <w:t>91.</w:t>
      </w:r>
      <w:r w:rsidRPr="00BB63D0">
        <w:rPr>
          <w:szCs w:val="20"/>
        </w:rPr>
        <w:tab/>
        <w:t xml:space="preserve">Teniendo en cuenta las obligaciones generales de respeto y garantía establecidas en el artículo 1.1 de la Convención Americana, los criterios de interpretación fijados en el artículo 29 de dicha Convención, lo estipulado en la Convención de Viena sobre el Derecho de los Tratados, las Resoluciones de la Asamblea General de la OEA, los estándares establecidos por el Tribunal Europeo y los organismos de Naciones Unidas […], la Corte Interamericana deja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 </w:t>
      </w:r>
    </w:p>
    <w:p w14:paraId="70A2505B" w14:textId="77777777" w:rsidR="007269CF" w:rsidRPr="00BB63D0" w:rsidRDefault="007269CF" w:rsidP="00BB63D0">
      <w:pPr>
        <w:rPr>
          <w:szCs w:val="20"/>
        </w:rPr>
      </w:pPr>
      <w:r w:rsidRPr="00BB63D0">
        <w:rPr>
          <w:szCs w:val="20"/>
        </w:rPr>
        <w:t>92.</w:t>
      </w:r>
      <w:r w:rsidRPr="00BB63D0">
        <w:rPr>
          <w:szCs w:val="20"/>
        </w:rPr>
        <w:tab/>
        <w:t xml:space="preserve">En lo que respecta al argumento del Estado de que para la fecha de emisión de la sentencia de la Corte Suprema no habría existido un consenso respecto a la orientación sexual como categoría prohibida de discriminación, la Corte resalta que </w:t>
      </w:r>
      <w:r w:rsidRPr="00BB63D0">
        <w:rPr>
          <w:szCs w:val="20"/>
        </w:rPr>
        <w:lastRenderedPageBreak/>
        <w:t xml:space="preserve">la presunta falta de un consenso al interior de algunos países sobre el respeto pleno por los derechos de las minorías sexuales no puede ser considerado como un argumento válido para negarles o restringirles sus derechos humanos o para perpetuar y reproducir la discriminación histórica y estructural que estas minorías han sufrido. El hecho de que ésta pudiera ser materia controversial en algunos sectores y países, y que no sea necesariamente materia de consenso no puede conducir al Tribunal a abstenerse de decidir, pues al hacerlo debe remitirse única y exclusivamente a las estipulaciones de las obligaciones internacionales contraídas por decisión soberana de los Estados a través de la Convención Americana. </w:t>
      </w:r>
    </w:p>
    <w:p w14:paraId="1DF1990A" w14:textId="77777777" w:rsidR="007269CF" w:rsidRPr="00BB63D0" w:rsidRDefault="007269CF" w:rsidP="00BB63D0">
      <w:pPr>
        <w:rPr>
          <w:szCs w:val="20"/>
        </w:rPr>
      </w:pPr>
      <w:r w:rsidRPr="00BB63D0">
        <w:rPr>
          <w:szCs w:val="20"/>
        </w:rPr>
        <w:t>93.</w:t>
      </w:r>
      <w:r w:rsidRPr="00BB63D0">
        <w:rPr>
          <w:szCs w:val="20"/>
        </w:rPr>
        <w:tab/>
      </w:r>
      <w:r w:rsidRPr="00326300">
        <w:rPr>
          <w:szCs w:val="20"/>
        </w:rPr>
        <w:t>Un derecho que le está reconocido a las personas no puede ser negado o restringido a nadie y bajo ninguna circunstancia con base en su orientación sexual. Ello violaría</w:t>
      </w:r>
      <w:r w:rsidRPr="00BB63D0">
        <w:rPr>
          <w:szCs w:val="20"/>
        </w:rPr>
        <w:t xml:space="preserve"> el artículo 1.1. de la Convención Americana. El instrumento interamericano proscribe la discriminación, en general, incluyendo en ello categorías como las de la orientación sexual la que no puede servir de sustento para negar o restringir ninguno de los derechos establecidos en la Convención.</w:t>
      </w:r>
    </w:p>
    <w:p w14:paraId="5888D059" w14:textId="77777777" w:rsidR="007269CF" w:rsidRPr="00BB63D0" w:rsidRDefault="007269CF" w:rsidP="00BB63D0">
      <w:pPr>
        <w:rPr>
          <w:szCs w:val="20"/>
        </w:rPr>
      </w:pPr>
      <w:r w:rsidRPr="00BB63D0">
        <w:rPr>
          <w:szCs w:val="20"/>
        </w:rPr>
        <w:t>133.</w:t>
      </w:r>
      <w:r w:rsidRPr="00BB63D0">
        <w:rPr>
          <w:szCs w:val="20"/>
        </w:rPr>
        <w:tab/>
        <w:t xml:space="preserve">La Corte Interamericana considera necesario recalcar que el alcance del derecho a la no discriminación por orientación sexual no se limita a la condición de ser homosexual, en sí misma, sino que incluye su expresión y las consecuencias necesarias en el proyecto de vida de las personas. Al respecto, en el Caso </w:t>
      </w:r>
      <w:proofErr w:type="spellStart"/>
      <w:r w:rsidRPr="00BB63D0">
        <w:rPr>
          <w:szCs w:val="20"/>
        </w:rPr>
        <w:t>Laskey</w:t>
      </w:r>
      <w:proofErr w:type="spellEnd"/>
      <w:r w:rsidRPr="00BB63D0">
        <w:rPr>
          <w:szCs w:val="20"/>
        </w:rPr>
        <w:t xml:space="preserve">, </w:t>
      </w:r>
      <w:proofErr w:type="spellStart"/>
      <w:r w:rsidRPr="00BB63D0">
        <w:rPr>
          <w:szCs w:val="20"/>
        </w:rPr>
        <w:t>Jaggard</w:t>
      </w:r>
      <w:proofErr w:type="spellEnd"/>
      <w:r w:rsidRPr="00BB63D0">
        <w:rPr>
          <w:szCs w:val="20"/>
        </w:rPr>
        <w:t xml:space="preserve"> y Brown Vs. Reino Unido, el Tribunal Europeo de Derechos Humanos estableció que tanto la orientación sexual como su ejercicio son un aspecto relevante de la vida privada.</w:t>
      </w:r>
    </w:p>
    <w:p w14:paraId="13ADDD9F" w14:textId="77777777" w:rsidR="007269CF" w:rsidRPr="00BB63D0" w:rsidRDefault="007269CF" w:rsidP="00BB63D0">
      <w:pPr>
        <w:rPr>
          <w:szCs w:val="20"/>
        </w:rPr>
      </w:pPr>
      <w:r w:rsidRPr="00BB63D0">
        <w:rPr>
          <w:szCs w:val="20"/>
        </w:rPr>
        <w:t>139.</w:t>
      </w:r>
      <w:r w:rsidRPr="00BB63D0">
        <w:rPr>
          <w:szCs w:val="20"/>
        </w:rPr>
        <w:tab/>
        <w:t xml:space="preserve">Al respecto, el Tribunal considera </w:t>
      </w:r>
      <w:r w:rsidRPr="00326300">
        <w:rPr>
          <w:szCs w:val="20"/>
        </w:rPr>
        <w:t>que dentro de la prohibición de discriminación por orientación sexual se deben incluir, como derechos protegidos, las conductas en el ejercicio de la homosexualidad. Ad</w:t>
      </w:r>
      <w:r w:rsidRPr="00BB63D0">
        <w:rPr>
          <w:szCs w:val="20"/>
        </w:rPr>
        <w:t xml:space="preserve">emás, si la orientación sexual es un componente esencial de identidad de la persona, no era razonable exigir a la señora Atala que pospusiera su proyecto de vida y de familia. No se puede considerar como “reprochable o reprobable jurídicamente”, bajo ninguna circunstancia, que la señora Atala haya tomado la decisión de rehacer su vida. Además, no se encontró probado un daño que haya perjudicado a las tres niñas. </w:t>
      </w:r>
    </w:p>
    <w:p w14:paraId="101BD6D6" w14:textId="77777777" w:rsidR="007269CF" w:rsidRPr="00BB63D0" w:rsidRDefault="007269CF" w:rsidP="00BB63D0">
      <w:pPr>
        <w:rPr>
          <w:szCs w:val="20"/>
        </w:rPr>
      </w:pPr>
      <w:r w:rsidRPr="00BB63D0">
        <w:rPr>
          <w:szCs w:val="20"/>
        </w:rPr>
        <w:t>140.</w:t>
      </w:r>
      <w:r w:rsidRPr="00BB63D0">
        <w:rPr>
          <w:szCs w:val="20"/>
        </w:rPr>
        <w:tab/>
        <w:t xml:space="preserve">En consecuencia, la Corte considera que exigirle a la madre que condicionara sus opciones de vida implica utilizar una concepción “tradicional” sobre el rol social de las mujeres como madres, según la cual se espera socialmente que las mujeres lleven la responsabilidad principal en la crianza de sus hijos e hijas y que en pos de esto hubiera debido privilegiar la crianza de los niños y niñas renunciando a un aspecto esencial de su identidad. Por tanto, la Corte considera que bajo esta motivación del supuesto privilegio de los intereses personales de la señora Atala tampoco se cumplía con el objetivo de proteger el interés superior de las tres niñas. </w:t>
      </w:r>
    </w:p>
    <w:p w14:paraId="170D7A74" w14:textId="77777777" w:rsidR="007269CF" w:rsidRPr="00BB63D0" w:rsidRDefault="007269CF" w:rsidP="00BB63D0">
      <w:pPr>
        <w:rPr>
          <w:szCs w:val="20"/>
        </w:rPr>
      </w:pPr>
      <w:r w:rsidRPr="00BB63D0">
        <w:rPr>
          <w:szCs w:val="20"/>
        </w:rPr>
        <w:t>142.</w:t>
      </w:r>
      <w:r w:rsidRPr="00BB63D0">
        <w:rPr>
          <w:szCs w:val="20"/>
        </w:rPr>
        <w:tab/>
        <w:t xml:space="preserve">La Corte constata que en la Convención Americana no se encuentra determinado un concepto cerrado de familia, ni mucho menos se protege sólo un modelo “tradicional” de la misma. Al respecto, el Tribunal reitera que el concepto de vida familiar no está reducido únicamente al matrimonio y debe abarcar otros lazos familiares de hecho donde las partes tienen vida en común por fuera del matrimonio. </w:t>
      </w:r>
    </w:p>
    <w:p w14:paraId="7B1F7C25" w14:textId="77777777" w:rsidR="007269CF" w:rsidRPr="00BB63D0" w:rsidRDefault="007269CF" w:rsidP="00BB63D0">
      <w:pPr>
        <w:rPr>
          <w:szCs w:val="20"/>
        </w:rPr>
      </w:pPr>
      <w:r w:rsidRPr="00BB63D0">
        <w:rPr>
          <w:szCs w:val="20"/>
        </w:rPr>
        <w:t>143.</w:t>
      </w:r>
      <w:r w:rsidRPr="00BB63D0">
        <w:rPr>
          <w:szCs w:val="20"/>
        </w:rPr>
        <w:tab/>
        <w:t xml:space="preserve">En ello es coherente la jurisprudencia internacional. En el caso </w:t>
      </w:r>
      <w:proofErr w:type="spellStart"/>
      <w:r w:rsidRPr="00BB63D0">
        <w:rPr>
          <w:szCs w:val="20"/>
        </w:rPr>
        <w:t>Salgueiro</w:t>
      </w:r>
      <w:proofErr w:type="spellEnd"/>
      <w:r w:rsidRPr="00BB63D0">
        <w:rPr>
          <w:szCs w:val="20"/>
        </w:rPr>
        <w:t xml:space="preserve"> da Silva </w:t>
      </w:r>
      <w:proofErr w:type="spellStart"/>
      <w:r w:rsidRPr="00BB63D0">
        <w:rPr>
          <w:szCs w:val="20"/>
        </w:rPr>
        <w:t>Mouta</w:t>
      </w:r>
      <w:proofErr w:type="spellEnd"/>
      <w:r w:rsidRPr="00BB63D0">
        <w:rPr>
          <w:szCs w:val="20"/>
        </w:rPr>
        <w:t xml:space="preserve"> Vs. Portugal, el Tribunal Europeo consideró que la decisión de un tribunal nacional de retirar a un padre homosexual la custodia de su hija menor de edad, con el argumento que la niña debería vivir en una familia portuguesa tradicional, carecía de relación razonable de proporcionalidad entre la medida tomada (retiro de la custodia) y el fin perseguido (protección del interés superior de la menor de edad).</w:t>
      </w:r>
    </w:p>
    <w:p w14:paraId="01EA86A4" w14:textId="77777777" w:rsidR="007269CF" w:rsidRPr="00BB63D0" w:rsidRDefault="007269CF" w:rsidP="00BB63D0">
      <w:pPr>
        <w:rPr>
          <w:szCs w:val="20"/>
        </w:rPr>
      </w:pPr>
      <w:r w:rsidRPr="00BB63D0">
        <w:rPr>
          <w:szCs w:val="20"/>
        </w:rPr>
        <w:t>144.</w:t>
      </w:r>
      <w:r w:rsidRPr="00BB63D0">
        <w:rPr>
          <w:szCs w:val="20"/>
        </w:rPr>
        <w:tab/>
        <w:t xml:space="preserve">Asimismo, el Tribunal Europeo de Derechos Humanos señaló en el Caso </w:t>
      </w:r>
      <w:proofErr w:type="spellStart"/>
      <w:r w:rsidRPr="00BB63D0">
        <w:rPr>
          <w:szCs w:val="20"/>
        </w:rPr>
        <w:t>Karner</w:t>
      </w:r>
      <w:proofErr w:type="spellEnd"/>
      <w:r w:rsidRPr="00BB63D0">
        <w:rPr>
          <w:szCs w:val="20"/>
        </w:rPr>
        <w:t xml:space="preserve"> Vs. Austria, que: </w:t>
      </w:r>
    </w:p>
    <w:p w14:paraId="1D3BE3F9" w14:textId="77777777" w:rsidR="007269CF" w:rsidRPr="00BB63D0" w:rsidRDefault="007269CF" w:rsidP="00326300">
      <w:pPr>
        <w:pStyle w:val="Citacuerpo"/>
        <w:spacing w:line="240" w:lineRule="auto"/>
      </w:pPr>
      <w:r w:rsidRPr="00BB63D0">
        <w:lastRenderedPageBreak/>
        <w:t>El objetivo de proteger la familia en el sentido tradicional es más bien abstracto y una amplia variedad de medidas concretas pueden utilizarse para implementarlo […] como es el caso cuando hay una diferencia de trato basada en el sexo o en la orientación sexual, el principio de proporcionalidad no solamente requiere que la medida escogida sea, en principio, adecuada para el cumplimiento del objetivo buscado. También se debe demostrar que era necesario excluir a ciertas categorías de personas para lograr ese objetivo.</w:t>
      </w:r>
    </w:p>
    <w:p w14:paraId="1DA58940" w14:textId="77777777" w:rsidR="007269CF" w:rsidRPr="00BB63D0" w:rsidRDefault="007269CF" w:rsidP="00BB63D0">
      <w:pPr>
        <w:rPr>
          <w:szCs w:val="20"/>
        </w:rPr>
      </w:pPr>
      <w:r w:rsidRPr="00BB63D0">
        <w:rPr>
          <w:szCs w:val="20"/>
        </w:rPr>
        <w:t>220.</w:t>
      </w:r>
      <w:r w:rsidRPr="00BB63D0">
        <w:rPr>
          <w:szCs w:val="20"/>
        </w:rPr>
        <w:tab/>
        <w:t xml:space="preserve">El Estado alegó que, finalmente, el “llamado de atención” de la Corte de Temuco se basó “exclusivamente” en “la utilización de elementos y personal para cumplir diligencias decretadas” por el Juzgado a cargo del proceso de tuición, por lo cual la señora Atala no habría sido sancionada, según ese alegato, por un hecho relacionado con su orientación sexual. No obstante, el Tribunal constata que en el informe realizado por el ministro visitador, el cual fue posteriormente aprobado por la Corte Apelaciones de Temuco y con base en el cual se formularon cargos en contra de la señora Atala, se manifestó que “no se puede soslayar el hecho de que su peculiar relación afectiva ha trascendido el ámbito privado al aparecer las publicaciones señaladas precedentemente, lo que claramente daña la imagen tanto de la [señora] Atala como del Poder Judicial. Todo lo anterior reviste una gravedad que merece ser observada por el […] Tribunal”. Por tanto, si bien la señora Atala no fue sancionada expresamente por la Corte de Temuco por su orientación sexual, ese aspecto fue parte de las consideraciones incorporadas en el informe del ministro visitador, las que no fueron desautorizadas ni cuestionadas por la Corte de Temuco. </w:t>
      </w:r>
    </w:p>
    <w:p w14:paraId="728F12CC" w14:textId="77777777" w:rsidR="007269CF" w:rsidRPr="00BB63D0" w:rsidRDefault="007269CF" w:rsidP="00BB63D0">
      <w:pPr>
        <w:rPr>
          <w:szCs w:val="20"/>
        </w:rPr>
      </w:pPr>
      <w:r w:rsidRPr="00BB63D0">
        <w:rPr>
          <w:szCs w:val="20"/>
        </w:rPr>
        <w:t>221.</w:t>
      </w:r>
      <w:r w:rsidRPr="00BB63D0">
        <w:rPr>
          <w:szCs w:val="20"/>
        </w:rPr>
        <w:tab/>
        <w:t>Ahora bien, respecto al fin legítimo que se perseguía con dicha investigación, en el informe presentado no fue precisado con claridad cuál era el fin de la visita respecto a la indagación de la orientación sexual, por cuanto sólo se hizo referencia a las noticias de prensa que se habían publicado. En este sentido, si bien el fin legítimo no fue explicitado en el reporte, de lo expresado en el informe se podría llegar a inferir que mediante la indagación respecto a la orientación sexual de la señora Atala se buscaba proteger la “imagen del poder judicial”. Sin embargo, la alegada protección de la “imagen del poder judicial” no puede justificar una diferencia de trato basada en la orientación sexual. Además, el fin que se invoque al efectuar una diferencia de trato de este tipo debe ser concreto y no abstracto. En el caso concreto, el Tribunal no observa relación alguna entre un deseo de proteger la “imagen del poder judicial” y la orientación sexual de la señora Atala. La orientación sexual o su ejercicio no pueden constituir, bajo ninguna circunstancia, fundamento para llevar a cabo un proceso disciplinario, pues no existe relación alguna entre el correcto desempeño de la labor profesional de la persona y su orientación sexual.</w:t>
      </w:r>
    </w:p>
    <w:p w14:paraId="6DD12D81" w14:textId="6E8692EE" w:rsidR="007269CF" w:rsidRPr="00326300" w:rsidRDefault="007269CF" w:rsidP="00BB63D0">
      <w:pPr>
        <w:rPr>
          <w:szCs w:val="20"/>
        </w:rPr>
      </w:pPr>
      <w:r w:rsidRPr="00BB63D0">
        <w:rPr>
          <w:szCs w:val="20"/>
        </w:rPr>
        <w:t>222.</w:t>
      </w:r>
      <w:r w:rsidRPr="00BB63D0">
        <w:rPr>
          <w:szCs w:val="20"/>
        </w:rPr>
        <w:tab/>
        <w:t>Por tanto, al ser discriminatoria una diferenciación en una indagación disciplinaria relacionada con su orientación sexual, la Corte concluye que el Estado vulneró el artículo 24 en relación con el artículo 1.1 de la Convención Americana en perjuicio de Karen Atala Riffo.</w:t>
      </w:r>
    </w:p>
    <w:p w14:paraId="0CCB927F" w14:textId="77777777" w:rsidR="007269CF" w:rsidRPr="00BB63D0" w:rsidRDefault="007269CF" w:rsidP="00BB63D0">
      <w:pPr>
        <w:rPr>
          <w:b/>
          <w:szCs w:val="20"/>
        </w:rPr>
      </w:pPr>
      <w:r w:rsidRPr="00BB63D0">
        <w:rPr>
          <w:b/>
          <w:szCs w:val="20"/>
        </w:rPr>
        <w:t>Corte IDH. Caso Duque Vs. Colombia. Excepciones Preliminares, Fondo, Reparaciones y Costas. Sentencia de 26 de febrero de 2016. Serie C No. 310</w:t>
      </w:r>
      <w:r w:rsidRPr="00BB63D0">
        <w:rPr>
          <w:rStyle w:val="Refdenotaalpie"/>
          <w:b/>
          <w:szCs w:val="20"/>
        </w:rPr>
        <w:footnoteReference w:id="35"/>
      </w:r>
    </w:p>
    <w:p w14:paraId="78BFC383" w14:textId="77777777" w:rsidR="007269CF" w:rsidRPr="00BB63D0" w:rsidRDefault="007269CF" w:rsidP="00BB63D0">
      <w:pPr>
        <w:rPr>
          <w:szCs w:val="20"/>
        </w:rPr>
      </w:pPr>
      <w:r w:rsidRPr="00BB63D0">
        <w:rPr>
          <w:szCs w:val="20"/>
        </w:rPr>
        <w:lastRenderedPageBreak/>
        <w:t>104.</w:t>
      </w:r>
      <w:r w:rsidRPr="00BB63D0">
        <w:rPr>
          <w:szCs w:val="20"/>
        </w:rPr>
        <w:tab/>
        <w:t xml:space="preserve">La Corte Interamericana ya ha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 </w:t>
      </w:r>
    </w:p>
    <w:p w14:paraId="6FBC6D53" w14:textId="77777777" w:rsidR="007269CF" w:rsidRPr="00BB63D0" w:rsidRDefault="007269CF" w:rsidP="00BB63D0">
      <w:pPr>
        <w:rPr>
          <w:szCs w:val="20"/>
        </w:rPr>
      </w:pPr>
      <w:r w:rsidRPr="00BB63D0">
        <w:rPr>
          <w:szCs w:val="20"/>
        </w:rPr>
        <w:t>105.</w:t>
      </w:r>
      <w:r w:rsidRPr="00BB63D0">
        <w:rPr>
          <w:szCs w:val="20"/>
        </w:rPr>
        <w:tab/>
        <w:t>En ese sentido, el instrumento interamericano proscribe la discriminación, en general, incluyendo en ello categorías como las de la orientación sexual la que no puede servir de sustento para negar o restringir ninguno de los derechos establecidos en la Convención. Lo anterior sería contrario a lo establecido en el artículo 1.1. de la Convención Americana.</w:t>
      </w:r>
    </w:p>
    <w:p w14:paraId="2ABB095B" w14:textId="77777777" w:rsidR="007269CF" w:rsidRPr="00BB63D0" w:rsidRDefault="007269CF" w:rsidP="00BB63D0">
      <w:pPr>
        <w:rPr>
          <w:szCs w:val="20"/>
        </w:rPr>
      </w:pPr>
      <w:r w:rsidRPr="00BB63D0">
        <w:rPr>
          <w:szCs w:val="20"/>
        </w:rPr>
        <w:t>106.</w:t>
      </w:r>
      <w:r w:rsidRPr="00BB63D0">
        <w:rPr>
          <w:szCs w:val="20"/>
        </w:rPr>
        <w:tab/>
        <w:t xml:space="preserve">Con respecto a lo anterior, la Corte ha determinado que una diferencia de trato es discriminatoria cuando la misma no tiene una justificación objetiva y razonable, es decir, cuando no persigue un fin legítimo y no existe una relación razonable de proporcionalidad entre los medios utilizados y el fin perseguido. Asimismo, este Tribunal estableció que tratándose de la prohibición de discriminación por una de las categorías protegidas contempladas en el artículo 1.1 de la Convención, la eventual restricción de un derecho exige una fundamentación rigurosa, lo cual implica que las razones utilizadas por el Estado para realizar la diferenciación de trato deben ser particularmente serias y estar sustentadas en una argumentación exhaustiva. </w:t>
      </w:r>
    </w:p>
    <w:p w14:paraId="6462B9CE" w14:textId="77777777" w:rsidR="007269CF" w:rsidRPr="00BB63D0" w:rsidRDefault="007269CF" w:rsidP="00BB63D0">
      <w:pPr>
        <w:rPr>
          <w:szCs w:val="20"/>
        </w:rPr>
      </w:pPr>
      <w:r w:rsidRPr="00BB63D0">
        <w:rPr>
          <w:szCs w:val="20"/>
        </w:rPr>
        <w:t>107.</w:t>
      </w:r>
      <w:r w:rsidRPr="00BB63D0">
        <w:rPr>
          <w:szCs w:val="20"/>
        </w:rPr>
        <w:tab/>
        <w:t xml:space="preserve">En el presente caso, el Estado no brindó una explicación sobre la necesidad social imperiosa o la finalidad de la diferencia de trato, ni sobre por qué el hecho de recurrir a esa diferenciación es el único método para alcanzar esa finalidad. </w:t>
      </w:r>
    </w:p>
    <w:p w14:paraId="3A7EF432" w14:textId="77777777" w:rsidR="007269CF" w:rsidRPr="00BB63D0" w:rsidRDefault="007269CF" w:rsidP="00BB63D0">
      <w:pPr>
        <w:rPr>
          <w:szCs w:val="20"/>
        </w:rPr>
      </w:pPr>
      <w:r w:rsidRPr="00BB63D0">
        <w:rPr>
          <w:szCs w:val="20"/>
        </w:rPr>
        <w:t>124.</w:t>
      </w:r>
      <w:r w:rsidRPr="00BB63D0">
        <w:rPr>
          <w:szCs w:val="20"/>
        </w:rPr>
        <w:tab/>
        <w:t>En el presente caso, se puede concluir que el Estado no presentó una justificación objetiva y razonable para que exista una restricción en el acceso a una pensión de sobrevivencia basada en la orientación sexual. En consecuencia, la Corte encuentra que la diferenciación establecida en los artículos 1 de la Ley 54 de 1990 y 10 del decreto 1889 de 1994 con fundamento en la orientación sexual para el acceso a las pensiones de sobrevivencia es discriminatoria y viola lo establecido en el artículo 24 de la Convención Americana.</w:t>
      </w:r>
    </w:p>
    <w:p w14:paraId="336AEC45" w14:textId="77777777" w:rsidR="007269CF" w:rsidRPr="00BB63D0" w:rsidRDefault="007269CF" w:rsidP="00BB63D0">
      <w:pPr>
        <w:rPr>
          <w:szCs w:val="20"/>
        </w:rPr>
      </w:pPr>
      <w:r w:rsidRPr="00BB63D0">
        <w:rPr>
          <w:szCs w:val="20"/>
        </w:rPr>
        <w:t>125.</w:t>
      </w:r>
      <w:r w:rsidRPr="00BB63D0">
        <w:rPr>
          <w:szCs w:val="20"/>
        </w:rPr>
        <w:tab/>
        <w:t xml:space="preserve">Por tanto, la Corte encuentra que la existencia de una normatividad interna vigente en el año 2002 que no permitía el pago de pensiones a parejas del mismo sexo, era una diferencia de trato que vulneraba el derecho a la igualdad y no discriminación, por lo que constituyó efectivamente un hecho ilícito internacional. Adicionalmente a lo anterior, ese hecho ilícito internacional afectó al señor Duque, en la medida que esas normas internas le fueron aplicadas por medio de la respuesta del COLFONDOS a su gestión al respecto y por la sentencia de tutela del Juzgado Décimo Civil Municipal de Bogotá y la sentencia del Juzgado Doce Civil del Circuito de Bogotá […]. </w:t>
      </w:r>
    </w:p>
    <w:p w14:paraId="27F6DF32" w14:textId="77777777" w:rsidR="007269CF" w:rsidRPr="00BB63D0" w:rsidRDefault="007269CF" w:rsidP="00BB63D0">
      <w:pPr>
        <w:rPr>
          <w:szCs w:val="20"/>
        </w:rPr>
      </w:pPr>
      <w:r w:rsidRPr="00BB63D0">
        <w:rPr>
          <w:szCs w:val="20"/>
        </w:rPr>
        <w:t>159.</w:t>
      </w:r>
      <w:r w:rsidRPr="00BB63D0">
        <w:rPr>
          <w:szCs w:val="20"/>
        </w:rPr>
        <w:tab/>
        <w:t>El artículo 8.1 de la Convención garantiza que las decisiones en las cuales se determinen derechos de las personas deben ser adoptadas por las autoridades competentes que la ley interna determine y bajo el procedimiento dispuesto para ello.</w:t>
      </w:r>
    </w:p>
    <w:p w14:paraId="44DD499F" w14:textId="77777777" w:rsidR="007269CF" w:rsidRPr="00BB63D0" w:rsidRDefault="007269CF" w:rsidP="00BB63D0">
      <w:pPr>
        <w:rPr>
          <w:szCs w:val="20"/>
        </w:rPr>
      </w:pPr>
      <w:r w:rsidRPr="00BB63D0">
        <w:rPr>
          <w:szCs w:val="20"/>
        </w:rPr>
        <w:t>160.</w:t>
      </w:r>
      <w:r w:rsidRPr="00BB63D0">
        <w:rPr>
          <w:szCs w:val="20"/>
        </w:rPr>
        <w:tab/>
        <w:t xml:space="preserve">Ha sido alegado que la acción de tutela y la apelación no fueron debidamente analizados por las instancias judiciales sino que se rechazaron con base en una interpretación dogmática y formalista de la normativa vigente; además se ha señalado que estos procesos judiciales perpetuaron con sus decisiones los prejuicios y estigmatización de las parejas del mismo sexo, al reafirmar una percepción limitada </w:t>
      </w:r>
      <w:r w:rsidRPr="00BB63D0">
        <w:rPr>
          <w:szCs w:val="20"/>
        </w:rPr>
        <w:lastRenderedPageBreak/>
        <w:t xml:space="preserve">y estereotipada del concepto de familia vinculada exclusivamente con la conservación de la especie y la procreación de los hijos. </w:t>
      </w:r>
    </w:p>
    <w:p w14:paraId="785E2509" w14:textId="77777777" w:rsidR="007269CF" w:rsidRPr="00BB63D0" w:rsidRDefault="007269CF" w:rsidP="00BB63D0">
      <w:pPr>
        <w:rPr>
          <w:szCs w:val="20"/>
        </w:rPr>
      </w:pPr>
      <w:r w:rsidRPr="00BB63D0">
        <w:rPr>
          <w:szCs w:val="20"/>
        </w:rPr>
        <w:t>161.</w:t>
      </w:r>
      <w:r w:rsidRPr="00BB63D0">
        <w:rPr>
          <w:szCs w:val="20"/>
        </w:rPr>
        <w:tab/>
        <w:t>Al respecto, el Estado alegó que los jueces aplicaron la normativa vigente al momento de los hechos, sin que existiera en ese momento jurisprudencia nacional o internacional que estableciera la obligación de reconocer pensiones de sobrevivientes a las parejas del mismo sexo.</w:t>
      </w:r>
    </w:p>
    <w:p w14:paraId="4EBFC706" w14:textId="77777777" w:rsidR="007269CF" w:rsidRPr="00BB63D0" w:rsidRDefault="007269CF" w:rsidP="00BB63D0">
      <w:pPr>
        <w:rPr>
          <w:szCs w:val="20"/>
        </w:rPr>
      </w:pPr>
      <w:r w:rsidRPr="00BB63D0">
        <w:rPr>
          <w:szCs w:val="20"/>
        </w:rPr>
        <w:t>162.</w:t>
      </w:r>
      <w:r w:rsidRPr="00BB63D0">
        <w:rPr>
          <w:szCs w:val="20"/>
        </w:rPr>
        <w:tab/>
        <w:t xml:space="preserve">La Corte reitera que el derecho a ser juzgado por un juez o tribunal imparcial es una garantía fundamental del debido proceso, debiéndose garantizar que el juez o tribunal en el ejercicio de su función como juzgador cuente con la mayor objetividad para enfrentar el juicio. Este Tribunal ha establecido que la imparcialidad exige que el juez que interviene en una contienda particular se aproxime a los hechos de la causa careciendo, de manera subjetiva, de todo prejuicio y, asimismo, ofreciendo garantías suficientes de índole objetiva que inspiren la confianza necesaria a las partes en el caso, así como a los ciudadanos en una sociedad democrática. La imparcialidad del tribunal implica que sus integrantes no tengan un interés directo, una posición tomada, una preferencia por alguna de las partes y que no se encuentren involucrados en la controversia. Ello puesto que el juez debe aparecer como actuando sin estar sujeto a influencia, aliciente, presión, amenaza o intromisión, directa o indirecta, sino única y exclusivamente conforme a -y movido por- el Derecho. </w:t>
      </w:r>
    </w:p>
    <w:p w14:paraId="2E431BA7" w14:textId="77777777" w:rsidR="007269CF" w:rsidRPr="00BB63D0" w:rsidRDefault="007269CF" w:rsidP="00BB63D0">
      <w:pPr>
        <w:rPr>
          <w:szCs w:val="20"/>
        </w:rPr>
      </w:pPr>
      <w:r w:rsidRPr="00BB63D0">
        <w:rPr>
          <w:szCs w:val="20"/>
        </w:rPr>
        <w:t>163.</w:t>
      </w:r>
      <w:r w:rsidRPr="00BB63D0">
        <w:rPr>
          <w:szCs w:val="20"/>
        </w:rPr>
        <w:tab/>
        <w:t>La Corte reitera que la imparcialidad personal de un juez debe ser presumida, salvo prueba en contrario. Para el análisis de la imparcialidad subjetiva, el Tribunal debe intentar averiguar los intereses o motivaciones personales del juez en un determinado caso. En cuanto al tipo de evidencia que se necesita para probar la imparcialidad subjetiva, el Tribunal Europeo ha indicado que se debe tratar de determinar si el juez ha manifestado hostilidad o si ha hecho que el caso sea asignado a él por razones personales.</w:t>
      </w:r>
    </w:p>
    <w:p w14:paraId="5F88B3C7" w14:textId="77777777" w:rsidR="007269CF" w:rsidRPr="00BB63D0" w:rsidRDefault="007269CF" w:rsidP="00BB63D0">
      <w:pPr>
        <w:rPr>
          <w:szCs w:val="20"/>
        </w:rPr>
      </w:pPr>
      <w:r w:rsidRPr="00BB63D0">
        <w:rPr>
          <w:szCs w:val="20"/>
        </w:rPr>
        <w:t>164.</w:t>
      </w:r>
      <w:r w:rsidRPr="00BB63D0">
        <w:rPr>
          <w:szCs w:val="20"/>
        </w:rPr>
        <w:tab/>
        <w:t>En el presente caso, la Corte advierte que la resolución de la tutela y de la apelación presentaron argumentos respecto a la procedencia legal del otorgamiento de las pensiones a personas del mismo sexo, basándose en la normativa colombiana vigente al momento de los hechos. La Corte considera que de la lectura integral de las resoluciones de tutela y de apelación no se desprende que la fundamentación de las mismas haya tomado en consideración como principal y factor determinante la orientación sexual del señor Duque o se haya basado de forma preponderante en un estereotipo en su contra debido a su orientación sexual. Por el contrario, consta que los órganos judiciales se remitieron de forma principal a lo establecido en los artículos 1 de la Ley 54 de 1990 y 10 del decreto 1889 de 1994 […] para concluir que al señor Duque no le correspondía acceder a la pensión de sobrevivencia. Por otra parte, las resoluciones de tutela y apelación establecieron que la vía de la tutela no era la idónea y señalaron los recursos en la vía ordinaria que debían interponerse, sin que se pueda concluir que el sentido de los fallos tuvo como base principal creencias estereotipadas de los jueces.</w:t>
      </w:r>
    </w:p>
    <w:p w14:paraId="1A65B888" w14:textId="77777777" w:rsidR="007269CF" w:rsidRPr="00BB63D0" w:rsidRDefault="007269CF" w:rsidP="00BB63D0">
      <w:pPr>
        <w:rPr>
          <w:szCs w:val="20"/>
        </w:rPr>
      </w:pPr>
      <w:r w:rsidRPr="00BB63D0">
        <w:rPr>
          <w:szCs w:val="20"/>
        </w:rPr>
        <w:t>165.</w:t>
      </w:r>
      <w:r w:rsidRPr="00BB63D0">
        <w:rPr>
          <w:szCs w:val="20"/>
        </w:rPr>
        <w:tab/>
        <w:t xml:space="preserve">La Corte resalta que una violación del artículo 8.1 de la Convención por la presunta falta de imparcialidad judicial de los jueces debe establecerse a partir de elementos probatorios específicos y concretos que indiquen que se está efectivamente ante un caso en el que los jueces claramente se han dejado influenciar por aspectos o criterios ajenos a las normas legales. En el presente caso, el Tribunal considera que no es posible concluir que las autoridades hayan actuado esencialmente y de forma principal con fundamento en otros aspectos más allá de lo expresamente establecido en leyes colombianas. Además, la Corte no cuenta con elementos que le permitan considerar que las autoridades judiciales actuaron con ausencia de imparcialidad o conforme a prejuicios o estereotipos relacionados con la </w:t>
      </w:r>
      <w:r w:rsidRPr="00BB63D0">
        <w:rPr>
          <w:szCs w:val="20"/>
        </w:rPr>
        <w:lastRenderedPageBreak/>
        <w:t>orientación sexual del señor Duque que habrían influenciado de manera central y decisiva su decisión.</w:t>
      </w:r>
    </w:p>
    <w:p w14:paraId="4B64E7B6" w14:textId="77777777" w:rsidR="007269CF" w:rsidRPr="00BB63D0" w:rsidRDefault="007269CF" w:rsidP="00BB63D0">
      <w:pPr>
        <w:rPr>
          <w:szCs w:val="20"/>
        </w:rPr>
      </w:pPr>
      <w:r w:rsidRPr="00BB63D0">
        <w:rPr>
          <w:szCs w:val="20"/>
        </w:rPr>
        <w:t>166.</w:t>
      </w:r>
      <w:r w:rsidRPr="00BB63D0">
        <w:rPr>
          <w:szCs w:val="20"/>
        </w:rPr>
        <w:tab/>
        <w:t>En consecuencia, la Corte concluye que el Estado no es responsable por la violación de las garantías judiciales establecidas en el artículo 8.1 de la Convención.</w:t>
      </w:r>
    </w:p>
    <w:p w14:paraId="791A14B2" w14:textId="77777777" w:rsidR="007269CF" w:rsidRPr="00BB63D0" w:rsidRDefault="007269CF" w:rsidP="00BB63D0">
      <w:pPr>
        <w:rPr>
          <w:b/>
          <w:szCs w:val="20"/>
        </w:rPr>
      </w:pPr>
      <w:r w:rsidRPr="00BB63D0">
        <w:rPr>
          <w:b/>
          <w:szCs w:val="20"/>
        </w:rPr>
        <w:t>Corte IDH. Caso Flor Freire Vs. Ecuador. Excepción Preliminar, Fondo, Reparaciones y Costas. Sentencia de 31 de agosto de 2016. Serie C No. 315</w:t>
      </w:r>
    </w:p>
    <w:p w14:paraId="7898D9DC" w14:textId="77777777" w:rsidR="007269CF" w:rsidRPr="00BB63D0" w:rsidRDefault="007269CF" w:rsidP="00BB63D0">
      <w:pPr>
        <w:rPr>
          <w:szCs w:val="20"/>
          <w:lang w:val="es-CO"/>
        </w:rPr>
      </w:pPr>
      <w:r w:rsidRPr="00BB63D0">
        <w:rPr>
          <w:szCs w:val="20"/>
          <w:lang w:val="es-CO"/>
        </w:rPr>
        <w:t>103.</w:t>
      </w:r>
      <w:r w:rsidRPr="00BB63D0">
        <w:rPr>
          <w:szCs w:val="20"/>
          <w:lang w:val="es-CO"/>
        </w:rPr>
        <w:tab/>
        <w:t xml:space="preserve">La Corte advierte que el señor Flor Freire niega la ocurrencia del acto sexual con otro hombre y ha afirmado de manera consistente que no se identifica como homosexual. Al respecto, este Tribunal recuerda que la orientación sexual de una persona se encuentra ligada al concepto de libertad y la posibilidad de toda persona de </w:t>
      </w:r>
      <w:proofErr w:type="spellStart"/>
      <w:r w:rsidRPr="00BB63D0">
        <w:rPr>
          <w:szCs w:val="20"/>
          <w:lang w:val="es-CO"/>
        </w:rPr>
        <w:t>autodeterminarse</w:t>
      </w:r>
      <w:proofErr w:type="spellEnd"/>
      <w:r w:rsidRPr="00BB63D0">
        <w:rPr>
          <w:szCs w:val="20"/>
          <w:lang w:val="es-CO"/>
        </w:rPr>
        <w:t xml:space="preserve"> y escoger libremente las circunstancias que le dan sentido a su existencia, conforme a sus propias opciones y convicciones. En este sentido, la orientación sexual de una persona dependerá de cómo esta se </w:t>
      </w:r>
      <w:proofErr w:type="spellStart"/>
      <w:r w:rsidRPr="00BB63D0">
        <w:rPr>
          <w:szCs w:val="20"/>
          <w:lang w:val="es-CO"/>
        </w:rPr>
        <w:t>autoidentifique</w:t>
      </w:r>
      <w:proofErr w:type="spellEnd"/>
      <w:r w:rsidRPr="00BB63D0">
        <w:rPr>
          <w:szCs w:val="20"/>
          <w:lang w:val="es-CO"/>
        </w:rPr>
        <w:t>. Por tanto, para esta Corte, la manera como el señor Flor Freire se identifica es lo único relevante al momento de definir su orientación sexual. No obstante, la Corte advierte que, a efectos de la decisión en el presente caso, es necesario dilucidar si hubo discriminación contra la presunta víctima en el proceso de separación de las fuerzas armadas en virtud de una orientación sexual diversa, fuera esta real o percibida. Lo que corresponde es determinar si las medidas y acciones del Estado frente a estos hechos comprometen la responsabilidad internacional del Estado, en virtud del alegado carácter discriminatorio de la norma aplicada al señor Flor Freire.</w:t>
      </w:r>
    </w:p>
    <w:p w14:paraId="1AEACE07" w14:textId="77777777" w:rsidR="007269CF" w:rsidRPr="00BB63D0" w:rsidRDefault="007269CF" w:rsidP="00BB63D0">
      <w:pPr>
        <w:rPr>
          <w:szCs w:val="20"/>
          <w:lang w:val="es-CO"/>
        </w:rPr>
      </w:pPr>
      <w:r w:rsidRPr="00BB63D0">
        <w:rPr>
          <w:szCs w:val="20"/>
          <w:lang w:val="es-CO"/>
        </w:rPr>
        <w:t>110.</w:t>
      </w:r>
      <w:r w:rsidRPr="00BB63D0">
        <w:rPr>
          <w:szCs w:val="20"/>
          <w:lang w:val="es-CO"/>
        </w:rPr>
        <w:tab/>
        <w:t>Además, este Tribunal ha establecido que los Estados deben abstenerse de realizar acciones que de cualquier manera vayan dirigidas, directa o indirectamente, a crear situaciones de discriminación de jure o de facto.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p>
    <w:p w14:paraId="3CEE94D2" w14:textId="77777777" w:rsidR="007269CF" w:rsidRPr="00BB63D0" w:rsidRDefault="007269CF" w:rsidP="00BB63D0">
      <w:pPr>
        <w:rPr>
          <w:szCs w:val="20"/>
          <w:lang w:val="es-CO"/>
        </w:rPr>
      </w:pPr>
      <w:r w:rsidRPr="00BB63D0">
        <w:rPr>
          <w:szCs w:val="20"/>
          <w:lang w:val="es-CO"/>
        </w:rPr>
        <w:t>118.</w:t>
      </w:r>
      <w:r w:rsidRPr="00BB63D0">
        <w:rPr>
          <w:szCs w:val="20"/>
          <w:lang w:val="es-CO"/>
        </w:rPr>
        <w:tab/>
        <w:t>La Corte Interamericana ya ha establecido que la orientación sexual de las personas es una categoría protegida por la Convención. En consecuencia, ninguna norma, decisión o práctica de derecho interno, sea por parte de autoridades estatales o por particulares, pueden disminuir o restringir, de modo alguno, los derechos de una persona a partir de su orientación sexual, sea esta real o percibida, pues ello sería contrario a lo establecido en el artículo 1.1 de la Convención Americana.</w:t>
      </w:r>
    </w:p>
    <w:p w14:paraId="27D0118F" w14:textId="77777777" w:rsidR="007269CF" w:rsidRPr="00BB63D0" w:rsidRDefault="007269CF" w:rsidP="00BB63D0">
      <w:pPr>
        <w:rPr>
          <w:szCs w:val="20"/>
          <w:lang w:val="es-CO"/>
        </w:rPr>
      </w:pPr>
      <w:r w:rsidRPr="00BB63D0">
        <w:rPr>
          <w:szCs w:val="20"/>
          <w:lang w:val="es-CO"/>
        </w:rPr>
        <w:t>119.</w:t>
      </w:r>
      <w:r w:rsidRPr="00BB63D0">
        <w:rPr>
          <w:szCs w:val="20"/>
          <w:lang w:val="es-CO"/>
        </w:rPr>
        <w:tab/>
        <w:t xml:space="preserve">Adicionalmente, este Tribunal ha establecido que el alcance del derecho a la no discriminación por orientación sexual no se limita a la condición de homosexual en sí misma, sino que incluye su expresión y las consecuencias necesarias en el proyecto de vida de las personas. En este sentido, los actos sexuales son una manera de expresar la orientación sexual de la persona, por lo que se encuentran protegidos dentro del mismo derecho a la no discriminación por orientación sexual. </w:t>
      </w:r>
    </w:p>
    <w:p w14:paraId="743E698C" w14:textId="77777777" w:rsidR="007269CF" w:rsidRPr="00BB63D0" w:rsidRDefault="007269CF" w:rsidP="00BB63D0">
      <w:pPr>
        <w:rPr>
          <w:szCs w:val="20"/>
          <w:lang w:val="es-CO"/>
        </w:rPr>
      </w:pPr>
      <w:r w:rsidRPr="00BB63D0">
        <w:rPr>
          <w:szCs w:val="20"/>
          <w:lang w:val="es-CO"/>
        </w:rPr>
        <w:t>120.</w:t>
      </w:r>
      <w:r w:rsidRPr="00BB63D0">
        <w:rPr>
          <w:szCs w:val="20"/>
          <w:lang w:val="es-CO"/>
        </w:rPr>
        <w:tab/>
        <w:t>La Corte advierte que la discriminación puede tener fundamento en una orientación sexual real o percibida. Este Tribunal ya ha señalado que “[e]s posible que una persona resulte discriminada con motivo de la percepción que otras tengan acerca de su relación con un grupo o sector social, independientemente de que ello corresponda con la realidad o con la auto-identificación de la víctima”</w:t>
      </w:r>
      <w:r w:rsidRPr="00BB63D0">
        <w:rPr>
          <w:rStyle w:val="Refdenotaalpie"/>
          <w:szCs w:val="20"/>
          <w:lang w:val="es-CO"/>
        </w:rPr>
        <w:t xml:space="preserve"> </w:t>
      </w:r>
      <w:r w:rsidRPr="00BB63D0">
        <w:rPr>
          <w:rStyle w:val="Refdenotaalpie"/>
          <w:szCs w:val="20"/>
          <w:lang w:val="es-CO"/>
        </w:rPr>
        <w:footnoteReference w:id="36"/>
      </w:r>
      <w:r w:rsidRPr="00BB63D0">
        <w:rPr>
          <w:szCs w:val="20"/>
          <w:lang w:val="es-CO"/>
        </w:rPr>
        <w:t xml:space="preserve">. La </w:t>
      </w:r>
      <w:r w:rsidRPr="00BB63D0">
        <w:rPr>
          <w:szCs w:val="20"/>
          <w:lang w:val="es-CO"/>
        </w:rPr>
        <w:lastRenderedPageBreak/>
        <w:t xml:space="preserve">discriminación por percepción tiene el efecto o propósito de impedir o anular el reconocimiento, goce o ejercicio de los derechos humanos y libertades fundamentales de la persona objeto de dicha discriminación, independientemente de si dicha persona se </w:t>
      </w:r>
      <w:proofErr w:type="spellStart"/>
      <w:r w:rsidRPr="00BB63D0">
        <w:rPr>
          <w:szCs w:val="20"/>
          <w:lang w:val="es-CO"/>
        </w:rPr>
        <w:t>autoidentifica</w:t>
      </w:r>
      <w:proofErr w:type="spellEnd"/>
      <w:r w:rsidRPr="00BB63D0">
        <w:rPr>
          <w:szCs w:val="20"/>
          <w:lang w:val="es-CO"/>
        </w:rPr>
        <w:t xml:space="preserve"> o no con una determinada categoría. Al igual que otras formas de discriminación, la persona es reducida a la única característica que se le imputa, sin que importen otras condiciones personales. Esta disminución de la identidad se concreta en un trato diferenciado y así, en la vulneración de los derechos de quien lo sufre. </w:t>
      </w:r>
    </w:p>
    <w:p w14:paraId="19640E75" w14:textId="77777777" w:rsidR="007269CF" w:rsidRPr="00BB63D0" w:rsidRDefault="007269CF" w:rsidP="00BB63D0">
      <w:pPr>
        <w:rPr>
          <w:szCs w:val="20"/>
          <w:lang w:val="es-CO"/>
        </w:rPr>
      </w:pPr>
      <w:r w:rsidRPr="00BB63D0">
        <w:rPr>
          <w:szCs w:val="20"/>
          <w:lang w:val="es-CO"/>
        </w:rPr>
        <w:t>121.</w:t>
      </w:r>
      <w:r w:rsidRPr="00BB63D0">
        <w:rPr>
          <w:szCs w:val="20"/>
          <w:lang w:val="es-CO"/>
        </w:rPr>
        <w:tab/>
        <w:t>En el mismo sentido, el Comité de Derechos Económicos, Sociales y Culturales ha señalado que:</w:t>
      </w:r>
    </w:p>
    <w:p w14:paraId="2E8B55E1" w14:textId="77777777" w:rsidR="007269CF" w:rsidRPr="00BB63D0" w:rsidRDefault="007269CF" w:rsidP="00326300">
      <w:pPr>
        <w:pStyle w:val="Citacuerpo"/>
        <w:rPr>
          <w:lang w:val="es-CO"/>
        </w:rPr>
      </w:pPr>
      <w:r w:rsidRPr="00BB63D0">
        <w:rPr>
          <w:lang w:val="es-CO"/>
        </w:rPr>
        <w:t xml:space="preserve">Al determinar si alguien está comprendido en una categoría respecto de la cual existen uno o más motivos prohibidos de discriminación, la decisión se basará, a menos que exista una justificación para no hacerlo, en la </w:t>
      </w:r>
      <w:proofErr w:type="spellStart"/>
      <w:r w:rsidRPr="00BB63D0">
        <w:rPr>
          <w:lang w:val="es-CO"/>
        </w:rPr>
        <w:t>autoidentificación</w:t>
      </w:r>
      <w:proofErr w:type="spellEnd"/>
      <w:r w:rsidRPr="00BB63D0">
        <w:rPr>
          <w:lang w:val="es-CO"/>
        </w:rPr>
        <w:t xml:space="preserve"> del individuo en cuestión. La pertenencia también incluye la asociación con un grupo afectado por uno de los motivos prohibidos (por ejemplo, el hecho de ser progenitor de un niño con discapacidad) o la percepción por otras personas de que un individuo forma parte de uno de esos grupos (por ejemplo, en el caso de una persona cuyo color de piel se asemeje al de los miembros de un grupo o que apoye los derechos de un grupo o haya pertenecido a ese grupo). (Énfasis fuera del original)</w:t>
      </w:r>
    </w:p>
    <w:p w14:paraId="326A5522" w14:textId="77777777" w:rsidR="007269CF" w:rsidRPr="00BB63D0" w:rsidRDefault="007269CF" w:rsidP="00BB63D0">
      <w:pPr>
        <w:rPr>
          <w:szCs w:val="20"/>
          <w:lang w:val="es-CO"/>
        </w:rPr>
      </w:pPr>
      <w:r w:rsidRPr="00BB63D0">
        <w:rPr>
          <w:szCs w:val="20"/>
          <w:lang w:val="es-CO"/>
        </w:rPr>
        <w:t>122.</w:t>
      </w:r>
      <w:r w:rsidRPr="00BB63D0">
        <w:rPr>
          <w:szCs w:val="20"/>
          <w:lang w:val="es-CO"/>
        </w:rPr>
        <w:tab/>
        <w:t>Adicionalmente, el concepto de “discriminación por percepción” está contemplado en varios instrumentos internacionales, como por ejemplo, la Convención Interamericana sobre la Eliminación de Todas las Formas de Discriminación contra las Personas con Discapacidad y la Resolución de la Comisión Africana de Derechos Humanos y de los Pueblos sobre la Protección contra la Violencia y otras Violaciones de Derechos Humanos de las Personas en base a la Orientación Sexual o Identidad de Género, real o imputada de 12 de mayo de 2014. Asimismo, ha sido incluido en la legislación de varios países y/o señalado por su jurisprudencia.</w:t>
      </w:r>
    </w:p>
    <w:p w14:paraId="3450BC43" w14:textId="3BBFA468" w:rsidR="007269CF" w:rsidRPr="00BB63D0" w:rsidRDefault="007269CF" w:rsidP="00BB63D0">
      <w:pPr>
        <w:rPr>
          <w:szCs w:val="20"/>
          <w:lang w:val="es-CO"/>
        </w:rPr>
      </w:pPr>
      <w:r w:rsidRPr="00BB63D0">
        <w:rPr>
          <w:szCs w:val="20"/>
          <w:lang w:val="es-CO"/>
        </w:rPr>
        <w:t>123.</w:t>
      </w:r>
      <w:r w:rsidRPr="00BB63D0">
        <w:rPr>
          <w:szCs w:val="20"/>
          <w:lang w:val="es-CO"/>
        </w:rPr>
        <w:tab/>
        <w:t xml:space="preserve">Por otra parte, el reconocimiento internacional del derecho a la no discriminación por orientación sexual real o aparente ha estado además acompañado con la progresiva prohibición de la criminalización de actos sexuales consentidos entre adultos del mismo sexo. Desde 1981 el Tribunal Europeo de Derechos Humanos ha considerado que la criminalización de la homosexualidad no es proporcional a los fines que intenta conseguir. Lo mismo fue considerado por el Comité de Derechos Humanos desde 1994. Recientemente, en el año 2015, doce entidades de Naciones Unidas publicaron una declaración conjunta llamando a poner fin a la violencia y discriminación en contra de las personas Lesbianas, </w:t>
      </w:r>
      <w:proofErr w:type="spellStart"/>
      <w:r w:rsidRPr="00BB63D0">
        <w:rPr>
          <w:szCs w:val="20"/>
          <w:lang w:val="es-CO"/>
        </w:rPr>
        <w:t>Gays</w:t>
      </w:r>
      <w:proofErr w:type="spellEnd"/>
      <w:r w:rsidRPr="00BB63D0">
        <w:rPr>
          <w:szCs w:val="20"/>
          <w:lang w:val="es-CO"/>
        </w:rPr>
        <w:t>, Bisexuales, Transexuales e Intersexuales por medio de leyes que criminalizan conductas homosexuales entre adultos con consentimiento y entre personas transgénero sobre la base de su expresión de género, así como otras leyes usadas para arrestar, castigar o discriminar en contra de personas por su orientación sexual, identidad de género o expresión de género. De acuerdo al Alto Comisionado de Derechos Humanos de Naciones Unidas, “[l]o que estas leyes tienen en común es su utilización para acosar y procesar a personas por su sexualidad o identidad de género real o supuesta”.</w:t>
      </w:r>
    </w:p>
    <w:p w14:paraId="1853380D" w14:textId="77777777" w:rsidR="007269CF" w:rsidRPr="00BB63D0" w:rsidRDefault="007269CF" w:rsidP="00BB63D0">
      <w:pPr>
        <w:rPr>
          <w:szCs w:val="20"/>
          <w:lang w:val="es-CO"/>
        </w:rPr>
      </w:pPr>
      <w:r w:rsidRPr="00BB63D0">
        <w:rPr>
          <w:szCs w:val="20"/>
          <w:lang w:val="es-CO"/>
        </w:rPr>
        <w:t>124.</w:t>
      </w:r>
      <w:r w:rsidRPr="00BB63D0">
        <w:rPr>
          <w:szCs w:val="20"/>
          <w:lang w:val="es-CO"/>
        </w:rPr>
        <w:tab/>
        <w:t xml:space="preserve">El Estado ha alegado que para la fecha de los hechos no existía una obligación internacional de considerar a la orientación sexual como una categoría prohibida de discriminación. Al respecto, la Corte recuerda que las obligaciones consagradas en la </w:t>
      </w:r>
      <w:r w:rsidRPr="00BB63D0">
        <w:rPr>
          <w:szCs w:val="20"/>
          <w:lang w:val="es-CO"/>
        </w:rPr>
        <w:lastRenderedPageBreak/>
        <w:t xml:space="preserve">Convención Americana, tal como la prohibición de discriminación, deben ser respetadas por los Estados Parte desde el momento en que ratifican dicho tratado. Las obligaciones de derechos humanos derivadas de la prohibición de discriminación y el principio de igualdad ante la ley son de cumplimiento inmediato. En particular sobre la orientación sexual, esta Corte ha señalado que la presunta falta de un consenso al interior de algunos países al momento de los hechos sobre el respeto pleno por los derechos de las minorías sexuales no puede ser considerado como un argumento válido para negarles o restringirles sus derechos humanos o para perpetuar y reproducir la discriminación histórica y estructural que estas minorías han sufrido. Además, la Corte resalta que contemporáneo a los hechos en el presente caso, esta forma de discriminación estaba prohibida constitucionalmente a nivel interno. Por tanto, no hay duda que, para el momento en que sucedieron los hechos del presente caso, el Estado estaba obligado a no discriminar con base en la orientación sexual de las personas. </w:t>
      </w:r>
    </w:p>
    <w:p w14:paraId="4B99F8CE" w14:textId="77777777" w:rsidR="007269CF" w:rsidRPr="00BB63D0" w:rsidRDefault="007269CF" w:rsidP="00326300">
      <w:pPr>
        <w:pStyle w:val="Caso"/>
        <w:rPr>
          <w:lang w:val="es-CO"/>
        </w:rPr>
      </w:pPr>
      <w:r w:rsidRPr="00BB63D0">
        <w:rPr>
          <w:lang w:val="es-CO"/>
        </w:rPr>
        <w:t>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p w14:paraId="6CEAC582" w14:textId="77777777" w:rsidR="007269CF" w:rsidRPr="00BB63D0" w:rsidRDefault="007269CF" w:rsidP="00BB63D0">
      <w:pPr>
        <w:rPr>
          <w:szCs w:val="20"/>
          <w:lang w:val="es-CO"/>
        </w:rPr>
      </w:pPr>
      <w:r w:rsidRPr="00BB63D0">
        <w:rPr>
          <w:szCs w:val="20"/>
          <w:lang w:val="es-CO"/>
        </w:rPr>
        <w:t>68.</w:t>
      </w:r>
      <w:r w:rsidRPr="00BB63D0">
        <w:rPr>
          <w:szCs w:val="20"/>
          <w:lang w:val="es-CO"/>
        </w:rPr>
        <w:tab/>
        <w:t xml:space="preserve">De acuerdo con lo anterior, la Corte ha determinado, teniendo en cuenta las obligaciones generales de respeto y garantía establecidas en el artículo 1.1 de la Convención Americana, los criterios de interpretación fijados en el artículo 29 de dicha Convención, lo estipulado en la Convención de Viena sobre el Derecho de los Tratados, las Resoluciones de la Asamblea General de la OEA, los estándares establecidos por el Tribunal Europeo y los organismos de Naciones Unidas, que la orientación sexual y la identidad de género de las personas son categorías protegidas por la Convención. Por ello, está proscrita por la Convención, cualquier norma, acto o práctica discriminatoria basada en la orientación sexual o en la identidad de género de las personas. Lo anterior sería contrario a lo establecido en el artículo 1.1 de la Convención Americana. </w:t>
      </w:r>
    </w:p>
    <w:p w14:paraId="05A801CB" w14:textId="77777777" w:rsidR="007269CF" w:rsidRPr="00BB63D0" w:rsidRDefault="007269CF" w:rsidP="00BB63D0">
      <w:pPr>
        <w:rPr>
          <w:szCs w:val="20"/>
          <w:lang w:val="es-CO"/>
        </w:rPr>
      </w:pPr>
      <w:r w:rsidRPr="00BB63D0">
        <w:rPr>
          <w:szCs w:val="20"/>
          <w:lang w:val="es-CO"/>
        </w:rPr>
        <w:t>[...]</w:t>
      </w:r>
    </w:p>
    <w:p w14:paraId="19597C13" w14:textId="6C9E45C3" w:rsidR="007269CF" w:rsidRPr="00BB63D0" w:rsidRDefault="007269CF" w:rsidP="00BB63D0">
      <w:pPr>
        <w:rPr>
          <w:szCs w:val="20"/>
          <w:lang w:val="es-CO"/>
        </w:rPr>
      </w:pPr>
      <w:r w:rsidRPr="00BB63D0">
        <w:rPr>
          <w:szCs w:val="20"/>
          <w:lang w:val="es-CO"/>
        </w:rPr>
        <w:t>78.</w:t>
      </w:r>
      <w:r w:rsidRPr="00BB63D0">
        <w:rPr>
          <w:szCs w:val="20"/>
          <w:lang w:val="es-CO"/>
        </w:rPr>
        <w:tab/>
        <w:t xml:space="preserve">De conformidad con todo lo anterior, teniendo en cuenta las obligaciones generales de respeto y garantía establecidas en el artículo 1.1 de la Convención Americana, los criterios de interpretación fijados en el artículo 29 de dicha Convención, lo estipulado en la Convención de Viena sobre el Derecho de los Tratados, las Resoluciones de la Asamblea General de la OEA, y los organismos de Naciones Unidas </w:t>
      </w:r>
      <w:r w:rsidR="005B7B62">
        <w:rPr>
          <w:szCs w:val="20"/>
          <w:lang w:val="es-CO"/>
        </w:rPr>
        <w:t>[...]</w:t>
      </w:r>
      <w:r w:rsidRPr="00326300">
        <w:rPr>
          <w:szCs w:val="20"/>
          <w:lang w:val="es-CO"/>
        </w:rPr>
        <w:t>, la Corte Interamericana deja establecido que la orientación sexual y la identidad de género, así como la expresión de género son categorías protegidas por la Convención</w:t>
      </w:r>
      <w:r w:rsidRPr="00BB63D0">
        <w:rPr>
          <w:szCs w:val="20"/>
          <w:lang w:val="es-CO"/>
        </w:rPr>
        <w:t>. Por ello está proscrita por la Convención cualquier norma, acto o práctica discriminatoria basada en la orientación sexual, identidad de género o expresión de género de la persona. En consecuencia, ninguna norma, decisión o práctica de derecho interno, sea por parte de autoridades estatales o por particulares, pueden disminuir o restringir, de modo alguno, los derechos de una persona a partir de su orientación sexual, su identidad de género y/o su expresión de género.</w:t>
      </w:r>
    </w:p>
    <w:p w14:paraId="18F9A8A4" w14:textId="77777777" w:rsidR="007269CF" w:rsidRPr="00BB63D0" w:rsidRDefault="007269CF" w:rsidP="00BB63D0">
      <w:pPr>
        <w:rPr>
          <w:szCs w:val="20"/>
          <w:lang w:val="es-CO"/>
        </w:rPr>
      </w:pPr>
      <w:r w:rsidRPr="00BB63D0">
        <w:rPr>
          <w:szCs w:val="20"/>
          <w:lang w:val="es-CO"/>
        </w:rPr>
        <w:t>79.</w:t>
      </w:r>
      <w:r w:rsidRPr="00BB63D0">
        <w:rPr>
          <w:szCs w:val="20"/>
          <w:lang w:val="es-CO"/>
        </w:rPr>
        <w:tab/>
        <w:t xml:space="preserve">En lo que respecta la </w:t>
      </w:r>
      <w:r w:rsidRPr="00326300">
        <w:rPr>
          <w:szCs w:val="20"/>
          <w:lang w:val="es-CO"/>
        </w:rPr>
        <w:t>expresión de género</w:t>
      </w:r>
      <w:r w:rsidRPr="00BB63D0">
        <w:rPr>
          <w:szCs w:val="20"/>
          <w:lang w:val="es-CO"/>
        </w:rPr>
        <w:t xml:space="preserve">, este Tribunal ya ha señalado que es posible que una persona resulte discriminada con motivo de la percepción que otras tengan acerca de su relación con un grupo o sector social, independientemente de que ello corresponda con la realidad o con </w:t>
      </w:r>
      <w:r w:rsidRPr="00326300">
        <w:rPr>
          <w:szCs w:val="20"/>
          <w:lang w:val="es-CO"/>
        </w:rPr>
        <w:t xml:space="preserve">la auto-identificación de la víctima. La discriminación por percepción tiene el efecto o propósito de impedir o anular el reconocimiento, goce o ejercicio de los derechos humanos y libertades fundamentales </w:t>
      </w:r>
      <w:r w:rsidRPr="00326300">
        <w:rPr>
          <w:szCs w:val="20"/>
          <w:lang w:val="es-CO"/>
        </w:rPr>
        <w:lastRenderedPageBreak/>
        <w:t>de la persona objeto de dicha discriminación, independientemente de si dicha persona se auto-identifica o no con una determinada categoría. Al igual que otras formas de discriminación, la persona es reducida a la única característica que se le imputa, sin que importen otras condiciones</w:t>
      </w:r>
      <w:r w:rsidRPr="00BB63D0">
        <w:rPr>
          <w:szCs w:val="20"/>
          <w:lang w:val="es-CO"/>
        </w:rPr>
        <w:t xml:space="preserve"> personales. En consecuencia, de conformidad con lo anterior, se puede considerar que la prohibición de discriminar con base en la identidad de género, se entiende no únicamente con respecto a la identidad real o auto-percibida, también se debe entender en relación a la identidad percibida de forma externa, independientemente que esa percepción corresponda a la realidad o no. En ese sentido, se debe entender que toda expresión de género constituye una categoría protegida por la Convención Americana en su artículo 1.1.</w:t>
      </w:r>
    </w:p>
    <w:p w14:paraId="3CC756D9" w14:textId="77777777" w:rsidR="007269CF" w:rsidRPr="00BB63D0" w:rsidRDefault="007269CF" w:rsidP="00BB63D0">
      <w:pPr>
        <w:rPr>
          <w:szCs w:val="20"/>
          <w:lang w:val="es-CO"/>
        </w:rPr>
      </w:pPr>
      <w:r w:rsidRPr="00BB63D0">
        <w:rPr>
          <w:szCs w:val="20"/>
          <w:lang w:val="es-CO"/>
        </w:rPr>
        <w:t>80.</w:t>
      </w:r>
      <w:r w:rsidRPr="00BB63D0">
        <w:rPr>
          <w:szCs w:val="20"/>
          <w:lang w:val="es-CO"/>
        </w:rPr>
        <w:tab/>
        <w:t>Por último, es relevante señalar que varios Estados de la región han reconocido en sus ordenamientos jurídicos internos, sea por disposición constitucional, sea por vía legal, por decretos o por decisiones de sus tribunales, que la orientación sexual y la identidad de género constituyen categorías protegidas contra los tratos diferentes discriminatorios.</w:t>
      </w:r>
    </w:p>
    <w:p w14:paraId="465B904F" w14:textId="77777777" w:rsidR="007269CF" w:rsidRPr="00BB63D0" w:rsidRDefault="007269CF" w:rsidP="00BB63D0">
      <w:pPr>
        <w:rPr>
          <w:szCs w:val="20"/>
          <w:lang w:val="es-CO"/>
        </w:rPr>
      </w:pPr>
      <w:r w:rsidRPr="00BB63D0">
        <w:rPr>
          <w:szCs w:val="20"/>
          <w:lang w:val="es-CO"/>
        </w:rPr>
        <w:t>81.</w:t>
      </w:r>
      <w:r w:rsidRPr="00BB63D0">
        <w:rPr>
          <w:szCs w:val="20"/>
          <w:lang w:val="es-CO"/>
        </w:rPr>
        <w:tab/>
      </w:r>
      <w:r w:rsidRPr="00326300">
        <w:rPr>
          <w:szCs w:val="20"/>
          <w:lang w:val="es-CO"/>
        </w:rPr>
        <w:t>Asimismo, la Corte considera que los criterios de análisis para determinar si existió una violación al principio de igualdad y no discriminación en un caso en concreto pueden tener distinta intensidad, dependiendo de los motivos bajo los cuales existe una diferencia de trato. En este</w:t>
      </w:r>
      <w:r w:rsidRPr="00BB63D0">
        <w:rPr>
          <w:szCs w:val="20"/>
          <w:lang w:val="es-CO"/>
        </w:rPr>
        <w:t xml:space="preserve"> sentido, la Corte estima que, cuando se trata de una medida que establece un trato diferenciado en que está de por medio una de estas categorías, la Corte debe aplicar un escrutinio estricto que incorpora elementos especialmente exigentes en el análisis, esto es, que el trato diferente debe constituir una medida necesaria para alcanzar un objetivo convencionalmente imperioso. Así, en este tipo de examen, para analizar la idoneidad de la medida diferenciadora se exige que el fin que persigue no sólo sea legítimo en el marco de la Convención, sino además imperioso. El medio escogido debe ser no sólo adecuado y efectivamente conducente, sino también necesario, es decir, que no pueda ser reemplazado por un medio alternativo menos lesivo. Adicionalmente, se incluye la aplicación de un juicio de proporcionalidad en sentido estricto, conforme al cual los beneficios de adoptar la medida enjuiciada deben ser claramente superiores a las restricciones que ella impone a los principios convencionales afectados con la misma. </w:t>
      </w:r>
    </w:p>
    <w:p w14:paraId="41BBF97F" w14:textId="77777777" w:rsidR="007269CF" w:rsidRPr="00BB63D0" w:rsidRDefault="007269CF" w:rsidP="00BB63D0">
      <w:pPr>
        <w:rPr>
          <w:szCs w:val="20"/>
          <w:lang w:val="es-CO"/>
        </w:rPr>
      </w:pPr>
      <w:r w:rsidRPr="00BB63D0">
        <w:rPr>
          <w:szCs w:val="20"/>
          <w:lang w:val="es-CO"/>
        </w:rPr>
        <w:t>82.</w:t>
      </w:r>
      <w:r w:rsidRPr="00BB63D0">
        <w:rPr>
          <w:szCs w:val="20"/>
          <w:lang w:val="es-CO"/>
        </w:rPr>
        <w:tab/>
        <w:t>En otro orden de ideas, específicamente con respecto al alcance del derecho a la no discriminación por orientación sexual, esta Corte indicó que ésta no se limita a la condición de homosexual en sí misma, sino que incluye su expresión y las consecuencias necesarias en el proyecto de vida de las personas. En este sentido, por ejemplo, los actos sexuales son una manera de expresar la orientación sexual de la persona, por lo que se encuentran protegidos dentro del mismo derecho a la no discriminación por orientación sexual.</w:t>
      </w:r>
    </w:p>
    <w:p w14:paraId="635F4BF6" w14:textId="77777777" w:rsidR="007269CF" w:rsidRPr="00BB63D0" w:rsidRDefault="007269CF" w:rsidP="00BB63D0">
      <w:pPr>
        <w:rPr>
          <w:szCs w:val="20"/>
          <w:lang w:val="es-CO"/>
        </w:rPr>
      </w:pPr>
      <w:r w:rsidRPr="00BB63D0">
        <w:rPr>
          <w:szCs w:val="20"/>
          <w:lang w:val="es-CO"/>
        </w:rPr>
        <w:t>83.</w:t>
      </w:r>
      <w:r w:rsidRPr="00BB63D0">
        <w:rPr>
          <w:szCs w:val="20"/>
          <w:lang w:val="es-CO"/>
        </w:rPr>
        <w:tab/>
        <w:t xml:space="preserve">Por último, resulta importante recordar que la falta de un consenso al interior de algunos países sobre el respeto pleno por los derechos de ciertos grupos o personas que se distinguen por su orientación sexual, su identidad de género o su expresión de género, reales o percibidas, no puede ser considerado como un argumento válido para negarles o restringirles sus derechos humanos o para perpetuar y reproducir la discriminación histórica y estructural que estos grupos o personas han sufrido. El hecho de que ésta pudiera ser materia controversial en algunos sectores y países, y que no sea necesariamente materia de consenso no puede conducir al Tribunal a abstenerse de decidir, pues al hacerlo debe remitirse única y exclusivamente a las estipulaciones de las obligaciones internacionales contraídas por decisión soberana de los Estados a través de la Convención Americana. </w:t>
      </w:r>
    </w:p>
    <w:p w14:paraId="59F1F980" w14:textId="77777777" w:rsidR="007269CF" w:rsidRPr="00BB63D0" w:rsidRDefault="007269CF" w:rsidP="00BB63D0">
      <w:pPr>
        <w:rPr>
          <w:szCs w:val="20"/>
          <w:lang w:val="es-CO"/>
        </w:rPr>
      </w:pPr>
      <w:r w:rsidRPr="00BB63D0">
        <w:rPr>
          <w:szCs w:val="20"/>
          <w:lang w:val="es-CO"/>
        </w:rPr>
        <w:t>84.</w:t>
      </w:r>
      <w:r w:rsidRPr="00BB63D0">
        <w:rPr>
          <w:szCs w:val="20"/>
          <w:lang w:val="es-CO"/>
        </w:rPr>
        <w:tab/>
        <w:t xml:space="preserve">Un derecho que le está reconocido a las personas no puede ser negado o restringido a nadie, y bajo ninguna circunstancia, con base en su orientación sexual, identidad de género o expresión de género. Lo anterior violaría el artículo 1.1. de la </w:t>
      </w:r>
      <w:r w:rsidRPr="00BB63D0">
        <w:rPr>
          <w:szCs w:val="20"/>
          <w:lang w:val="es-CO"/>
        </w:rPr>
        <w:lastRenderedPageBreak/>
        <w:t>Convención Americana. El instrumento interamericano proscribe la discriminación, en general, incluyendo en ello categorías como la orientación sexual, y la identidad de género, que no pueden servir de sustento para negar o restringir ninguno de los derechos establecidos en la Convención.</w:t>
      </w:r>
    </w:p>
    <w:p w14:paraId="4323DB09" w14:textId="08E4DAD9" w:rsidR="007269CF" w:rsidRPr="00326300" w:rsidRDefault="007269CF" w:rsidP="00326300">
      <w:pPr>
        <w:pStyle w:val="PrrafodeSentencia"/>
        <w:rPr>
          <w:lang w:val="es-CO"/>
        </w:rPr>
      </w:pPr>
      <w:r w:rsidRPr="00BB63D0">
        <w:rPr>
          <w:lang w:val="es-CO"/>
        </w:rPr>
        <w:t>[Sobre Identidad de Género]</w:t>
      </w:r>
    </w:p>
    <w:p w14:paraId="463930AD" w14:textId="77777777" w:rsidR="007269CF" w:rsidRPr="00BB63D0" w:rsidRDefault="007269CF" w:rsidP="00BB63D0">
      <w:pPr>
        <w:rPr>
          <w:szCs w:val="20"/>
          <w:lang w:val="es-CO"/>
        </w:rPr>
      </w:pPr>
      <w:r w:rsidRPr="00BB63D0">
        <w:rPr>
          <w:szCs w:val="20"/>
          <w:lang w:val="es-CO"/>
        </w:rPr>
        <w:t>85.</w:t>
      </w:r>
      <w:r w:rsidRPr="00BB63D0">
        <w:rPr>
          <w:szCs w:val="20"/>
          <w:lang w:val="es-CO"/>
        </w:rPr>
        <w:tab/>
        <w:t xml:space="preserve">La Corte recuerda que la Convención Americana protege uno de los valores más fundamentales de la persona humana entendida como ser racional, esto es, el reconocimiento de su dignidad. Es así como este Tribunal ha señalado en otras oportunidades que ese valor es consustancial a los atributos de la persona, y es, en consecuencia, un derecho humano fundamental oponible erga omnes como expresión de un interés colectivo de la comunidad internacional en su conjunto, que no admite derogación ni suspensión en los casos previstos por la Convención Americana sobre Derechos Humanos. Además, debe entenderse que esa protección se encuentra establecida de forma transversal en todos los derechos reconocidos en la Convención Americana. </w:t>
      </w:r>
    </w:p>
    <w:p w14:paraId="1B0D3B8F" w14:textId="77777777" w:rsidR="007269CF" w:rsidRPr="00BB63D0" w:rsidRDefault="007269CF" w:rsidP="00BB63D0">
      <w:pPr>
        <w:rPr>
          <w:szCs w:val="20"/>
          <w:lang w:val="es-CO"/>
        </w:rPr>
      </w:pPr>
      <w:r w:rsidRPr="00BB63D0">
        <w:rPr>
          <w:szCs w:val="20"/>
          <w:lang w:val="es-CO"/>
        </w:rPr>
        <w:t>88.</w:t>
      </w:r>
      <w:r w:rsidRPr="00BB63D0">
        <w:rPr>
          <w:szCs w:val="20"/>
          <w:lang w:val="es-CO"/>
        </w:rPr>
        <w:tab/>
        <w:t xml:space="preserve">Ahora bien, un aspecto central </w:t>
      </w:r>
      <w:r w:rsidRPr="00326300">
        <w:rPr>
          <w:szCs w:val="20"/>
          <w:lang w:val="es-CO"/>
        </w:rPr>
        <w:t xml:space="preserve">del reconocimiento de la dignidad lo constituye la posibilidad de todo ser humano de </w:t>
      </w:r>
      <w:proofErr w:type="spellStart"/>
      <w:r w:rsidRPr="00326300">
        <w:rPr>
          <w:szCs w:val="20"/>
          <w:lang w:val="es-CO"/>
        </w:rPr>
        <w:t>autodeterminarse</w:t>
      </w:r>
      <w:proofErr w:type="spellEnd"/>
      <w:r w:rsidRPr="00326300">
        <w:rPr>
          <w:szCs w:val="20"/>
          <w:lang w:val="es-CO"/>
        </w:rPr>
        <w:t xml:space="preserve"> y escoger libremente las opciones y circunstancias que le dan sentido a su existencia, conforme a sus propias opciones y convicciones. En este marco juega</w:t>
      </w:r>
      <w:r w:rsidRPr="00BB63D0">
        <w:rPr>
          <w:szCs w:val="20"/>
          <w:lang w:val="es-CO"/>
        </w:rPr>
        <w:t xml:space="preserve"> un papel fundamental el principio de la autonomía de la persona, el cual veda toda actuación estatal que procure la instrumentalización de la persona, es decir, que lo convierta en un medio para fines ajenos a las elecciones sobre su propia vida, su cuerpo y el desarrollo pleno de su personalidad, dentro de los límites que impone la Convención. De esa forma, de conformidad con el principio del libre desarrollo de la personalidad o a la autonomía personal, cada persona es libre y autónoma de seguir un modelo de vida de acuerdo con sus valores, creencias, convicciones e intereses. </w:t>
      </w:r>
    </w:p>
    <w:p w14:paraId="65B2A734" w14:textId="77777777" w:rsidR="007269CF" w:rsidRPr="00BB63D0" w:rsidRDefault="007269CF" w:rsidP="00BB63D0">
      <w:pPr>
        <w:rPr>
          <w:szCs w:val="20"/>
          <w:lang w:val="es-CO"/>
        </w:rPr>
      </w:pPr>
      <w:r w:rsidRPr="00BB63D0">
        <w:rPr>
          <w:szCs w:val="20"/>
          <w:lang w:val="es-CO"/>
        </w:rPr>
        <w:t>90.</w:t>
      </w:r>
      <w:r w:rsidRPr="00BB63D0">
        <w:rPr>
          <w:szCs w:val="20"/>
          <w:lang w:val="es-CO"/>
        </w:rPr>
        <w:tab/>
        <w:t xml:space="preserve">Respecto al derecho a la identidad, esta Corte ha indicado que puede ser conceptualizado, en general, como el conjunto de atributos y características que permiten la individualización de la persona en sociedad y que, en tal sentido, comprende varios derechos según el sujeto de derechos de que se trate y las circunstancias del caso. El derecho a la identidad puede verse afectado por un sinnúmero de situaciones o contextos que pueden ocurrir desde la niñez hasta la adultez. Si bien la Convención Americana no se refiere de manera particular al derecho a la identidad bajo ese nombre expresamente, incluye sin embargo otros derechos que lo componen. De esta forma, la Corte recuerda que la Convención Americana protege estos elementos como derechos en sí mismos, no obstante, no todos estos derechos se verán necesariamente involucrados en todos los casos que se encuentren ligados al derecho a la identidad. Además, el derecho a la identidad no puede reducirse, confundirse, ni estar subordinado a uno u otro de los derechos que incluye, ni a la sumatoria de los mismos. Ciertamente el nombre, por ejemplo, es parte del derecho a la identidad, pero no es su único componente. Por otra parte, este Tribunal ha indicado que el derecho a la identidad se encuentra estrechamente relacionado con la dignidad humana, con el derecho a la vida privada y con el principio de autonomía de la persona (artículos 7 y 11 de la Convención Americana). </w:t>
      </w:r>
    </w:p>
    <w:p w14:paraId="11C54FF5" w14:textId="3466B171" w:rsidR="007269CF" w:rsidRPr="00BB63D0" w:rsidRDefault="007269CF" w:rsidP="00BB63D0">
      <w:pPr>
        <w:rPr>
          <w:szCs w:val="20"/>
          <w:lang w:val="es-CO"/>
        </w:rPr>
      </w:pPr>
      <w:r w:rsidRPr="00BB63D0">
        <w:rPr>
          <w:szCs w:val="20"/>
          <w:lang w:val="es-CO"/>
        </w:rPr>
        <w:t>98.</w:t>
      </w:r>
      <w:r w:rsidRPr="00BB63D0">
        <w:rPr>
          <w:szCs w:val="20"/>
          <w:lang w:val="es-CO"/>
        </w:rPr>
        <w:tab/>
        <w:t xml:space="preserve">[...], esta Corte entiende </w:t>
      </w:r>
      <w:r w:rsidRPr="00326300">
        <w:rPr>
          <w:szCs w:val="20"/>
          <w:lang w:val="es-CO"/>
        </w:rPr>
        <w:t>que la identidad de género es un elemento constitutivo y constituyente de la identidad de las personas, en consecuencia, su reconocimiento por parte del Estado resulta de vital importancia para garantizar el pleno goce de los derechos humanos de las personas transgénero, incluyendo la protección contra la violencia, tortura, malos tratos, derecho a la salud, a la educación, empleo, vivienda, acceso a la seguridad social, así como el derecho a la libertad de expresión, y de asociación. Sobre este punto, esta Corte señaló, en los mismos términos que la Asamblea General</w:t>
      </w:r>
      <w:r w:rsidRPr="00BB63D0">
        <w:rPr>
          <w:szCs w:val="20"/>
          <w:lang w:val="es-CO"/>
        </w:rPr>
        <w:t xml:space="preserve"> de la Organización de Estados Americanos, “que el reconocimiento de la identidad de las personas es uno de los </w:t>
      </w:r>
      <w:r w:rsidRPr="00BB63D0">
        <w:rPr>
          <w:szCs w:val="20"/>
          <w:lang w:val="es-CO"/>
        </w:rPr>
        <w:lastRenderedPageBreak/>
        <w:t xml:space="preserve">medios [que] facilita el ejercicio de los derechos a la personalidad jurídica, al nombre, a la nacionalidad, a la inscripción en el registro civil, a las relaciones familiares, entre otros derechos reconocidos en instrumentos internacionales como la Declaración Americana de los Derechos y Deberes del Hombre y la Convención Americana”. Por tanto, la falta de reconocimiento de la identidad puede implicar que la persona no cuente con constancia legal de su existencia, dificultando el pleno ejercicio de sus derechos. </w:t>
      </w:r>
    </w:p>
    <w:p w14:paraId="59992A37" w14:textId="62B20A33" w:rsidR="007269CF" w:rsidRPr="00BB63D0" w:rsidRDefault="007269CF" w:rsidP="00BB63D0">
      <w:pPr>
        <w:rPr>
          <w:szCs w:val="20"/>
          <w:lang w:val="es-CO"/>
        </w:rPr>
      </w:pPr>
      <w:r w:rsidRPr="00BB63D0">
        <w:rPr>
          <w:szCs w:val="20"/>
          <w:lang w:val="es-CO"/>
        </w:rPr>
        <w:t>99.</w:t>
      </w:r>
      <w:r w:rsidRPr="00BB63D0">
        <w:rPr>
          <w:szCs w:val="20"/>
          <w:lang w:val="es-CO"/>
        </w:rPr>
        <w:tab/>
        <w:t xml:space="preserve">En ese mismo sentido, esta Corte comparte lo señalado por el Comité Jurídico Interamericano el cual sostuvo que el derecho a la identidad posee “un valor instrumental para el ejercicio de determinados derechos civiles, políticos, económicos, sociales y culturales, de tal manera que su plena vigencia fortalece la democracia y el ejercicio de los derechos y libertades fundamentales”. Por consiguiente, el mismo se constituye en “un medio para el ejercicio de derechos en una sociedad democrática, comprometida con el ejercicio efectivo de la ciudadanía y los valores de la democracia representativa, facilitando así la inclusión social, la participación ciudadana y la igualdad de oportunidades”. Además, la privación del derecho a la identidad o las carencias legales en la legislación interna para la realización del mismo, colocan a las personas en situaciones que dificultan o impiden el goce o el acceso a los derechos fundamentales, creándose así diferencias de tratamiento y oportunidades que afectan los principios de igualdad ante la ley y de no discriminación, además de ser un obstáculo frente al derecho que tiene toda persona al reconocimiento pleno de su personalidad jurídica. </w:t>
      </w:r>
    </w:p>
    <w:p w14:paraId="63F5735E" w14:textId="77777777" w:rsidR="007269CF" w:rsidRPr="00BB63D0" w:rsidRDefault="007269CF" w:rsidP="00BB63D0">
      <w:pPr>
        <w:rPr>
          <w:szCs w:val="20"/>
          <w:lang w:val="es-CO"/>
        </w:rPr>
      </w:pPr>
      <w:r w:rsidRPr="00BB63D0">
        <w:rPr>
          <w:szCs w:val="20"/>
          <w:lang w:val="es-CO"/>
        </w:rPr>
        <w:t>100.</w:t>
      </w:r>
      <w:r w:rsidRPr="00BB63D0">
        <w:rPr>
          <w:szCs w:val="20"/>
          <w:lang w:val="es-CO"/>
        </w:rPr>
        <w:tab/>
        <w:t xml:space="preserve">De acuerdo </w:t>
      </w:r>
      <w:r w:rsidRPr="00326300">
        <w:rPr>
          <w:szCs w:val="20"/>
          <w:lang w:val="es-CO"/>
        </w:rPr>
        <w:t>con ello, el Estado, en su calidad de garante de la pluralidad de derechos, debe respetar y garantizar la coexistencia de individuos con distintitas identidades, expresiones de género y orientaciones sexuales, para lo cual debe asegurar que todas ellas puedan vivir y desarrollarse con dignidad y el mismo respeto al que tienen derecho todas las personas</w:t>
      </w:r>
      <w:r w:rsidRPr="00BB63D0">
        <w:rPr>
          <w:szCs w:val="20"/>
          <w:lang w:val="es-CO"/>
        </w:rPr>
        <w:t xml:space="preserve">. La Corte opina que esa protección no se refiere simplemente al contenido de esos derechos, sino que a través de ella, el Estado también estaría garantizando la plena vigencia y ejercicio de otros derechos de las personas cuya identidad de género es diferente a la que es asociada con el sexo que les fue asignado al nacer. </w:t>
      </w:r>
    </w:p>
    <w:p w14:paraId="5A57D2DC" w14:textId="77777777" w:rsidR="007269CF" w:rsidRPr="00BB63D0" w:rsidRDefault="007269CF" w:rsidP="00BB63D0">
      <w:pPr>
        <w:rPr>
          <w:szCs w:val="20"/>
          <w:lang w:val="es-CO"/>
        </w:rPr>
      </w:pPr>
      <w:r w:rsidRPr="00BB63D0">
        <w:rPr>
          <w:szCs w:val="20"/>
          <w:lang w:val="es-CO"/>
        </w:rPr>
        <w:t>101.</w:t>
      </w:r>
      <w:r w:rsidRPr="00BB63D0">
        <w:rPr>
          <w:szCs w:val="20"/>
          <w:lang w:val="es-CO"/>
        </w:rPr>
        <w:tab/>
        <w:t>De conformidad con lo anterior, se puede concluir lo siguiente:</w:t>
      </w:r>
    </w:p>
    <w:p w14:paraId="76412978" w14:textId="55535051" w:rsidR="007269CF" w:rsidRPr="00BB63D0" w:rsidRDefault="007269CF" w:rsidP="00BB63D0">
      <w:pPr>
        <w:ind w:left="708"/>
        <w:rPr>
          <w:szCs w:val="20"/>
          <w:lang w:val="es-CO"/>
        </w:rPr>
      </w:pPr>
      <w:r w:rsidRPr="00BB63D0">
        <w:rPr>
          <w:szCs w:val="20"/>
          <w:lang w:val="es-CO"/>
        </w:rPr>
        <w:t xml:space="preserve">a) Se desprende el derecho a la identidad del reconocimiento del libre desarrollo de la personalidad y del derecho a la vida privada </w:t>
      </w:r>
      <w:r w:rsidR="005B7B62">
        <w:rPr>
          <w:szCs w:val="20"/>
          <w:lang w:val="es-CO"/>
        </w:rPr>
        <w:t>[...]</w:t>
      </w:r>
      <w:r w:rsidRPr="00BB63D0">
        <w:rPr>
          <w:szCs w:val="20"/>
          <w:lang w:val="es-CO"/>
        </w:rPr>
        <w:t xml:space="preserve">; </w:t>
      </w:r>
    </w:p>
    <w:p w14:paraId="3CE0E1D8" w14:textId="5C157A23" w:rsidR="007269CF" w:rsidRPr="00BB63D0" w:rsidRDefault="007269CF" w:rsidP="00BB63D0">
      <w:pPr>
        <w:ind w:left="708"/>
        <w:rPr>
          <w:szCs w:val="20"/>
          <w:lang w:val="es-CO"/>
        </w:rPr>
      </w:pPr>
      <w:r w:rsidRPr="00BB63D0">
        <w:rPr>
          <w:szCs w:val="20"/>
          <w:lang w:val="es-CO"/>
        </w:rPr>
        <w:t xml:space="preserve">b) El derecho a la identidad ha sido reconocido por este Tribunal como un derecho protegido por la Convención Americana </w:t>
      </w:r>
      <w:r w:rsidR="005B7B62">
        <w:rPr>
          <w:szCs w:val="20"/>
          <w:lang w:val="es-CO"/>
        </w:rPr>
        <w:t>[...]</w:t>
      </w:r>
      <w:r w:rsidRPr="00BB63D0">
        <w:rPr>
          <w:szCs w:val="20"/>
          <w:lang w:val="es-CO"/>
        </w:rPr>
        <w:t xml:space="preserve">; </w:t>
      </w:r>
    </w:p>
    <w:p w14:paraId="1A45020C" w14:textId="506701E9" w:rsidR="007269CF" w:rsidRPr="00BB63D0" w:rsidRDefault="007269CF" w:rsidP="00BB63D0">
      <w:pPr>
        <w:ind w:left="708"/>
        <w:rPr>
          <w:szCs w:val="20"/>
          <w:lang w:val="es-CO"/>
        </w:rPr>
      </w:pPr>
      <w:r w:rsidRPr="00BB63D0">
        <w:rPr>
          <w:szCs w:val="20"/>
          <w:lang w:val="es-CO"/>
        </w:rPr>
        <w:t xml:space="preserve">c) El derecho a la identidad comprende, a su vez, otros derechos, de acuerdo con las personas y las circunstancias de cada caso, aunque se encuentra estrechamente relacionado con la dignidad humana, con el derecho a la vida y con el principio de autonomía de la persona (artículos 7 y 11 de la Convención Americana) </w:t>
      </w:r>
      <w:r w:rsidR="005B7B62">
        <w:rPr>
          <w:szCs w:val="20"/>
          <w:lang w:val="es-CO"/>
        </w:rPr>
        <w:t>[...]</w:t>
      </w:r>
      <w:r w:rsidRPr="00BB63D0">
        <w:rPr>
          <w:szCs w:val="20"/>
          <w:lang w:val="es-CO"/>
        </w:rPr>
        <w:t xml:space="preserve">; </w:t>
      </w:r>
    </w:p>
    <w:p w14:paraId="646C5362" w14:textId="7DCCA81D" w:rsidR="007269CF" w:rsidRPr="00BB63D0" w:rsidRDefault="007269CF" w:rsidP="00BB63D0">
      <w:pPr>
        <w:ind w:left="708"/>
        <w:rPr>
          <w:szCs w:val="20"/>
          <w:lang w:val="es-CO"/>
        </w:rPr>
      </w:pPr>
      <w:r w:rsidRPr="00BB63D0">
        <w:rPr>
          <w:szCs w:val="20"/>
          <w:lang w:val="es-CO"/>
        </w:rPr>
        <w:t xml:space="preserve">d) El reconocimiento de la afirmación de la identidad sexual y de género como una manifestación de la autonomía personal es un elemento constitutivo y constituyente de la identidad de las personas que se encuentra protegido por la Convención Americana en sus artículos 7 y 11.2 </w:t>
      </w:r>
      <w:r w:rsidR="005B7B62">
        <w:rPr>
          <w:szCs w:val="20"/>
          <w:lang w:val="es-CO"/>
        </w:rPr>
        <w:t>[...]</w:t>
      </w:r>
      <w:r w:rsidRPr="00BB63D0">
        <w:rPr>
          <w:szCs w:val="20"/>
          <w:lang w:val="es-CO"/>
        </w:rPr>
        <w:t xml:space="preserve">; </w:t>
      </w:r>
    </w:p>
    <w:p w14:paraId="2AC7CC51" w14:textId="372D1C34" w:rsidR="007269CF" w:rsidRPr="00BB63D0" w:rsidRDefault="007269CF" w:rsidP="00BB63D0">
      <w:pPr>
        <w:ind w:left="708"/>
        <w:rPr>
          <w:szCs w:val="20"/>
          <w:lang w:val="es-CO"/>
        </w:rPr>
      </w:pPr>
      <w:r w:rsidRPr="00BB63D0">
        <w:rPr>
          <w:szCs w:val="20"/>
          <w:lang w:val="es-CO"/>
        </w:rPr>
        <w:t xml:space="preserve">e) La identidad de género y sexual se encuentra ligada al concepto de libertad, al derecho a la vida privada y a la posibilidad de todo ser humano de </w:t>
      </w:r>
      <w:proofErr w:type="spellStart"/>
      <w:r w:rsidRPr="00BB63D0">
        <w:rPr>
          <w:szCs w:val="20"/>
          <w:lang w:val="es-CO"/>
        </w:rPr>
        <w:t>autodeterminarse</w:t>
      </w:r>
      <w:proofErr w:type="spellEnd"/>
      <w:r w:rsidRPr="00BB63D0">
        <w:rPr>
          <w:szCs w:val="20"/>
          <w:lang w:val="es-CO"/>
        </w:rPr>
        <w:t xml:space="preserve"> y escoger libremente las opciones y circunstancias que le dan sentido a su existencia, conforme a sus propias convicciones </w:t>
      </w:r>
      <w:r w:rsidR="005B7B62">
        <w:rPr>
          <w:szCs w:val="20"/>
          <w:lang w:val="es-CO"/>
        </w:rPr>
        <w:t>[...]</w:t>
      </w:r>
      <w:r w:rsidRPr="00BB63D0">
        <w:rPr>
          <w:szCs w:val="20"/>
          <w:lang w:val="es-CO"/>
        </w:rPr>
        <w:t xml:space="preserve">; </w:t>
      </w:r>
    </w:p>
    <w:p w14:paraId="4DF6009D" w14:textId="05B88BE1" w:rsidR="007269CF" w:rsidRPr="00BB63D0" w:rsidRDefault="007269CF" w:rsidP="00BB63D0">
      <w:pPr>
        <w:ind w:left="708"/>
        <w:rPr>
          <w:szCs w:val="20"/>
          <w:lang w:val="es-CO"/>
        </w:rPr>
      </w:pPr>
      <w:r w:rsidRPr="00BB63D0">
        <w:rPr>
          <w:szCs w:val="20"/>
          <w:lang w:val="es-CO"/>
        </w:rPr>
        <w:lastRenderedPageBreak/>
        <w:t xml:space="preserve">f) La identidad de género ha sido definida en esta opinión como la vivencia interna e individual del género tal como cada persona la siente, pudiendo corresponder o no con el sexo asignado al momento del nacimiento </w:t>
      </w:r>
      <w:r w:rsidR="005B7B62">
        <w:rPr>
          <w:szCs w:val="20"/>
          <w:lang w:val="es-CO"/>
        </w:rPr>
        <w:t>[...]</w:t>
      </w:r>
      <w:r w:rsidRPr="00BB63D0">
        <w:rPr>
          <w:szCs w:val="20"/>
          <w:lang w:val="es-CO"/>
        </w:rPr>
        <w:t xml:space="preserve">; </w:t>
      </w:r>
    </w:p>
    <w:p w14:paraId="718261EC" w14:textId="4DA91090" w:rsidR="007269CF" w:rsidRPr="00BB63D0" w:rsidRDefault="007269CF" w:rsidP="00BB63D0">
      <w:pPr>
        <w:ind w:left="708"/>
        <w:rPr>
          <w:szCs w:val="20"/>
          <w:lang w:val="es-CO"/>
        </w:rPr>
      </w:pPr>
      <w:r w:rsidRPr="00BB63D0">
        <w:rPr>
          <w:szCs w:val="20"/>
          <w:lang w:val="es-CO"/>
        </w:rPr>
        <w:t xml:space="preserve">g) El sexo, el género, así como las identidades, las funciones y los atributos construidos socialmente a partir de las diferencias biológicas derivadas del sexo asignado al nacer, lejos de constituirse en componentes objetivos e inmutables que individualiza a la persona, por ser un hecho de la naturaleza física o biológica, terminan siendo rasgos que dependen de la apreciación subjetiva de quien lo detenta y descansan en una construcción de la identidad de género auto-percibida relacionada con el libre desarrollo de la personalidad, la autodeterminación sexual y el derecho a la vida privada </w:t>
      </w:r>
      <w:r w:rsidR="005B7B62">
        <w:rPr>
          <w:szCs w:val="20"/>
          <w:lang w:val="es-CO"/>
        </w:rPr>
        <w:t>[...]</w:t>
      </w:r>
      <w:r w:rsidRPr="00BB63D0">
        <w:rPr>
          <w:szCs w:val="20"/>
          <w:lang w:val="es-CO"/>
        </w:rPr>
        <w:t xml:space="preserve">; </w:t>
      </w:r>
    </w:p>
    <w:p w14:paraId="31F3813D" w14:textId="4B84E636" w:rsidR="007269CF" w:rsidRPr="00BB63D0" w:rsidRDefault="007269CF" w:rsidP="00BB63D0">
      <w:pPr>
        <w:ind w:left="708"/>
        <w:rPr>
          <w:szCs w:val="20"/>
          <w:lang w:val="es-CO"/>
        </w:rPr>
      </w:pPr>
      <w:r w:rsidRPr="00BB63D0">
        <w:rPr>
          <w:szCs w:val="20"/>
          <w:lang w:val="es-CO"/>
        </w:rPr>
        <w:t xml:space="preserve">h) El derecho a la identidad posee también un valor instrumental para el ejercicio de determinados derechos </w:t>
      </w:r>
      <w:r w:rsidR="005B7B62">
        <w:rPr>
          <w:szCs w:val="20"/>
          <w:lang w:val="es-CO"/>
        </w:rPr>
        <w:t>[...]</w:t>
      </w:r>
      <w:r w:rsidRPr="00BB63D0">
        <w:rPr>
          <w:szCs w:val="20"/>
          <w:lang w:val="es-CO"/>
        </w:rPr>
        <w:t xml:space="preserve">; </w:t>
      </w:r>
    </w:p>
    <w:p w14:paraId="65B1C737" w14:textId="13F0B749" w:rsidR="007269CF" w:rsidRPr="00BB63D0" w:rsidRDefault="007269CF" w:rsidP="00BB63D0">
      <w:pPr>
        <w:ind w:left="708"/>
        <w:rPr>
          <w:szCs w:val="20"/>
          <w:lang w:val="es-CO"/>
        </w:rPr>
      </w:pPr>
      <w:r w:rsidRPr="00BB63D0">
        <w:rPr>
          <w:szCs w:val="20"/>
          <w:lang w:val="es-CO"/>
        </w:rPr>
        <w:t xml:space="preserve">i) El reconocimiento de la identidad de género por el Estado resulta de vital importancia para garantizar el pleno goce de los derechos humanos de las personas trans, incluyendo la protección contra la violencia, tortura malos tratos, derecho a la salud, a la educación, empleo, vivienda, acceso a la seguridad social, así como el derecho a la libertad de expresión, y de asociación </w:t>
      </w:r>
      <w:r w:rsidR="005B7B62">
        <w:rPr>
          <w:szCs w:val="20"/>
          <w:lang w:val="es-CO"/>
        </w:rPr>
        <w:t>[...]</w:t>
      </w:r>
      <w:r w:rsidRPr="00BB63D0">
        <w:rPr>
          <w:szCs w:val="20"/>
          <w:lang w:val="es-CO"/>
        </w:rPr>
        <w:t xml:space="preserve">, y </w:t>
      </w:r>
    </w:p>
    <w:p w14:paraId="703482D0" w14:textId="6009EC4B" w:rsidR="007269CF" w:rsidRPr="00BB63D0" w:rsidRDefault="007269CF" w:rsidP="00BB63D0">
      <w:pPr>
        <w:ind w:left="708"/>
        <w:rPr>
          <w:szCs w:val="20"/>
          <w:lang w:val="es-CO"/>
        </w:rPr>
      </w:pPr>
      <w:r w:rsidRPr="00BB63D0">
        <w:rPr>
          <w:szCs w:val="20"/>
          <w:lang w:val="es-CO"/>
        </w:rPr>
        <w:t xml:space="preserve">j) El Estado debe asegurar que los individuos de todas las orientaciones sexuales e identidades de género puedan vivir con la misma dignidad y el mismo respeto al que tienen derecho todas las personas </w:t>
      </w:r>
      <w:r w:rsidR="005B7B62">
        <w:rPr>
          <w:szCs w:val="20"/>
          <w:lang w:val="es-CO"/>
        </w:rPr>
        <w:t>[...]</w:t>
      </w:r>
      <w:r w:rsidRPr="00BB63D0">
        <w:rPr>
          <w:szCs w:val="20"/>
          <w:lang w:val="es-CO"/>
        </w:rPr>
        <w:t>.</w:t>
      </w:r>
    </w:p>
    <w:p w14:paraId="298B4CBE" w14:textId="77777777" w:rsidR="007269CF" w:rsidRPr="00BB63D0" w:rsidRDefault="007269CF" w:rsidP="00326300">
      <w:pPr>
        <w:pStyle w:val="Caso"/>
        <w:rPr>
          <w:lang w:val="es-CO"/>
        </w:rPr>
      </w:pPr>
      <w:r w:rsidRPr="00BB63D0">
        <w:rPr>
          <w:lang w:val="es-CO"/>
        </w:rPr>
        <w:t>Corte IDH. Caso Ramírez Escobar y otros Vs. Guatemala. Fondo, Reparaciones y Costas. Sentencia de 9 de marzo de 2018. Serie C No. 351</w:t>
      </w:r>
    </w:p>
    <w:p w14:paraId="600BCD25" w14:textId="77777777" w:rsidR="007269CF" w:rsidRPr="00BB63D0" w:rsidRDefault="007269CF" w:rsidP="00BB63D0">
      <w:pPr>
        <w:rPr>
          <w:szCs w:val="20"/>
          <w:lang w:val="es-CO"/>
        </w:rPr>
      </w:pPr>
      <w:r w:rsidRPr="00BB63D0">
        <w:rPr>
          <w:szCs w:val="20"/>
          <w:lang w:val="es-CO"/>
        </w:rPr>
        <w:t>300.</w:t>
      </w:r>
      <w:r w:rsidRPr="00BB63D0">
        <w:rPr>
          <w:szCs w:val="20"/>
          <w:lang w:val="es-CO"/>
        </w:rPr>
        <w:tab/>
        <w:t>La Corte ha establecido que la orientación sexual y la identidad de género de las personas son categorías protegidas por la Convención, por lo que está proscrita cualquier norma, acto o práctica discriminatoria basada en la orientación sexual de la persona. En consecuencia, ninguna norma, decisión o práctica de derecho interno pueden disminuir o restringir, de modo alguno, los derechos de una persona a partir de su orientación sexual. Este Tribunal ha destacado que para comprobar que una diferenciación de trato ha sido utilizada en una decisión particular, no es necesario que la totalidad de dicha decisión esté basada “fundamental y únicamente” en la orientación sexual de la persona, pues basta con constatar que de manera explícita o implícita se tuvo en cuenta hasta cierto grado la orientación sexual de la persona para adoptar una determinada decisión.</w:t>
      </w:r>
    </w:p>
    <w:p w14:paraId="3FC9E027" w14:textId="597C73E8" w:rsidR="007269CF" w:rsidRPr="00BB63D0" w:rsidRDefault="007269CF" w:rsidP="00BB63D0">
      <w:pPr>
        <w:rPr>
          <w:szCs w:val="20"/>
          <w:lang w:val="es-CO"/>
        </w:rPr>
      </w:pPr>
      <w:r w:rsidRPr="00BB63D0">
        <w:rPr>
          <w:szCs w:val="20"/>
          <w:lang w:val="es-CO"/>
        </w:rPr>
        <w:t>301.</w:t>
      </w:r>
      <w:r w:rsidRPr="00BB63D0">
        <w:rPr>
          <w:szCs w:val="20"/>
          <w:lang w:val="es-CO"/>
        </w:rPr>
        <w:tab/>
        <w:t xml:space="preserve">La Corte constata que, en el presente caso, se descartó la posibilidad de que el cuidado de los hermanos Ramírez se transfiriera a la abuela materna, porque tenía “preferencias homosexuales [y podría] </w:t>
      </w:r>
      <w:proofErr w:type="spellStart"/>
      <w:r w:rsidRPr="00BB63D0">
        <w:rPr>
          <w:szCs w:val="20"/>
          <w:lang w:val="es-CO"/>
        </w:rPr>
        <w:t>trasmit</w:t>
      </w:r>
      <w:proofErr w:type="spellEnd"/>
      <w:r w:rsidRPr="00BB63D0">
        <w:rPr>
          <w:szCs w:val="20"/>
          <w:lang w:val="es-CO"/>
        </w:rPr>
        <w:t xml:space="preserve">[ir] esta serie de valores a los niños que tenga a cargo” </w:t>
      </w:r>
      <w:r w:rsidR="005B7B62">
        <w:rPr>
          <w:szCs w:val="20"/>
          <w:lang w:val="es-CO"/>
        </w:rPr>
        <w:t>[...]</w:t>
      </w:r>
      <w:r w:rsidRPr="00BB63D0">
        <w:rPr>
          <w:szCs w:val="20"/>
          <w:lang w:val="es-CO"/>
        </w:rPr>
        <w:t xml:space="preserve">. A pesar de que la resolución judicial que declaró a los niños en estado de abandono no contiene una motivación explícita, queda establecido que dicha autoridad judicial consideró que ninguno de los familiares de los hermanos Ramírez constituía un recurso adecuado para su protección y que uno de los argumentos para fundamentar esta consideración fue la orientación sexual de la abuela materna. La Corte </w:t>
      </w:r>
      <w:r w:rsidRPr="00326300">
        <w:rPr>
          <w:szCs w:val="20"/>
          <w:lang w:val="es-CO"/>
        </w:rPr>
        <w:t>reitera que la orientación sexual no puede ser utilizada como un elemento decisorio en asuntos de custodia o guarda de niñas y niños. Las consideraciones basadas en estereotipos por la orientación sexual, como las utilizadas en este caso, es decir, pre-concepciones de los atributos, conductas o características poseídas por las personas homosexuales o el impacto que estos presuntamente puedan tener en las niñas y los niños no son idóneas para garantizar el interés superior del niño, por lo que no son admisibles. Tomando en cuenta que la orientación sexual de la abuela materna</w:t>
      </w:r>
      <w:r w:rsidRPr="00BB63D0">
        <w:rPr>
          <w:szCs w:val="20"/>
          <w:lang w:val="es-CO"/>
        </w:rPr>
        <w:t xml:space="preserve"> se tuvo en cuenta, de manera explícita, para </w:t>
      </w:r>
      <w:r w:rsidRPr="00BB63D0">
        <w:rPr>
          <w:szCs w:val="20"/>
          <w:lang w:val="es-CO"/>
        </w:rPr>
        <w:lastRenderedPageBreak/>
        <w:t xml:space="preserve">adoptar la decisión de declarar a los niños Ramírez en estado de abandono y separarlos de su familia biológica, este Tribunal considera que ello constituyó un elemento adicional de discriminación en el presente caso. </w:t>
      </w:r>
    </w:p>
    <w:p w14:paraId="3EA91E98" w14:textId="00438759" w:rsidR="007269CF" w:rsidRDefault="007269CF" w:rsidP="00BB63D0">
      <w:pPr>
        <w:rPr>
          <w:szCs w:val="20"/>
          <w:lang w:val="es-CO"/>
        </w:rPr>
      </w:pPr>
      <w:r w:rsidRPr="00BB63D0">
        <w:rPr>
          <w:szCs w:val="20"/>
          <w:lang w:val="es-CO"/>
        </w:rPr>
        <w:t>302.</w:t>
      </w:r>
      <w:r w:rsidRPr="00BB63D0">
        <w:rPr>
          <w:szCs w:val="20"/>
          <w:lang w:val="es-CO"/>
        </w:rPr>
        <w:tab/>
        <w:t xml:space="preserve">La Corte nota que la abuela materna de los hermanos Ramírez no es presunta víctima en este caso. No obstante, recuerda que la prohibición de discriminación en perjuicio de los niños se extiende a las condiciones de sus padres y representantes legales y, en este caso, de otras personas que hubieran podido ejercer su cuidado como su abuela, en tanto la discriminación en perjuicio de la señora Escobar Carrera privó a </w:t>
      </w:r>
      <w:proofErr w:type="spellStart"/>
      <w:r w:rsidRPr="00BB63D0">
        <w:rPr>
          <w:szCs w:val="20"/>
          <w:lang w:val="es-CO"/>
        </w:rPr>
        <w:t>Osmín</w:t>
      </w:r>
      <w:proofErr w:type="spellEnd"/>
      <w:r w:rsidRPr="00BB63D0">
        <w:rPr>
          <w:szCs w:val="20"/>
          <w:lang w:val="es-CO"/>
        </w:rPr>
        <w:t xml:space="preserve"> Tobar Ramírez de la posibilidad de crecer y desarrollarse en su medio familiar y dentro de su cultura </w:t>
      </w:r>
      <w:r w:rsidR="005B7B62">
        <w:rPr>
          <w:szCs w:val="20"/>
          <w:lang w:val="es-CO"/>
        </w:rPr>
        <w:t>[...]</w:t>
      </w:r>
      <w:r w:rsidRPr="00BB63D0">
        <w:rPr>
          <w:szCs w:val="20"/>
          <w:lang w:val="es-CO"/>
        </w:rPr>
        <w:t xml:space="preserve">. En consecuencia, la discriminación basada en la orientación sexual de la abuela materna también constituyó una forma de discriminación en perjuicio de </w:t>
      </w:r>
      <w:proofErr w:type="spellStart"/>
      <w:r w:rsidRPr="00BB63D0">
        <w:rPr>
          <w:szCs w:val="20"/>
          <w:lang w:val="es-CO"/>
        </w:rPr>
        <w:t>Osmín</w:t>
      </w:r>
      <w:proofErr w:type="spellEnd"/>
      <w:r w:rsidRPr="00BB63D0">
        <w:rPr>
          <w:szCs w:val="20"/>
          <w:lang w:val="es-CO"/>
        </w:rPr>
        <w:t xml:space="preserve"> Tobar Ramírez.</w:t>
      </w:r>
    </w:p>
    <w:p w14:paraId="3071D7F2" w14:textId="76ADB3B8" w:rsidR="007269CF" w:rsidRDefault="007269CF" w:rsidP="002B0D45">
      <w:pPr>
        <w:pStyle w:val="Caso"/>
        <w:rPr>
          <w:lang w:val="es-CO"/>
        </w:rPr>
      </w:pPr>
      <w:r w:rsidRPr="002B0D45">
        <w:rPr>
          <w:lang w:val="es-CO"/>
        </w:rPr>
        <w:t>Corte IDH. Caso Azul Rojas Marín y otra Vs. Perú. Excepciones Preliminares, Fondo, Reparaciones y Costas. Sentencia de 12 de marzo de 2020. Serie C No. 402</w:t>
      </w:r>
    </w:p>
    <w:p w14:paraId="6DBB0ABF" w14:textId="7A51D07D" w:rsidR="007269CF" w:rsidRPr="00945B61" w:rsidRDefault="007269CF" w:rsidP="002B0D45">
      <w:pPr>
        <w:rPr>
          <w:rStyle w:val="EnelmismoCar"/>
          <w:lang w:val="es-CO"/>
        </w:rPr>
      </w:pPr>
      <w:r w:rsidRPr="002B0D45">
        <w:rPr>
          <w:szCs w:val="20"/>
          <w:lang w:val="es-CO"/>
        </w:rPr>
        <w:t xml:space="preserve">90. La Corte Interamericana ha reconocido que las personas LGBTI han sido </w:t>
      </w:r>
      <w:proofErr w:type="spellStart"/>
      <w:r w:rsidRPr="002B0D45">
        <w:rPr>
          <w:szCs w:val="20"/>
          <w:lang w:val="es-CO"/>
        </w:rPr>
        <w:t>históricamente</w:t>
      </w:r>
      <w:proofErr w:type="spellEnd"/>
      <w:r w:rsidRPr="002B0D45">
        <w:rPr>
          <w:szCs w:val="20"/>
          <w:lang w:val="es-CO"/>
        </w:rPr>
        <w:t xml:space="preserve"> </w:t>
      </w:r>
      <w:proofErr w:type="spellStart"/>
      <w:r w:rsidRPr="002B0D45">
        <w:rPr>
          <w:szCs w:val="20"/>
          <w:lang w:val="es-CO"/>
        </w:rPr>
        <w:t>víctimas</w:t>
      </w:r>
      <w:proofErr w:type="spellEnd"/>
      <w:r w:rsidRPr="002B0D45">
        <w:rPr>
          <w:szCs w:val="20"/>
          <w:lang w:val="es-CO"/>
        </w:rPr>
        <w:t xml:space="preserve"> de discriminación estructural, </w:t>
      </w:r>
      <w:proofErr w:type="spellStart"/>
      <w:r w:rsidRPr="002B0D45">
        <w:rPr>
          <w:szCs w:val="20"/>
          <w:lang w:val="es-CO"/>
        </w:rPr>
        <w:t>estigmatización</w:t>
      </w:r>
      <w:proofErr w:type="spellEnd"/>
      <w:r w:rsidRPr="002B0D45">
        <w:rPr>
          <w:szCs w:val="20"/>
          <w:lang w:val="es-CO"/>
        </w:rPr>
        <w:t xml:space="preserve">, diversas formas de violencia y violaciones a sus derechos fundamentales. En este sentido, ya ha establecido que la </w:t>
      </w:r>
      <w:proofErr w:type="spellStart"/>
      <w:r w:rsidRPr="002B0D45">
        <w:rPr>
          <w:szCs w:val="20"/>
          <w:lang w:val="es-CO"/>
        </w:rPr>
        <w:t>orientación</w:t>
      </w:r>
      <w:proofErr w:type="spellEnd"/>
      <w:r w:rsidRPr="002B0D45">
        <w:rPr>
          <w:szCs w:val="20"/>
          <w:lang w:val="es-CO"/>
        </w:rPr>
        <w:t xml:space="preserve"> sexual, identidad de </w:t>
      </w:r>
      <w:proofErr w:type="spellStart"/>
      <w:r w:rsidRPr="002B0D45">
        <w:rPr>
          <w:szCs w:val="20"/>
          <w:lang w:val="es-CO"/>
        </w:rPr>
        <w:t>género</w:t>
      </w:r>
      <w:proofErr w:type="spellEnd"/>
      <w:r w:rsidRPr="002B0D45">
        <w:rPr>
          <w:szCs w:val="20"/>
          <w:lang w:val="es-CO"/>
        </w:rPr>
        <w:t xml:space="preserve"> o </w:t>
      </w:r>
      <w:proofErr w:type="spellStart"/>
      <w:r w:rsidRPr="002B0D45">
        <w:rPr>
          <w:szCs w:val="20"/>
          <w:lang w:val="es-CO"/>
        </w:rPr>
        <w:t>expresión</w:t>
      </w:r>
      <w:proofErr w:type="spellEnd"/>
      <w:r w:rsidRPr="002B0D45">
        <w:rPr>
          <w:szCs w:val="20"/>
          <w:lang w:val="es-CO"/>
        </w:rPr>
        <w:t xml:space="preserve"> de </w:t>
      </w:r>
      <w:proofErr w:type="spellStart"/>
      <w:r w:rsidRPr="002B0D45">
        <w:rPr>
          <w:szCs w:val="20"/>
          <w:lang w:val="es-CO"/>
        </w:rPr>
        <w:t>género</w:t>
      </w:r>
      <w:proofErr w:type="spellEnd"/>
      <w:r w:rsidRPr="002B0D45">
        <w:rPr>
          <w:szCs w:val="20"/>
          <w:lang w:val="es-CO"/>
        </w:rPr>
        <w:t xml:space="preserve"> de la persona son </w:t>
      </w:r>
      <w:proofErr w:type="spellStart"/>
      <w:r w:rsidRPr="002B0D45">
        <w:rPr>
          <w:szCs w:val="20"/>
          <w:lang w:val="es-CO"/>
        </w:rPr>
        <w:t>categorías</w:t>
      </w:r>
      <w:proofErr w:type="spellEnd"/>
      <w:r w:rsidRPr="002B0D45">
        <w:rPr>
          <w:szCs w:val="20"/>
          <w:lang w:val="es-CO"/>
        </w:rPr>
        <w:t xml:space="preserve"> protegidas por la Convención. En consecuencia, el Estado no puede actuar en contra de una persona por motivo de su </w:t>
      </w:r>
      <w:proofErr w:type="spellStart"/>
      <w:r w:rsidRPr="002B0D45">
        <w:rPr>
          <w:szCs w:val="20"/>
          <w:lang w:val="es-CO"/>
        </w:rPr>
        <w:t>orientación</w:t>
      </w:r>
      <w:proofErr w:type="spellEnd"/>
      <w:r w:rsidRPr="002B0D45">
        <w:rPr>
          <w:szCs w:val="20"/>
          <w:lang w:val="es-CO"/>
        </w:rPr>
        <w:t xml:space="preserve"> sexual, su identidad de </w:t>
      </w:r>
      <w:proofErr w:type="spellStart"/>
      <w:r w:rsidRPr="002B0D45">
        <w:rPr>
          <w:szCs w:val="20"/>
          <w:lang w:val="es-CO"/>
        </w:rPr>
        <w:t>género</w:t>
      </w:r>
      <w:proofErr w:type="spellEnd"/>
      <w:r w:rsidRPr="002B0D45">
        <w:rPr>
          <w:szCs w:val="20"/>
          <w:lang w:val="es-CO"/>
        </w:rPr>
        <w:t xml:space="preserve"> y/o su </w:t>
      </w:r>
      <w:proofErr w:type="spellStart"/>
      <w:r w:rsidRPr="002B0D45">
        <w:rPr>
          <w:szCs w:val="20"/>
          <w:lang w:val="es-CO"/>
        </w:rPr>
        <w:t>expresión</w:t>
      </w:r>
      <w:proofErr w:type="spellEnd"/>
      <w:r w:rsidRPr="002B0D45">
        <w:rPr>
          <w:szCs w:val="20"/>
          <w:lang w:val="es-CO"/>
        </w:rPr>
        <w:t xml:space="preserve"> de </w:t>
      </w:r>
      <w:proofErr w:type="spellStart"/>
      <w:r w:rsidRPr="002B0D45">
        <w:rPr>
          <w:szCs w:val="20"/>
          <w:lang w:val="es-CO"/>
        </w:rPr>
        <w:t>género</w:t>
      </w:r>
      <w:proofErr w:type="spellEnd"/>
      <w:r w:rsidRPr="002B0D45">
        <w:rPr>
          <w:szCs w:val="20"/>
          <w:lang w:val="es-CO"/>
        </w:rPr>
        <w:t>.</w:t>
      </w:r>
      <w:r>
        <w:rPr>
          <w:szCs w:val="20"/>
          <w:lang w:val="es-CO"/>
        </w:rPr>
        <w:t xml:space="preserve"> </w:t>
      </w:r>
      <w:r w:rsidR="00651730">
        <w:rPr>
          <w:rStyle w:val="EnelmismoCar"/>
        </w:rPr>
        <w:t>En similar sentido, ver entre otros</w:t>
      </w:r>
      <w:r w:rsidRPr="00945B61">
        <w:rPr>
          <w:rStyle w:val="EnelmismoCar"/>
        </w:rPr>
        <w:t xml:space="preserve">: </w:t>
      </w:r>
      <w:r w:rsidRPr="00945B61">
        <w:rPr>
          <w:rStyle w:val="EnelmismoCar"/>
          <w:lang w:val="es-CO"/>
        </w:rPr>
        <w:t>Corte IDH. Caso Vicky Hernández y otras Vs. Honduras. Fondo, Reparaciones y Costas. Sentencia de 26 de marzo de 2021. Serie C No. 422</w:t>
      </w:r>
      <w:r w:rsidRPr="00945B61">
        <w:rPr>
          <w:rStyle w:val="EnelmismoCar"/>
        </w:rPr>
        <w:t>, párr. 67.</w:t>
      </w:r>
    </w:p>
    <w:p w14:paraId="00D48538" w14:textId="59A683D5" w:rsidR="007269CF" w:rsidRDefault="007269CF" w:rsidP="002B0D45">
      <w:pPr>
        <w:rPr>
          <w:szCs w:val="20"/>
          <w:lang w:val="es-CO"/>
        </w:rPr>
      </w:pPr>
      <w:r w:rsidRPr="002B0D45">
        <w:rPr>
          <w:szCs w:val="20"/>
          <w:lang w:val="es-CO"/>
        </w:rPr>
        <w:t xml:space="preserve">91. Las formas de discriminación en contra de las personas LGBTI se manifiestan en numerosos aspectos en el </w:t>
      </w:r>
      <w:proofErr w:type="spellStart"/>
      <w:r w:rsidRPr="002B0D45">
        <w:rPr>
          <w:szCs w:val="20"/>
          <w:lang w:val="es-CO"/>
        </w:rPr>
        <w:t>ámbito</w:t>
      </w:r>
      <w:proofErr w:type="spellEnd"/>
      <w:r w:rsidRPr="002B0D45">
        <w:rPr>
          <w:szCs w:val="20"/>
          <w:lang w:val="es-CO"/>
        </w:rPr>
        <w:t xml:space="preserve"> </w:t>
      </w:r>
      <w:proofErr w:type="spellStart"/>
      <w:r w:rsidRPr="002B0D45">
        <w:rPr>
          <w:szCs w:val="20"/>
          <w:lang w:val="es-CO"/>
        </w:rPr>
        <w:t>público</w:t>
      </w:r>
      <w:proofErr w:type="spellEnd"/>
      <w:r w:rsidRPr="002B0D45">
        <w:rPr>
          <w:szCs w:val="20"/>
          <w:lang w:val="es-CO"/>
        </w:rPr>
        <w:t xml:space="preserve"> y privado. A juicio de la Corte, una de las formas </w:t>
      </w:r>
      <w:proofErr w:type="spellStart"/>
      <w:r w:rsidRPr="002B0D45">
        <w:rPr>
          <w:szCs w:val="20"/>
          <w:lang w:val="es-CO"/>
        </w:rPr>
        <w:t>más</w:t>
      </w:r>
      <w:proofErr w:type="spellEnd"/>
      <w:r w:rsidRPr="002B0D45">
        <w:rPr>
          <w:szCs w:val="20"/>
          <w:lang w:val="es-CO"/>
        </w:rPr>
        <w:t xml:space="preserve"> extremas de discriminación en contra de las personas LGBTI es la que se materializa en situaciones de violencia. En la </w:t>
      </w:r>
      <w:proofErr w:type="spellStart"/>
      <w:r w:rsidRPr="002B0D45">
        <w:rPr>
          <w:szCs w:val="20"/>
          <w:lang w:val="es-CO"/>
        </w:rPr>
        <w:t>Opinión</w:t>
      </w:r>
      <w:proofErr w:type="spellEnd"/>
      <w:r w:rsidRPr="002B0D45">
        <w:rPr>
          <w:szCs w:val="20"/>
          <w:lang w:val="es-CO"/>
        </w:rPr>
        <w:t xml:space="preserve"> Consultiva OC-24/17 este Tribunal destacó que:</w:t>
      </w:r>
    </w:p>
    <w:p w14:paraId="3DB5BE63" w14:textId="08198E47" w:rsidR="007269CF" w:rsidRDefault="007269CF" w:rsidP="00AA2399">
      <w:pPr>
        <w:pStyle w:val="Citacuerpo"/>
        <w:rPr>
          <w:lang w:val="es-CO"/>
        </w:rPr>
      </w:pPr>
      <w:r w:rsidRPr="002B0D45">
        <w:rPr>
          <w:lang w:val="es-CO"/>
        </w:rPr>
        <w:t xml:space="preserve">[L]os mecanismos de protección de derechos humanos de la </w:t>
      </w:r>
      <w:proofErr w:type="spellStart"/>
      <w:r w:rsidRPr="002B0D45">
        <w:rPr>
          <w:lang w:val="es-CO"/>
        </w:rPr>
        <w:t>Organización</w:t>
      </w:r>
      <w:proofErr w:type="spellEnd"/>
      <w:r w:rsidRPr="002B0D45">
        <w:rPr>
          <w:lang w:val="es-CO"/>
        </w:rPr>
        <w:t xml:space="preserve"> de Naciones Unidas y del Sistema Interamericano, han dejado constancia de los actos violentos basados en prejuicios cometidos en todas las regiones en contra de las personas LGBTI. El ACNUDH ha observado que este tipo de violencia “puede ser </w:t>
      </w:r>
      <w:proofErr w:type="spellStart"/>
      <w:r w:rsidRPr="002B0D45">
        <w:rPr>
          <w:lang w:val="es-CO"/>
        </w:rPr>
        <w:t>física</w:t>
      </w:r>
      <w:proofErr w:type="spellEnd"/>
      <w:r w:rsidRPr="002B0D45">
        <w:rPr>
          <w:lang w:val="es-CO"/>
        </w:rPr>
        <w:t xml:space="preserve"> (asesinatos, palizas, secuestros, agresiones sexuales) o </w:t>
      </w:r>
      <w:proofErr w:type="spellStart"/>
      <w:r w:rsidRPr="002B0D45">
        <w:rPr>
          <w:lang w:val="es-CO"/>
        </w:rPr>
        <w:t>psicológica</w:t>
      </w:r>
      <w:proofErr w:type="spellEnd"/>
      <w:r w:rsidRPr="002B0D45">
        <w:rPr>
          <w:lang w:val="es-CO"/>
        </w:rPr>
        <w:t xml:space="preserve"> (amenazas, </w:t>
      </w:r>
      <w:proofErr w:type="spellStart"/>
      <w:r w:rsidRPr="002B0D45">
        <w:rPr>
          <w:lang w:val="es-CO"/>
        </w:rPr>
        <w:t>coacción</w:t>
      </w:r>
      <w:proofErr w:type="spellEnd"/>
      <w:r w:rsidRPr="002B0D45">
        <w:rPr>
          <w:lang w:val="es-CO"/>
        </w:rPr>
        <w:t xml:space="preserve"> o </w:t>
      </w:r>
      <w:proofErr w:type="spellStart"/>
      <w:r w:rsidRPr="002B0D45">
        <w:rPr>
          <w:lang w:val="es-CO"/>
        </w:rPr>
        <w:t>privación</w:t>
      </w:r>
      <w:proofErr w:type="spellEnd"/>
      <w:r w:rsidRPr="002B0D45">
        <w:rPr>
          <w:lang w:val="es-CO"/>
        </w:rPr>
        <w:t xml:space="preserve"> arbitraria de la libertad, incluido el internamiento </w:t>
      </w:r>
      <w:proofErr w:type="spellStart"/>
      <w:r w:rsidRPr="002B0D45">
        <w:rPr>
          <w:lang w:val="es-CO"/>
        </w:rPr>
        <w:t>psiquiátrico</w:t>
      </w:r>
      <w:proofErr w:type="spellEnd"/>
      <w:r w:rsidRPr="002B0D45">
        <w:rPr>
          <w:lang w:val="es-CO"/>
        </w:rPr>
        <w:t xml:space="preserve"> forzado)”.</w:t>
      </w:r>
    </w:p>
    <w:p w14:paraId="26EA23DC" w14:textId="77777777" w:rsidR="007269CF" w:rsidRDefault="007269CF" w:rsidP="002B0D45">
      <w:pPr>
        <w:rPr>
          <w:szCs w:val="20"/>
          <w:lang w:val="es-CO"/>
        </w:rPr>
      </w:pPr>
      <w:r>
        <w:rPr>
          <w:szCs w:val="20"/>
          <w:lang w:val="es-CO"/>
        </w:rPr>
        <w:t>[...]</w:t>
      </w:r>
    </w:p>
    <w:p w14:paraId="2457B549" w14:textId="408AB009" w:rsidR="007269CF" w:rsidRDefault="007269CF" w:rsidP="002B0D45">
      <w:pPr>
        <w:rPr>
          <w:szCs w:val="20"/>
          <w:lang w:val="es-CO"/>
        </w:rPr>
      </w:pPr>
      <w:r w:rsidRPr="002B0D45">
        <w:rPr>
          <w:szCs w:val="20"/>
          <w:lang w:val="es-CO"/>
        </w:rPr>
        <w:t xml:space="preserve">94. La Corte advierte </w:t>
      </w:r>
      <w:proofErr w:type="spellStart"/>
      <w:r w:rsidRPr="002B0D45">
        <w:rPr>
          <w:szCs w:val="20"/>
          <w:lang w:val="es-CO"/>
        </w:rPr>
        <w:t>además</w:t>
      </w:r>
      <w:proofErr w:type="spellEnd"/>
      <w:r w:rsidRPr="002B0D45">
        <w:rPr>
          <w:szCs w:val="20"/>
          <w:lang w:val="es-CO"/>
        </w:rPr>
        <w:t xml:space="preserve"> que en ocasiones puede ser </w:t>
      </w:r>
      <w:proofErr w:type="spellStart"/>
      <w:r w:rsidRPr="002B0D45">
        <w:rPr>
          <w:szCs w:val="20"/>
          <w:lang w:val="es-CO"/>
        </w:rPr>
        <w:t>difícil</w:t>
      </w:r>
      <w:proofErr w:type="spellEnd"/>
      <w:r w:rsidRPr="002B0D45">
        <w:rPr>
          <w:szCs w:val="20"/>
          <w:lang w:val="es-CO"/>
        </w:rPr>
        <w:t xml:space="preserve"> distinguir entre la discriminación por </w:t>
      </w:r>
      <w:proofErr w:type="spellStart"/>
      <w:r w:rsidRPr="002B0D45">
        <w:rPr>
          <w:szCs w:val="20"/>
          <w:lang w:val="es-CO"/>
        </w:rPr>
        <w:t>orientación</w:t>
      </w:r>
      <w:proofErr w:type="spellEnd"/>
      <w:r w:rsidRPr="002B0D45">
        <w:rPr>
          <w:szCs w:val="20"/>
          <w:lang w:val="es-CO"/>
        </w:rPr>
        <w:t xml:space="preserve"> sexual y la discriminación por </w:t>
      </w:r>
      <w:proofErr w:type="spellStart"/>
      <w:r w:rsidRPr="002B0D45">
        <w:rPr>
          <w:szCs w:val="20"/>
          <w:lang w:val="es-CO"/>
        </w:rPr>
        <w:t>expresión</w:t>
      </w:r>
      <w:proofErr w:type="spellEnd"/>
      <w:r w:rsidRPr="002B0D45">
        <w:rPr>
          <w:szCs w:val="20"/>
          <w:lang w:val="es-CO"/>
        </w:rPr>
        <w:t xml:space="preserve"> de </w:t>
      </w:r>
      <w:proofErr w:type="spellStart"/>
      <w:r w:rsidRPr="002B0D45">
        <w:rPr>
          <w:szCs w:val="20"/>
          <w:lang w:val="es-CO"/>
        </w:rPr>
        <w:t>género</w:t>
      </w:r>
      <w:proofErr w:type="spellEnd"/>
      <w:r w:rsidRPr="002B0D45">
        <w:rPr>
          <w:szCs w:val="20"/>
          <w:lang w:val="es-CO"/>
        </w:rPr>
        <w:t xml:space="preserve">. La discriminación por </w:t>
      </w:r>
      <w:proofErr w:type="spellStart"/>
      <w:r w:rsidRPr="002B0D45">
        <w:rPr>
          <w:szCs w:val="20"/>
          <w:lang w:val="es-CO"/>
        </w:rPr>
        <w:t>orientación</w:t>
      </w:r>
      <w:proofErr w:type="spellEnd"/>
      <w:r w:rsidRPr="002B0D45">
        <w:rPr>
          <w:szCs w:val="20"/>
          <w:lang w:val="es-CO"/>
        </w:rPr>
        <w:t xml:space="preserve"> sexual puede tener fundamento en una </w:t>
      </w:r>
      <w:proofErr w:type="spellStart"/>
      <w:r w:rsidRPr="002B0D45">
        <w:rPr>
          <w:szCs w:val="20"/>
          <w:lang w:val="es-CO"/>
        </w:rPr>
        <w:t>orientación</w:t>
      </w:r>
      <w:proofErr w:type="spellEnd"/>
      <w:r w:rsidRPr="002B0D45">
        <w:rPr>
          <w:szCs w:val="20"/>
          <w:lang w:val="es-CO"/>
        </w:rPr>
        <w:t xml:space="preserve"> sexual real o percibida, por lo que incluye casos en los cuales una persona es discriminada con motivo de la </w:t>
      </w:r>
      <w:proofErr w:type="spellStart"/>
      <w:r w:rsidRPr="002B0D45">
        <w:rPr>
          <w:szCs w:val="20"/>
          <w:lang w:val="es-CO"/>
        </w:rPr>
        <w:t>percepción</w:t>
      </w:r>
      <w:proofErr w:type="spellEnd"/>
      <w:r w:rsidRPr="002B0D45">
        <w:rPr>
          <w:szCs w:val="20"/>
          <w:lang w:val="es-CO"/>
        </w:rPr>
        <w:t xml:space="preserve"> que otros tengan acerca de su </w:t>
      </w:r>
      <w:proofErr w:type="spellStart"/>
      <w:r w:rsidRPr="002B0D45">
        <w:rPr>
          <w:szCs w:val="20"/>
          <w:lang w:val="es-CO"/>
        </w:rPr>
        <w:t>orientación</w:t>
      </w:r>
      <w:proofErr w:type="spellEnd"/>
      <w:r w:rsidRPr="002B0D45">
        <w:rPr>
          <w:szCs w:val="20"/>
          <w:lang w:val="es-CO"/>
        </w:rPr>
        <w:t xml:space="preserve"> sexual. Esta </w:t>
      </w:r>
      <w:proofErr w:type="spellStart"/>
      <w:r w:rsidRPr="002B0D45">
        <w:rPr>
          <w:szCs w:val="20"/>
          <w:lang w:val="es-CO"/>
        </w:rPr>
        <w:t>percepción</w:t>
      </w:r>
      <w:proofErr w:type="spellEnd"/>
      <w:r w:rsidRPr="002B0D45">
        <w:rPr>
          <w:szCs w:val="20"/>
          <w:lang w:val="es-CO"/>
        </w:rPr>
        <w:t xml:space="preserve"> puede estar influenciada, por ejemplo, por el modo de vestir, peinado, </w:t>
      </w:r>
      <w:proofErr w:type="spellStart"/>
      <w:r w:rsidRPr="002B0D45">
        <w:rPr>
          <w:szCs w:val="20"/>
          <w:lang w:val="es-CO"/>
        </w:rPr>
        <w:t>manerismos</w:t>
      </w:r>
      <w:proofErr w:type="spellEnd"/>
      <w:r w:rsidRPr="002B0D45">
        <w:rPr>
          <w:szCs w:val="20"/>
          <w:lang w:val="es-CO"/>
        </w:rPr>
        <w:t xml:space="preserve">, o forma de comportarse que no corresponde a las normas tradicionales o estereotipos de </w:t>
      </w:r>
      <w:proofErr w:type="spellStart"/>
      <w:r w:rsidRPr="002B0D45">
        <w:rPr>
          <w:szCs w:val="20"/>
          <w:lang w:val="es-CO"/>
        </w:rPr>
        <w:t>género</w:t>
      </w:r>
      <w:proofErr w:type="spellEnd"/>
      <w:r w:rsidRPr="002B0D45">
        <w:rPr>
          <w:szCs w:val="20"/>
          <w:lang w:val="es-CO"/>
        </w:rPr>
        <w:t xml:space="preserve">, o constituye una </w:t>
      </w:r>
      <w:proofErr w:type="spellStart"/>
      <w:r w:rsidRPr="002B0D45">
        <w:rPr>
          <w:szCs w:val="20"/>
          <w:lang w:val="es-CO"/>
        </w:rPr>
        <w:t>expresión</w:t>
      </w:r>
      <w:proofErr w:type="spellEnd"/>
      <w:r w:rsidRPr="002B0D45">
        <w:rPr>
          <w:szCs w:val="20"/>
          <w:lang w:val="es-CO"/>
        </w:rPr>
        <w:t xml:space="preserve"> de </w:t>
      </w:r>
      <w:proofErr w:type="spellStart"/>
      <w:r w:rsidRPr="002B0D45">
        <w:rPr>
          <w:szCs w:val="20"/>
          <w:lang w:val="es-CO"/>
        </w:rPr>
        <w:t>género</w:t>
      </w:r>
      <w:proofErr w:type="spellEnd"/>
      <w:r w:rsidRPr="002B0D45">
        <w:rPr>
          <w:szCs w:val="20"/>
          <w:lang w:val="es-CO"/>
        </w:rPr>
        <w:t xml:space="preserve"> no normativa. En el presente caso, la </w:t>
      </w:r>
      <w:proofErr w:type="spellStart"/>
      <w:r w:rsidRPr="002B0D45">
        <w:rPr>
          <w:szCs w:val="20"/>
          <w:lang w:val="es-CO"/>
        </w:rPr>
        <w:t>expresión</w:t>
      </w:r>
      <w:proofErr w:type="spellEnd"/>
      <w:r w:rsidRPr="002B0D45">
        <w:rPr>
          <w:szCs w:val="20"/>
          <w:lang w:val="es-CO"/>
        </w:rPr>
        <w:t xml:space="preserve"> de </w:t>
      </w:r>
      <w:proofErr w:type="spellStart"/>
      <w:r w:rsidRPr="002B0D45">
        <w:rPr>
          <w:szCs w:val="20"/>
          <w:lang w:val="es-CO"/>
        </w:rPr>
        <w:t>género</w:t>
      </w:r>
      <w:proofErr w:type="spellEnd"/>
      <w:r w:rsidRPr="002B0D45">
        <w:rPr>
          <w:szCs w:val="20"/>
          <w:lang w:val="es-CO"/>
        </w:rPr>
        <w:t xml:space="preserve"> de la presunta </w:t>
      </w:r>
      <w:proofErr w:type="spellStart"/>
      <w:r w:rsidRPr="002B0D45">
        <w:rPr>
          <w:szCs w:val="20"/>
          <w:lang w:val="es-CO"/>
        </w:rPr>
        <w:t>víctima</w:t>
      </w:r>
      <w:proofErr w:type="spellEnd"/>
      <w:r w:rsidRPr="002B0D45">
        <w:rPr>
          <w:szCs w:val="20"/>
          <w:lang w:val="es-CO"/>
        </w:rPr>
        <w:t xml:space="preserve"> pudo ser asociada por terceros con una determinada </w:t>
      </w:r>
      <w:proofErr w:type="spellStart"/>
      <w:r w:rsidRPr="002B0D45">
        <w:rPr>
          <w:szCs w:val="20"/>
          <w:lang w:val="es-CO"/>
        </w:rPr>
        <w:t>orientación</w:t>
      </w:r>
      <w:proofErr w:type="spellEnd"/>
      <w:r w:rsidRPr="002B0D45">
        <w:rPr>
          <w:szCs w:val="20"/>
          <w:lang w:val="es-CO"/>
        </w:rPr>
        <w:t xml:space="preserve"> sexual.</w:t>
      </w:r>
    </w:p>
    <w:p w14:paraId="23902B81" w14:textId="37A0B557" w:rsidR="00144A80" w:rsidRDefault="00144A80" w:rsidP="00144A80">
      <w:pPr>
        <w:pStyle w:val="Caso"/>
        <w:rPr>
          <w:lang w:val="es-CO"/>
        </w:rPr>
      </w:pPr>
      <w:r w:rsidRPr="00144A80">
        <w:rPr>
          <w:lang w:val="es-CO"/>
        </w:rPr>
        <w:t xml:space="preserve">Corte IDH. Derechos a la libertad sindical, negociación colectiva y huelga, y su relación con otros derechos, con perspectiva de género (interpretación y alcance de los artículos 13, 15, 16, 24, 25 y 26, en relación con los artículos </w:t>
      </w:r>
      <w:r w:rsidRPr="00144A80">
        <w:rPr>
          <w:lang w:val="es-CO"/>
        </w:rPr>
        <w:lastRenderedPageBreak/>
        <w:t xml:space="preserve">1.1 y 2 de la Convención Americana sobre Derechos Humanos, de los artículos 3, 6, 7 y 8 del Protocolo de San Salvador, de los artículos 2, 3, 4, 5 y 6 de la Convención de Belem do Pará, de los artículos 34, 44 y 45 de la Carta de la Organización de los Estados Americanos, y de los </w:t>
      </w:r>
      <w:r w:rsidRPr="00144A80">
        <w:rPr>
          <w:bCs/>
          <w:lang w:val="es-CO"/>
        </w:rPr>
        <w:t>artículos</w:t>
      </w:r>
      <w:r w:rsidRPr="00144A80">
        <w:rPr>
          <w:lang w:val="es-CO"/>
        </w:rPr>
        <w:t xml:space="preserve"> II, IV, XIV, XXI y XXII de la Declaración Americana de los Derechos y Deberes del Hombre). Opinión Consultiva OC-27/21 de 5 de mayo de 2021. Serie A No. 27</w:t>
      </w:r>
    </w:p>
    <w:p w14:paraId="2B59977C" w14:textId="56BE4D43" w:rsidR="00144A80" w:rsidRPr="00BB63D0" w:rsidRDefault="00144A80" w:rsidP="002B0D45">
      <w:pPr>
        <w:rPr>
          <w:szCs w:val="20"/>
          <w:lang w:val="es-CO"/>
        </w:rPr>
      </w:pPr>
      <w:r w:rsidRPr="00144A80">
        <w:rPr>
          <w:szCs w:val="20"/>
          <w:lang w:val="es-CO"/>
        </w:rPr>
        <w:t>155.</w:t>
      </w:r>
      <w:r w:rsidRPr="00144A80">
        <w:rPr>
          <w:szCs w:val="20"/>
          <w:lang w:val="es-CO"/>
        </w:rPr>
        <w:tab/>
        <w:t>Si bien la consulta realizada por la Comisión Interamericana tiene por objeto la interpretación de un conjunto de normas, con enfoque de género, que tenga en cuenta principalmente la situación de las mujeres, esta Corte advierte que esa perspectiva puede ser inclusiva de otros grupos de personas en situación de vulnerabilidad, como son las personas LGBTI. Así, teniendo en cuenta las obligaciones generales de respeto y garantía establecidas en el artículo 1.1 de la Convención Americana, y los criterios de interpretación fijados en el artículo 29 de dicha Convención, este Tribunal ha dejado establecido que la orientación sexual y la identidad de género, así como la expresión de género, son categorías protegidas por la Convención. Por ello está proscrita por este instrumento interamericano cualquier norma, acto o práctica discriminatoria basada en la orientación sexual, identidad de género o expresión de género de la persona. En consecuencia, ninguna norma, decisión o práctica de derecho interno, sea por parte de autoridades estatales o por particulares, pueden disminuir o restringir, de modo alguno, los derechos de una persona a partir de su orientación sexual, su identidad de género y/o su expresión de género.</w:t>
      </w:r>
    </w:p>
    <w:p w14:paraId="790792AB" w14:textId="6D04F9CC" w:rsidR="007269CF" w:rsidRPr="00326300" w:rsidRDefault="007269CF" w:rsidP="00326300">
      <w:pPr>
        <w:pStyle w:val="Ttulo2"/>
      </w:pPr>
      <w:bookmarkStart w:id="13" w:name="_Toc89017875"/>
      <w:r w:rsidRPr="00326300">
        <w:t xml:space="preserve">Posición económica </w:t>
      </w:r>
      <w:r>
        <w:t>(pobreza)</w:t>
      </w:r>
      <w:bookmarkEnd w:id="13"/>
    </w:p>
    <w:p w14:paraId="3F46C7C7" w14:textId="77777777" w:rsidR="007269CF" w:rsidRPr="00BB63D0" w:rsidRDefault="007269CF" w:rsidP="00BB63D0">
      <w:pPr>
        <w:rPr>
          <w:b/>
          <w:szCs w:val="20"/>
          <w:lang w:val="es-ES_tradnl"/>
        </w:rPr>
      </w:pPr>
      <w:r w:rsidRPr="00BB63D0">
        <w:rPr>
          <w:b/>
          <w:szCs w:val="20"/>
          <w:lang w:val="es-ES_tradnl"/>
        </w:rPr>
        <w:t>Corte IDH. Caso Trabajadores de la Hacienda Brasil Verde Vs. Brasil. Excepciones Preliminares, Fondo, Reparaciones y Costas. Sentencia de 20 de octubre de 2016. Serie C No. 318</w:t>
      </w:r>
    </w:p>
    <w:p w14:paraId="196B0632" w14:textId="77777777" w:rsidR="007269CF" w:rsidRPr="00BB63D0" w:rsidRDefault="007269CF" w:rsidP="00BB63D0">
      <w:pPr>
        <w:rPr>
          <w:szCs w:val="20"/>
          <w:lang w:val="es-ES_tradnl"/>
        </w:rPr>
      </w:pPr>
      <w:r w:rsidRPr="00BB63D0">
        <w:rPr>
          <w:szCs w:val="20"/>
          <w:lang w:val="es-ES_tradnl"/>
        </w:rPr>
        <w:t>335.</w:t>
      </w:r>
      <w:r w:rsidRPr="00BB63D0">
        <w:rPr>
          <w:szCs w:val="20"/>
          <w:lang w:val="es-ES_tradnl"/>
        </w:rPr>
        <w:tab/>
        <w:t xml:space="preserve">Por otro lado, en relación con el artículo 1.1 de la Convención, la Corte ha establecido que es una norma de carácter general cuyo contenido se extiende a todas las disposiciones del tratado, y dispone la obligación de los Estados Parte de respetar y garantizar el pleno y libre ejercicio de los derechos y libertades allí reconocidas “sin discriminación alguna”. Es decir, cualquiera que sea el origen o la forma que asuma, todo tratamiento que pueda ser considerado discriminatorio respecto del ejercicio de cualquiera de los derechos garantizados en la Convención es per se incompatible con la misma. El incumplimiento por el Estado, mediante cualquier tratamiento discriminatorio, de la obligación general de respetar y garantizar los derechos humanos, le genera responsabilidad internacional. Es por ello </w:t>
      </w:r>
      <w:proofErr w:type="gramStart"/>
      <w:r w:rsidRPr="00BB63D0">
        <w:rPr>
          <w:szCs w:val="20"/>
          <w:lang w:val="es-ES_tradnl"/>
        </w:rPr>
        <w:t>que</w:t>
      </w:r>
      <w:proofErr w:type="gramEnd"/>
      <w:r w:rsidRPr="00BB63D0">
        <w:rPr>
          <w:szCs w:val="20"/>
          <w:lang w:val="es-ES_tradnl"/>
        </w:rPr>
        <w:t xml:space="preserve"> existe un vínculo indisoluble entre la obligación de respetar y garantizar los derechos humanos y el principio de igualdad y no discriminación. Al res</w:t>
      </w:r>
      <w:r w:rsidRPr="00326300">
        <w:rPr>
          <w:szCs w:val="20"/>
          <w:lang w:val="es-ES_tradnl"/>
        </w:rPr>
        <w:t>pecto, la Corte destaca que a diferencia de otros tratados de derechos humanos, la “posición económica” de la persona es una de las causales de discriminación prohibidas por el artículo 1.1 de la Convención Americana.</w:t>
      </w:r>
      <w:r w:rsidRPr="00BB63D0">
        <w:rPr>
          <w:szCs w:val="20"/>
          <w:shd w:val="clear" w:color="auto" w:fill="EAF1DD" w:themeFill="accent3" w:themeFillTint="33"/>
          <w:lang w:val="es-ES_tradnl"/>
        </w:rPr>
        <w:t xml:space="preserve"> </w:t>
      </w:r>
    </w:p>
    <w:p w14:paraId="39D96B08" w14:textId="77777777" w:rsidR="007269CF" w:rsidRPr="00BB63D0" w:rsidRDefault="007269CF" w:rsidP="00BB63D0">
      <w:pPr>
        <w:rPr>
          <w:szCs w:val="20"/>
          <w:lang w:val="es-ES_tradnl"/>
        </w:rPr>
      </w:pPr>
      <w:r w:rsidRPr="00BB63D0">
        <w:rPr>
          <w:szCs w:val="20"/>
          <w:lang w:val="es-ES_tradnl"/>
        </w:rPr>
        <w:t>417.</w:t>
      </w:r>
      <w:r w:rsidRPr="00BB63D0">
        <w:rPr>
          <w:szCs w:val="20"/>
          <w:lang w:val="es-ES_tradnl"/>
        </w:rPr>
        <w:tab/>
        <w:t xml:space="preserve">En el presente caso la Corte nota que existía una afectación desproporcional en contra de una parte de la población que compartía características relativas a su condición de exclusión, pobreza y falta de estudios. Se constató que las víctimas de la inspección del año 2000 compartían estas características, las cuales los colocaban en una particular situación de vulnerabilidad </w:t>
      </w:r>
      <w:r w:rsidRPr="00BB63D0">
        <w:rPr>
          <w:szCs w:val="20"/>
        </w:rPr>
        <w:t>[…]</w:t>
      </w:r>
      <w:r w:rsidRPr="00BB63D0">
        <w:rPr>
          <w:szCs w:val="20"/>
          <w:lang w:val="es-ES_tradnl"/>
        </w:rPr>
        <w:t>.</w:t>
      </w:r>
    </w:p>
    <w:p w14:paraId="64EBD497" w14:textId="77777777" w:rsidR="007269CF" w:rsidRPr="00BB63D0" w:rsidRDefault="007269CF" w:rsidP="00BB63D0">
      <w:pPr>
        <w:rPr>
          <w:szCs w:val="20"/>
          <w:lang w:val="es-ES_tradnl"/>
        </w:rPr>
      </w:pPr>
      <w:r w:rsidRPr="00BB63D0">
        <w:rPr>
          <w:szCs w:val="20"/>
          <w:lang w:val="es-ES_tradnl"/>
        </w:rPr>
        <w:t>418.</w:t>
      </w:r>
      <w:r w:rsidRPr="00BB63D0">
        <w:rPr>
          <w:szCs w:val="20"/>
          <w:lang w:val="es-ES_tradnl"/>
        </w:rPr>
        <w:tab/>
        <w:t xml:space="preserve">La Corte nota que del análisis de los procesos que se promovieron respecto de los hechos que ocurrían en la Hacienda Brasil Verde puede observarse que las autoridades no otorgaron a los hechos denunciados la extrema gravedad que los mismos representaban, y como consecuencia de ello no actuaron con la debida </w:t>
      </w:r>
      <w:r w:rsidRPr="00BB63D0">
        <w:rPr>
          <w:szCs w:val="20"/>
          <w:lang w:val="es-ES_tradnl"/>
        </w:rPr>
        <w:lastRenderedPageBreak/>
        <w:t xml:space="preserve">diligencia necesaria para garantizar los derechos de las víctimas. La falta de actuación, así como la poca severidad de los acuerdos generados y las recomendaciones emitidas reflejaron una falta de condena a los hechos que ocurrían en la Hacienda Brasil Verde. La Corte considera que la falta de acción y de sanción de estos hechos puede explicarse a través de una normalización de las condiciones a las que continuamente eran sometidas personas con determinadas características en los estados más pobres de Brasil. </w:t>
      </w:r>
    </w:p>
    <w:p w14:paraId="46479805" w14:textId="77777777" w:rsidR="007269CF" w:rsidRPr="00BB63D0" w:rsidRDefault="007269CF" w:rsidP="00BB63D0">
      <w:pPr>
        <w:rPr>
          <w:szCs w:val="20"/>
          <w:lang w:val="es-ES_tradnl"/>
        </w:rPr>
      </w:pPr>
      <w:r w:rsidRPr="00BB63D0">
        <w:rPr>
          <w:szCs w:val="20"/>
          <w:lang w:val="es-ES_tradnl"/>
        </w:rPr>
        <w:t>419.</w:t>
      </w:r>
      <w:r w:rsidRPr="00BB63D0">
        <w:rPr>
          <w:szCs w:val="20"/>
          <w:lang w:val="es-ES_tradnl"/>
        </w:rPr>
        <w:tab/>
        <w:t>Es así, que es razonable concluir que la falta de debida diligencia y de sanción por los hechos de sometimiento a condición análoga a la de esclavo estaba relacionada a una preconcepción de las condiciones a las que podía ser normal que fueran sometidos los trabajadores de las haciendas del norte y noreste de Brasil. Esta preconcepción resultó discriminatoria en relación a las víctimas del caso e impactó la actuación de las autoridades obstaculizando la posibilidad de conducir procesos que sancionaran a los responsables.</w:t>
      </w:r>
    </w:p>
    <w:p w14:paraId="439FD8A0" w14:textId="77777777" w:rsidR="007269CF" w:rsidRPr="00BB63D0" w:rsidRDefault="007269CF" w:rsidP="00326300">
      <w:pPr>
        <w:pStyle w:val="Caso"/>
        <w:rPr>
          <w:lang w:val="es-CR"/>
        </w:rPr>
      </w:pPr>
      <w:r w:rsidRPr="00BB63D0">
        <w:rPr>
          <w:lang w:val="es-CR"/>
        </w:rPr>
        <w:t>Corte IDH. Caso Ramírez Escobar y otros Vs. Guatemala. Fondo, Reparaciones y Costas. Sentencia de 9 de marzo de 2018. Serie C No. 351</w:t>
      </w:r>
    </w:p>
    <w:p w14:paraId="66463FAC" w14:textId="77777777" w:rsidR="007269CF" w:rsidRPr="00BB63D0" w:rsidRDefault="007269CF" w:rsidP="00BB63D0">
      <w:pPr>
        <w:rPr>
          <w:szCs w:val="20"/>
          <w:lang w:val="es-CR"/>
        </w:rPr>
      </w:pPr>
      <w:r w:rsidRPr="00BB63D0">
        <w:rPr>
          <w:szCs w:val="20"/>
          <w:lang w:val="es-CR"/>
        </w:rPr>
        <w:t>278.</w:t>
      </w:r>
      <w:r w:rsidRPr="00BB63D0">
        <w:rPr>
          <w:szCs w:val="20"/>
          <w:lang w:val="es-CR"/>
        </w:rPr>
        <w:tab/>
        <w:t>La Corte ha destacado que a diferencia de otros tratados de derechos humanos, la “posición económica” de la persona es una de las causales de discriminación prohibidas por el artículo 1.1 de la Convención Americana. Asimismo, este Tribunal ha determinado que el efecto jurídico directo de que una condición o característica de una persona se enmarque dentro de las categorías del artículo 1.1 de la Convención es que el escrutinio judicial debe ser más estricto al valorar diferencias de trato basadas en dichas categorías. En consecuencia, la eventual restricción de un derecho, con base en cualquiera de las categorías del artículo 1.1 de la Convención, exige una fundamentación rigurosa y de mucho peso con razones sustentadas en una argumentación exhaustiva</w:t>
      </w:r>
      <w:r w:rsidRPr="00326300">
        <w:rPr>
          <w:szCs w:val="20"/>
          <w:lang w:val="es-CR"/>
        </w:rPr>
        <w:t>. Además, cualquier diferenciación con base en dichas categorías invierte la carga de la prueba, por lo cual corresponderá a la autoridad demostrar que su decisión no tenía un propósito ni un efecto discriminatorio.</w:t>
      </w:r>
      <w:r w:rsidRPr="00BB63D0">
        <w:rPr>
          <w:szCs w:val="20"/>
          <w:lang w:val="es-CR"/>
        </w:rPr>
        <w:t xml:space="preserve"> </w:t>
      </w:r>
    </w:p>
    <w:p w14:paraId="3005A99D" w14:textId="2AF4E3AE" w:rsidR="007269CF" w:rsidRPr="00BB63D0" w:rsidRDefault="007269CF" w:rsidP="00BB63D0">
      <w:pPr>
        <w:rPr>
          <w:szCs w:val="20"/>
          <w:lang w:val="es-CR"/>
        </w:rPr>
      </w:pPr>
      <w:r w:rsidRPr="00BB63D0">
        <w:rPr>
          <w:szCs w:val="20"/>
          <w:lang w:val="es-CR"/>
        </w:rPr>
        <w:t>279.</w:t>
      </w:r>
      <w:r w:rsidRPr="00BB63D0">
        <w:rPr>
          <w:szCs w:val="20"/>
          <w:lang w:val="es-CR"/>
        </w:rPr>
        <w:tab/>
        <w:t xml:space="preserve">La Corte ha sido clara en que la carencia de recursos materiales no puede ser el único fundamento para una decisión judicial o administrativa que suponga la separación del niño con respecto a su familia, y la consecuente privación de otros derechos consagrados en la Convención. </w:t>
      </w:r>
      <w:r w:rsidRPr="00BB63D0">
        <w:rPr>
          <w:bCs/>
          <w:szCs w:val="20"/>
          <w:lang w:val="es-ES_tradnl"/>
        </w:rPr>
        <w:t xml:space="preserve">De manera similar, el </w:t>
      </w:r>
      <w:r w:rsidRPr="00BB63D0">
        <w:rPr>
          <w:szCs w:val="20"/>
          <w:lang w:val="es-CR"/>
        </w:rPr>
        <w:t>Tribunal</w:t>
      </w:r>
      <w:r w:rsidRPr="00BB63D0">
        <w:rPr>
          <w:bCs/>
          <w:szCs w:val="20"/>
          <w:lang w:val="es-ES_tradnl"/>
        </w:rPr>
        <w:t xml:space="preserve"> Europeo de Derechos Humanos ha destacado que la pobreza nunca puede ser la única razón para separar a las niñas o niños de sus familias, y resaltó la obligación positiva de los Estados de crear condiciones que permitan el desarrollo del vínculo entre los padres y niñas y niños. Con respecto a la separación de niñas o niños que provengan de familias en situación de pobreza, el Tribunal Europeo ha enfatizado que el mero hecho que la niña o el niño podría ser colocado en un ambiente más favorable para su crianza o la mera referencia a la situación de los padres no justifica </w:t>
      </w:r>
      <w:r w:rsidRPr="00BB63D0">
        <w:rPr>
          <w:bCs/>
          <w:i/>
          <w:szCs w:val="20"/>
          <w:lang w:val="es-ES_tradnl"/>
        </w:rPr>
        <w:t>per se</w:t>
      </w:r>
      <w:r w:rsidRPr="00BB63D0">
        <w:rPr>
          <w:bCs/>
          <w:szCs w:val="20"/>
          <w:lang w:val="es-ES_tradnl"/>
        </w:rPr>
        <w:t xml:space="preserve"> una medida obligatoria de separación, ya que la última puede ser abordada con medios menos drásticos que la separación de la familia, tales como la asistencia financiera específica o el asesoramiento social.</w:t>
      </w:r>
    </w:p>
    <w:p w14:paraId="6448B6BD" w14:textId="77777777" w:rsidR="007269CF" w:rsidRPr="00BB63D0" w:rsidRDefault="007269CF" w:rsidP="00BB63D0">
      <w:pPr>
        <w:rPr>
          <w:szCs w:val="20"/>
          <w:lang w:val="es-CR"/>
        </w:rPr>
      </w:pPr>
      <w:r w:rsidRPr="00BB63D0">
        <w:rPr>
          <w:szCs w:val="20"/>
          <w:lang w:val="es-CR"/>
        </w:rPr>
        <w:t>281.</w:t>
      </w:r>
      <w:r w:rsidRPr="00BB63D0">
        <w:rPr>
          <w:szCs w:val="20"/>
          <w:lang w:val="es-CR"/>
        </w:rPr>
        <w:tab/>
        <w:t xml:space="preserve">A efectos de determinar si hubo discriminación por la condición económica de los familiares de los hermanos Ramírez, la Corte examinará: (i) el contexto de pobreza en los procedimientos de abandono y adopción en Guatemala en la época de los hechos, y (ii) si se utilizó </w:t>
      </w:r>
      <w:r w:rsidRPr="00BB63D0">
        <w:rPr>
          <w:szCs w:val="20"/>
          <w:lang w:val="es-ES_tradnl"/>
        </w:rPr>
        <w:t xml:space="preserve">la posición económica de la familia Ramírez como justificación para la separación de los niños de </w:t>
      </w:r>
      <w:r w:rsidRPr="00BB63D0">
        <w:rPr>
          <w:szCs w:val="20"/>
          <w:lang w:val="es-CR"/>
        </w:rPr>
        <w:t>su familia biológica.</w:t>
      </w:r>
    </w:p>
    <w:p w14:paraId="54974E2B" w14:textId="77777777" w:rsidR="007269CF" w:rsidRPr="00BB63D0" w:rsidRDefault="007269CF" w:rsidP="00326300">
      <w:pPr>
        <w:pStyle w:val="PrrafodeSentencia"/>
        <w:rPr>
          <w:lang w:val="es-ES"/>
        </w:rPr>
      </w:pPr>
      <w:r w:rsidRPr="00BB63D0">
        <w:rPr>
          <w:lang w:val="es-ES"/>
        </w:rPr>
        <w:t>[Contexto de pobreza en los procedimientos de abandono y adopción en la época de los hechos]</w:t>
      </w:r>
    </w:p>
    <w:p w14:paraId="4B9EBBD6" w14:textId="0FCF536B" w:rsidR="007269CF" w:rsidRPr="00BB63D0" w:rsidRDefault="007269CF" w:rsidP="00BB63D0">
      <w:pPr>
        <w:rPr>
          <w:szCs w:val="20"/>
          <w:lang w:val="es-CR"/>
        </w:rPr>
      </w:pPr>
      <w:bookmarkStart w:id="14" w:name="_Ref500758475"/>
      <w:bookmarkStart w:id="15" w:name="_Ref502010810"/>
      <w:bookmarkStart w:id="16" w:name="_Ref513737852"/>
      <w:r w:rsidRPr="00BB63D0">
        <w:rPr>
          <w:szCs w:val="20"/>
          <w:lang w:val="es-ES"/>
        </w:rPr>
        <w:t>282.</w:t>
      </w:r>
      <w:r w:rsidRPr="00BB63D0">
        <w:rPr>
          <w:szCs w:val="20"/>
          <w:lang w:val="es-ES"/>
        </w:rPr>
        <w:tab/>
      </w:r>
      <w:r w:rsidRPr="00BB63D0">
        <w:rPr>
          <w:szCs w:val="20"/>
          <w:lang w:val="es-CR"/>
        </w:rPr>
        <w:t xml:space="preserve">Como se mencionó previamente, la situación de pobreza de un alto porcentaje de la población de Guatemala influyó en el contexto de adopciones ilegales en la </w:t>
      </w:r>
      <w:r w:rsidRPr="00BB63D0">
        <w:rPr>
          <w:szCs w:val="20"/>
          <w:lang w:val="es-CR"/>
        </w:rPr>
        <w:lastRenderedPageBreak/>
        <w:t xml:space="preserve">época de los hechos. </w:t>
      </w:r>
      <w:bookmarkStart w:id="17" w:name="_Ref500758250"/>
      <w:bookmarkEnd w:id="14"/>
      <w:r w:rsidRPr="00BB63D0">
        <w:rPr>
          <w:szCs w:val="20"/>
          <w:lang w:val="es-CR"/>
        </w:rPr>
        <w:t>Al respecto, este Tribunal constata que en la época de los hechos existió un contexto de adopciones irregulares, en el cual: i) la condición de pobreza o extrema pobreza de las familias guatemaltecas podía influir en varias etapas de la separación de niñas y niños de su familia; ii) la alta demanda internacional y la pobreza de las familias guatemaltecas generaron que la adopción se manejara según la “ley de oferta y la demanda”; iii) había una tendencia en los procesos de declaratoria de abandono y adopción de considerar la falta de recursos económicos de la madre como un factor predominante para separar a la niña o al niño de su familia e incluirlos en programas de adopción, y iv) la falta de medios económicos a la vez dificultaba la búsqueda de un recurso judicial para recuperar el cuidado de sus hijos</w:t>
      </w:r>
      <w:bookmarkEnd w:id="15"/>
      <w:bookmarkEnd w:id="17"/>
      <w:r w:rsidRPr="00BB63D0">
        <w:rPr>
          <w:szCs w:val="20"/>
          <w:lang w:val="es-CR"/>
        </w:rPr>
        <w:t>.</w:t>
      </w:r>
      <w:bookmarkEnd w:id="16"/>
    </w:p>
    <w:p w14:paraId="2398D005" w14:textId="77777777" w:rsidR="007269CF" w:rsidRPr="00BB63D0" w:rsidRDefault="007269CF" w:rsidP="00326300">
      <w:pPr>
        <w:pStyle w:val="PrrafodeSentencia"/>
        <w:rPr>
          <w:lang w:val="es-ES"/>
        </w:rPr>
      </w:pPr>
      <w:r w:rsidRPr="00BB63D0">
        <w:rPr>
          <w:lang w:val="es-ES"/>
        </w:rPr>
        <w:t xml:space="preserve">[El uso de la posición económica de la familia Ramírez como justificación para la separación de los niños de su familia biológica] </w:t>
      </w:r>
    </w:p>
    <w:p w14:paraId="38710A09" w14:textId="77777777" w:rsidR="007269CF" w:rsidRPr="00BB63D0" w:rsidRDefault="007269CF" w:rsidP="00BB63D0">
      <w:pPr>
        <w:rPr>
          <w:szCs w:val="20"/>
          <w:lang w:val="es-CR"/>
        </w:rPr>
      </w:pPr>
      <w:r w:rsidRPr="00BB63D0">
        <w:rPr>
          <w:szCs w:val="20"/>
          <w:lang w:val="es-CR"/>
        </w:rPr>
        <w:t>283.</w:t>
      </w:r>
      <w:r w:rsidRPr="00BB63D0">
        <w:rPr>
          <w:szCs w:val="20"/>
          <w:lang w:val="es-CR"/>
        </w:rPr>
        <w:tab/>
        <w:t xml:space="preserve">Este Tribunal ya concluyó que la decisión de declaratoria de abandono que separó a los hermanos Ramírez de su familia biológica carecía de una motivación adecuada. Por tanto, la Corte tomará en cuenta las consideraciones de los estudios sociales y dictámenes citados en dicha decisión, con el fin de determinar si la decisión de separación de la familia Ramírez constituyó una diferencia de trato fundamentada, entre otras razones, en la posición económica de los miembros de la familia Ramírez. </w:t>
      </w:r>
    </w:p>
    <w:p w14:paraId="639ADA47" w14:textId="61EDCAD7" w:rsidR="007269CF" w:rsidRPr="00BB63D0" w:rsidRDefault="007269CF" w:rsidP="00BB63D0">
      <w:pPr>
        <w:rPr>
          <w:szCs w:val="20"/>
          <w:lang w:val="es-CR"/>
        </w:rPr>
      </w:pPr>
      <w:r w:rsidRPr="00BB63D0">
        <w:rPr>
          <w:szCs w:val="20"/>
          <w:lang w:val="es-CR"/>
        </w:rPr>
        <w:t>284.</w:t>
      </w:r>
      <w:r w:rsidRPr="00BB63D0">
        <w:rPr>
          <w:szCs w:val="20"/>
          <w:lang w:val="es-CR"/>
        </w:rPr>
        <w:tab/>
        <w:t xml:space="preserve">Al respecto, la Corte constata que, en el marco del proceso de abandono, se realizaron </w:t>
      </w:r>
      <w:r w:rsidRPr="00BB63D0">
        <w:rPr>
          <w:bCs/>
          <w:szCs w:val="20"/>
          <w:lang w:val="es-ES_tradnl"/>
        </w:rPr>
        <w:t xml:space="preserve">estudios </w:t>
      </w:r>
      <w:r w:rsidRPr="00BB63D0">
        <w:rPr>
          <w:szCs w:val="20"/>
          <w:lang w:val="es-CR"/>
        </w:rPr>
        <w:t xml:space="preserve">sociales a la señora Flor de María Ramírez Escobar, madre de los hermanos Ramírez, a la abuela materna y a las madrinas de los niños. En varios de estos estudios se hace referencia a </w:t>
      </w:r>
      <w:r w:rsidRPr="00BB63D0">
        <w:rPr>
          <w:szCs w:val="20"/>
          <w:lang w:val="es-ES_tradnl"/>
        </w:rPr>
        <w:t xml:space="preserve">la situación socioeconómica de la familia como argumento principal para recomendar la continuación del internamiento en una casa hogar o separación de los hermanos Ramírez de su familia biológica. De forma particular, </w:t>
      </w:r>
      <w:r w:rsidRPr="00BB63D0">
        <w:rPr>
          <w:szCs w:val="20"/>
          <w:lang w:val="es-CR"/>
        </w:rPr>
        <w:t>esta Corte resalta que: (i) en un estudio realizado por la Procuraduría General de la Nación en mayo de 1997, se indicó que tanto “[l]a conducta de la madre como [de la] abuela de los niños […] es perjudicial por el momento para la crianza y cuidado de los niños”, refiriéndose como puntos esenciales a la situación económica inestable de ambas y su “conducta muy desordenada”.</w:t>
      </w:r>
      <w:r w:rsidRPr="00BB63D0">
        <w:rPr>
          <w:szCs w:val="20"/>
          <w:lang w:val="es-ES_tradnl"/>
        </w:rPr>
        <w:t xml:space="preserve"> En particular, se concluyó que la situación socioeconómica de la madre era “precaria” y que sus “condiciones de vida son humildes”, así como que la abuela materna “realiza trabajos informales, [por lo cual sus] ingresos económicos son bajos”; (ii) en un estudio </w:t>
      </w:r>
      <w:r w:rsidRPr="00BB63D0">
        <w:rPr>
          <w:szCs w:val="20"/>
          <w:lang w:val="es-CR"/>
        </w:rPr>
        <w:t xml:space="preserve">social realizado por la Asociación Los Niños en mayo de 1997 sobre las madrinas de los niños, se </w:t>
      </w:r>
      <w:r w:rsidRPr="00BB63D0">
        <w:rPr>
          <w:szCs w:val="20"/>
          <w:lang w:val="es-ES_tradnl"/>
        </w:rPr>
        <w:t xml:space="preserve">indicó que “[l]os ingresos de cada grupo familiar son a todas luces insuficientes para cubrir las necesidades de cada familia y es evidente que no están en condiciones económicas de asumir la responsabilidad de criar y educar a otro niño”. </w:t>
      </w:r>
      <w:r w:rsidRPr="00BB63D0">
        <w:rPr>
          <w:szCs w:val="20"/>
          <w:lang w:val="es-CR"/>
        </w:rPr>
        <w:t>En dicho estudio, la trabajadora social recomendó que se declarara a los niños en estado de abandono, basándose en el “hacinamiento en que viven las madrinas y sus familiares” y “lo limitado de sus recursos económicos”. Además, manifestó que “[a]</w:t>
      </w:r>
      <w:proofErr w:type="spellStart"/>
      <w:r w:rsidRPr="00BB63D0">
        <w:rPr>
          <w:szCs w:val="20"/>
          <w:lang w:val="es-CR"/>
        </w:rPr>
        <w:t>mbos</w:t>
      </w:r>
      <w:proofErr w:type="spellEnd"/>
      <w:r w:rsidRPr="00BB63D0">
        <w:rPr>
          <w:szCs w:val="20"/>
          <w:lang w:val="es-CR"/>
        </w:rPr>
        <w:t xml:space="preserve"> niños […] merecen tener su propia familia, donde no sean una carga forzada por las circunstancias”</w:t>
      </w:r>
      <w:bookmarkStart w:id="18" w:name="_Ref500165551"/>
      <w:r w:rsidRPr="00BB63D0">
        <w:rPr>
          <w:szCs w:val="20"/>
          <w:lang w:val="es-ES_tradnl"/>
        </w:rPr>
        <w:t xml:space="preserve">; (iii) </w:t>
      </w:r>
      <w:r w:rsidRPr="00BB63D0">
        <w:rPr>
          <w:szCs w:val="20"/>
          <w:lang w:val="es-CR"/>
        </w:rPr>
        <w:t>en un dictamen de 29 de julio de 1997, la Procuraduría concluyó que “el expediente […] es abundante en su contenido [y] del análisis del mismo se evidencia la necesidad que tienen los referidos niños de que se les brinde un nivel de vida mejor, dentro del seno de una familia”</w:t>
      </w:r>
      <w:bookmarkEnd w:id="18"/>
      <w:r w:rsidRPr="00BB63D0">
        <w:rPr>
          <w:bCs/>
          <w:szCs w:val="20"/>
          <w:lang w:val="es-CR"/>
        </w:rPr>
        <w:t xml:space="preserve">. </w:t>
      </w:r>
    </w:p>
    <w:p w14:paraId="46B4BBEC" w14:textId="77777777" w:rsidR="007269CF" w:rsidRPr="00BB63D0" w:rsidRDefault="007269CF" w:rsidP="00BB63D0">
      <w:pPr>
        <w:rPr>
          <w:szCs w:val="20"/>
          <w:lang w:val="es-CR"/>
        </w:rPr>
      </w:pPr>
      <w:r w:rsidRPr="00BB63D0">
        <w:rPr>
          <w:szCs w:val="20"/>
          <w:lang w:val="es-CR"/>
        </w:rPr>
        <w:t>285.</w:t>
      </w:r>
      <w:r w:rsidRPr="00BB63D0">
        <w:rPr>
          <w:szCs w:val="20"/>
          <w:lang w:val="es-CR"/>
        </w:rPr>
        <w:tab/>
        <w:t xml:space="preserve">Adicionalmente, posterior a la declaratoria de abandono, se observa que: (i) se archivó de manera definitiva la revisión de dicha decisión ante la imposibilidad del señor Tobar Fajardo de sufragar ciertos gastos, condicionándose de esta manera el seguimiento del proceso a la condición económica del señor Tobar Fajardo, y (ii) </w:t>
      </w:r>
      <w:r w:rsidRPr="00BB63D0">
        <w:rPr>
          <w:bCs/>
          <w:szCs w:val="20"/>
          <w:lang w:val="es-CR"/>
        </w:rPr>
        <w:t xml:space="preserve">en aparente contraste con la falta de recursos económicos de la familia biológica, en el procedimiento de adopción se enfatizó la acreditación de la solvencia económica de los padres adoptivos de los hermanos Ramírez. </w:t>
      </w:r>
    </w:p>
    <w:p w14:paraId="1E9A1651" w14:textId="77777777" w:rsidR="007269CF" w:rsidRPr="00BB63D0" w:rsidRDefault="007269CF" w:rsidP="00BB63D0">
      <w:pPr>
        <w:rPr>
          <w:szCs w:val="20"/>
          <w:lang w:val="es-CR"/>
        </w:rPr>
      </w:pPr>
      <w:r w:rsidRPr="00BB63D0">
        <w:rPr>
          <w:szCs w:val="20"/>
          <w:lang w:val="es-CR"/>
        </w:rPr>
        <w:lastRenderedPageBreak/>
        <w:t>286.</w:t>
      </w:r>
      <w:r w:rsidRPr="00BB63D0">
        <w:rPr>
          <w:szCs w:val="20"/>
          <w:lang w:val="es-CR"/>
        </w:rPr>
        <w:tab/>
        <w:t xml:space="preserve">La Corte advierte que la situación económica de los miembros de la familia no es la única razón que se incluye en estos informes, dictámenes o en la decisión que ordenó la separación de los niños Ramírez de su familia biológica. No obstante, recuerda que los alegatos relativos al trato de los niños por su madre nunca fueron adecuadamente investigados, y las otras razones esbozadas evidencian el uso de estereotipos discriminatorios, con base en la orientación sexual o roles de género, que se analizarán más adelante. Por tanto, la Corte considera que la decisión de separar a los hermanos Ramírez de su familia se fundamentó en gran medida en la situación económica de los distintos miembros, incluyendo su familia ampliada, representada por la abuela materna y las madrinas de los niños. </w:t>
      </w:r>
    </w:p>
    <w:p w14:paraId="1856E324" w14:textId="77777777" w:rsidR="007269CF" w:rsidRPr="00BB63D0" w:rsidRDefault="007269CF" w:rsidP="00BB63D0">
      <w:pPr>
        <w:rPr>
          <w:szCs w:val="20"/>
          <w:lang w:val="es-CR"/>
        </w:rPr>
      </w:pPr>
      <w:r w:rsidRPr="00BB63D0">
        <w:rPr>
          <w:szCs w:val="20"/>
          <w:lang w:val="es-CR"/>
        </w:rPr>
        <w:t>287.</w:t>
      </w:r>
      <w:r w:rsidRPr="00326300">
        <w:rPr>
          <w:szCs w:val="20"/>
          <w:lang w:val="es-CR"/>
        </w:rPr>
        <w:tab/>
        <w:t>Este Tribunal reitera que la eventual restricción de un derecho, con base en algunas de las categorías prohibidas por el artículo 1.1 de la Convención, exige una fundamentación rigurosa y con razones sustentadas en una argumentación exhaustiva.</w:t>
      </w:r>
      <w:r w:rsidRPr="00BB63D0">
        <w:rPr>
          <w:szCs w:val="20"/>
          <w:lang w:val="es-CR"/>
        </w:rPr>
        <w:t xml:space="preserve"> Asimismo, reitera que la decisión de declarar a los hermanos Ramírez en abandono carecía de una motivación adecuada. Por tanto, el Estado no ha ofrecido una justificación adecuada sobre la utilización de la posición económica de los distintos miembros de la familia como fundamento para declarar a los niños Ramírez en estado de abandono y posteriormente autorizar su adopción internacional. </w:t>
      </w:r>
    </w:p>
    <w:p w14:paraId="58549B04" w14:textId="77777777" w:rsidR="007269CF" w:rsidRPr="00BB63D0" w:rsidRDefault="007269CF" w:rsidP="00BB63D0">
      <w:pPr>
        <w:rPr>
          <w:szCs w:val="20"/>
          <w:lang w:val="es-CR"/>
        </w:rPr>
      </w:pPr>
      <w:r w:rsidRPr="00BB63D0">
        <w:rPr>
          <w:szCs w:val="20"/>
          <w:lang w:val="es-CR"/>
        </w:rPr>
        <w:t>288.</w:t>
      </w:r>
      <w:r w:rsidRPr="00BB63D0">
        <w:rPr>
          <w:szCs w:val="20"/>
          <w:lang w:val="es-CR"/>
        </w:rPr>
        <w:tab/>
        <w:t xml:space="preserve">Este Tribunal reconoce que la falta de recursos puede tener un impacto en la crianza de niñas y niños, sobre todo cuando ello compromete la satisfacción de sus necesidades más básicas como la alimentación y la salud. Sin embargo, la carencia de recursos materiales no puede ser el único </w:t>
      </w:r>
      <w:r w:rsidRPr="00326300">
        <w:rPr>
          <w:szCs w:val="20"/>
          <w:lang w:val="es-CR"/>
        </w:rPr>
        <w:t>fundamento para una decisión que suponga la separación del niño con respecto a su familia. El interés superior del niño, así como los derechos de los niños a preservar sus relaciones familiares y a no ser objeto de interferencias arbitrarias en las mismas, exige que la posición económica de una familia solo pueda ser utilizada para la separación de la niña o niño de su familia cuando además se invoca otra razón de más peso que por sí misma justificaría esa medida</w:t>
      </w:r>
      <w:r w:rsidRPr="00BB63D0">
        <w:rPr>
          <w:szCs w:val="20"/>
          <w:lang w:val="es-CR"/>
        </w:rPr>
        <w:t>.</w:t>
      </w:r>
    </w:p>
    <w:p w14:paraId="40CBD879" w14:textId="77777777" w:rsidR="007269CF" w:rsidRPr="00BB63D0" w:rsidRDefault="007269CF" w:rsidP="00BB63D0">
      <w:pPr>
        <w:rPr>
          <w:szCs w:val="20"/>
          <w:lang w:val="es-CR"/>
        </w:rPr>
      </w:pPr>
      <w:r w:rsidRPr="00BB63D0">
        <w:rPr>
          <w:szCs w:val="20"/>
          <w:lang w:val="es-CR"/>
        </w:rPr>
        <w:t>290.</w:t>
      </w:r>
      <w:r w:rsidRPr="00BB63D0">
        <w:rPr>
          <w:szCs w:val="20"/>
          <w:lang w:val="es-CR"/>
        </w:rPr>
        <w:tab/>
        <w:t xml:space="preserve">Por tanto, la Corte considera que el Estado no ha ofrecido una justificación adecuada ni medianamente fundamentada de la utilización de la posición económica de la familia en su decisión de separar a los hermanos Ramírez de su familia biológica, teniendo en cuenta el contexto de adopciones irregulares en la época de los hechos, en el cual la pobreza de las familias guatemaltecas influía en varias etapas de la separación de niñas y niños de su familia, y que en este caso concreto la posición económica de distintos miembros de la familia fue un motivo predominante para justificar la separación, negativa de entrega o devolución de los niños. En consecuencia, esta Corte concluye que estas decisiones discriminaron a la familia Ramírez por su posición económica. </w:t>
      </w:r>
    </w:p>
    <w:p w14:paraId="673C62A3" w14:textId="77777777" w:rsidR="007269CF" w:rsidRPr="00BB63D0" w:rsidRDefault="007269CF" w:rsidP="00BB63D0">
      <w:pPr>
        <w:rPr>
          <w:szCs w:val="20"/>
          <w:lang w:val="es-CR"/>
        </w:rPr>
      </w:pPr>
      <w:r w:rsidRPr="00BB63D0">
        <w:rPr>
          <w:szCs w:val="20"/>
          <w:lang w:val="es-CR"/>
        </w:rPr>
        <w:t xml:space="preserve">291. En adición a lo anterior, se resalta que el recurso de revisión en este caso se archivó también por la falta de recursos económicos de la familia Ramírez. Al respecto, este Tribunal destaca que, en este caso, una familia fue arbitrariamente separada, en parte, por la carencia de recursos económicos, y luego el Estado hizo depender su acceso a un recurso efectivo para reparar o subsanar dicha separación arbitraria, nuevamente, en la capacidad económica de las víctimas. De esta manera, Guatemala hizo doblemente depender la protección de los derechos a la familia y a la vida familiar de la capacidad económica de sus titulares. </w:t>
      </w:r>
      <w:bookmarkStart w:id="19" w:name="_Ref502010217"/>
    </w:p>
    <w:p w14:paraId="12A0E866" w14:textId="72F00270" w:rsidR="007269CF" w:rsidRDefault="007269CF" w:rsidP="00BB63D0">
      <w:pPr>
        <w:rPr>
          <w:szCs w:val="20"/>
          <w:lang w:val="es-CR"/>
        </w:rPr>
      </w:pPr>
      <w:r w:rsidRPr="00BB63D0">
        <w:rPr>
          <w:szCs w:val="20"/>
          <w:lang w:val="es-CR"/>
        </w:rPr>
        <w:t>292.</w:t>
      </w:r>
      <w:r w:rsidRPr="00BB63D0">
        <w:rPr>
          <w:szCs w:val="20"/>
          <w:lang w:val="es-CR"/>
        </w:rPr>
        <w:tab/>
        <w:t>Este Tribunal recuerda que un proceso, para alcanzar sus objetivos, debe reconocer y resolver los factores de desigualdad real de quienes son llevados ante la justicia para atender el principio de igualdad ante la ley y los tribunales y la prohibición de discriminación. En particular, la Corte recuerda que</w:t>
      </w:r>
      <w:bookmarkEnd w:id="19"/>
      <w:r w:rsidRPr="00BB63D0">
        <w:rPr>
          <w:szCs w:val="20"/>
          <w:lang w:val="es-CR"/>
        </w:rPr>
        <w:t xml:space="preserve"> si una persona, que busca la protección de la ley para hacer valer los derechos que la Convención le garantiza, encuentra que su posición económica le impide hacerlo porque no puede </w:t>
      </w:r>
      <w:r w:rsidRPr="00BB63D0">
        <w:rPr>
          <w:szCs w:val="20"/>
          <w:lang w:val="es-CR"/>
        </w:rPr>
        <w:lastRenderedPageBreak/>
        <w:t>pagar la asistencia legal necesaria o cubrir los costos del proceso, queda discriminada por motivo de su posición económica y colocada en condiciones de desigualdad ante la ley.</w:t>
      </w:r>
    </w:p>
    <w:p w14:paraId="7C9A8249" w14:textId="58C3E38E" w:rsidR="007269CF" w:rsidRDefault="007269CF" w:rsidP="00634A49">
      <w:pPr>
        <w:pStyle w:val="Caso"/>
        <w:rPr>
          <w:lang w:val="es-CR"/>
        </w:rPr>
      </w:pPr>
      <w:r w:rsidRPr="00F25169">
        <w:rPr>
          <w:lang w:val="es-CR"/>
        </w:rPr>
        <w:t xml:space="preserve">Corte IDH. Caso de los Empleados de la Fábrica de Fuegos de Santo </w:t>
      </w:r>
      <w:proofErr w:type="spellStart"/>
      <w:r w:rsidRPr="00F25169">
        <w:rPr>
          <w:lang w:val="es-CR"/>
        </w:rPr>
        <w:t>Antônio</w:t>
      </w:r>
      <w:proofErr w:type="spellEnd"/>
      <w:r w:rsidRPr="00F25169">
        <w:rPr>
          <w:lang w:val="es-CR"/>
        </w:rPr>
        <w:t xml:space="preserve"> de </w:t>
      </w:r>
      <w:proofErr w:type="spellStart"/>
      <w:r w:rsidRPr="00F25169">
        <w:rPr>
          <w:lang w:val="es-CR"/>
        </w:rPr>
        <w:t>Jesus</w:t>
      </w:r>
      <w:proofErr w:type="spellEnd"/>
      <w:r w:rsidRPr="00F25169">
        <w:rPr>
          <w:lang w:val="es-CR"/>
        </w:rPr>
        <w:t xml:space="preserve"> y sus familiares Vs. Brasil. Excepciones Preliminares, Fondo, Reparaciones y Costas. Sentencia de 15 de julio de 2020. Serie C No. 407</w:t>
      </w:r>
    </w:p>
    <w:p w14:paraId="2262903E" w14:textId="02113F44" w:rsidR="007269CF" w:rsidRPr="00634A49" w:rsidRDefault="007269CF" w:rsidP="00634A49">
      <w:pPr>
        <w:rPr>
          <w:szCs w:val="20"/>
          <w:lang w:val="es-CR"/>
        </w:rPr>
      </w:pPr>
      <w:r w:rsidRPr="00634A49">
        <w:rPr>
          <w:szCs w:val="20"/>
          <w:lang w:val="es-CR"/>
        </w:rPr>
        <w:t xml:space="preserve">185. En </w:t>
      </w:r>
      <w:proofErr w:type="spellStart"/>
      <w:r w:rsidRPr="00634A49">
        <w:rPr>
          <w:szCs w:val="20"/>
          <w:lang w:val="es-CR"/>
        </w:rPr>
        <w:t>relación</w:t>
      </w:r>
      <w:proofErr w:type="spellEnd"/>
      <w:r w:rsidRPr="00634A49">
        <w:rPr>
          <w:szCs w:val="20"/>
          <w:lang w:val="es-CR"/>
        </w:rPr>
        <w:t xml:space="preserve"> con la discriminación por </w:t>
      </w:r>
      <w:proofErr w:type="spellStart"/>
      <w:r w:rsidRPr="00634A49">
        <w:rPr>
          <w:szCs w:val="20"/>
          <w:lang w:val="es-CR"/>
        </w:rPr>
        <w:t>razón</w:t>
      </w:r>
      <w:proofErr w:type="spellEnd"/>
      <w:r w:rsidRPr="00634A49">
        <w:rPr>
          <w:szCs w:val="20"/>
          <w:lang w:val="es-CR"/>
        </w:rPr>
        <w:t xml:space="preserve"> de la pobreza en la que se encontraban las trabajadoras de la </w:t>
      </w:r>
      <w:proofErr w:type="spellStart"/>
      <w:r w:rsidRPr="00634A49">
        <w:rPr>
          <w:szCs w:val="20"/>
          <w:lang w:val="es-CR"/>
        </w:rPr>
        <w:t>fábrica</w:t>
      </w:r>
      <w:proofErr w:type="spellEnd"/>
      <w:r w:rsidRPr="00634A49">
        <w:rPr>
          <w:szCs w:val="20"/>
          <w:lang w:val="es-CR"/>
        </w:rPr>
        <w:t xml:space="preserve"> de fuegos, lo primero que se debe </w:t>
      </w:r>
      <w:proofErr w:type="spellStart"/>
      <w:r w:rsidRPr="00634A49">
        <w:rPr>
          <w:szCs w:val="20"/>
          <w:lang w:val="es-CR"/>
        </w:rPr>
        <w:t>señalar</w:t>
      </w:r>
      <w:proofErr w:type="spellEnd"/>
      <w:r w:rsidRPr="00634A49">
        <w:rPr>
          <w:szCs w:val="20"/>
          <w:lang w:val="es-CR"/>
        </w:rPr>
        <w:t xml:space="preserve"> es que esta no es considerada una </w:t>
      </w:r>
      <w:proofErr w:type="spellStart"/>
      <w:r w:rsidRPr="00634A49">
        <w:rPr>
          <w:szCs w:val="20"/>
          <w:lang w:val="es-CR"/>
        </w:rPr>
        <w:t>categoría</w:t>
      </w:r>
      <w:proofErr w:type="spellEnd"/>
      <w:r w:rsidRPr="00634A49">
        <w:rPr>
          <w:szCs w:val="20"/>
          <w:lang w:val="es-CR"/>
        </w:rPr>
        <w:t xml:space="preserve"> especial de protección al tenor literal del artículo 1.1 de la Convención Americana. Sin embargo, ello no es un </w:t>
      </w:r>
      <w:proofErr w:type="spellStart"/>
      <w:r w:rsidRPr="00634A49">
        <w:rPr>
          <w:szCs w:val="20"/>
          <w:lang w:val="es-CR"/>
        </w:rPr>
        <w:t>obstáculo</w:t>
      </w:r>
      <w:proofErr w:type="spellEnd"/>
      <w:r w:rsidRPr="00634A49">
        <w:rPr>
          <w:szCs w:val="20"/>
          <w:lang w:val="es-CR"/>
        </w:rPr>
        <w:t xml:space="preserve"> para considerar que la discriminación por esta </w:t>
      </w:r>
      <w:proofErr w:type="spellStart"/>
      <w:r w:rsidRPr="00634A49">
        <w:rPr>
          <w:szCs w:val="20"/>
          <w:lang w:val="es-CR"/>
        </w:rPr>
        <w:t>razón</w:t>
      </w:r>
      <w:proofErr w:type="spellEnd"/>
      <w:r w:rsidRPr="00634A49">
        <w:rPr>
          <w:szCs w:val="20"/>
          <w:lang w:val="es-CR"/>
        </w:rPr>
        <w:t xml:space="preserve"> está prohibida por las normas convencionales. Primero, porque el listado contenido en el artículo 1.1 de la Convención no es taxativo sino enunciativo y segundo, porque la pobreza bien puede entenderse dentro de la </w:t>
      </w:r>
      <w:proofErr w:type="spellStart"/>
      <w:r w:rsidRPr="00634A49">
        <w:rPr>
          <w:szCs w:val="20"/>
          <w:lang w:val="es-CR"/>
        </w:rPr>
        <w:t>categoría</w:t>
      </w:r>
      <w:proofErr w:type="spellEnd"/>
      <w:r w:rsidRPr="00634A49">
        <w:rPr>
          <w:szCs w:val="20"/>
          <w:lang w:val="es-CR"/>
        </w:rPr>
        <w:t xml:space="preserve"> de “</w:t>
      </w:r>
      <w:proofErr w:type="spellStart"/>
      <w:r w:rsidRPr="00634A49">
        <w:rPr>
          <w:szCs w:val="20"/>
          <w:lang w:val="es-CR"/>
        </w:rPr>
        <w:t>posición</w:t>
      </w:r>
      <w:proofErr w:type="spellEnd"/>
      <w:r w:rsidRPr="00634A49">
        <w:rPr>
          <w:szCs w:val="20"/>
          <w:lang w:val="es-CR"/>
        </w:rPr>
        <w:t xml:space="preserve"> </w:t>
      </w:r>
      <w:proofErr w:type="spellStart"/>
      <w:r w:rsidRPr="00634A49">
        <w:rPr>
          <w:szCs w:val="20"/>
          <w:lang w:val="es-CR"/>
        </w:rPr>
        <w:t>económica</w:t>
      </w:r>
      <w:proofErr w:type="spellEnd"/>
      <w:r w:rsidRPr="00634A49">
        <w:rPr>
          <w:szCs w:val="20"/>
          <w:lang w:val="es-CR"/>
        </w:rPr>
        <w:t xml:space="preserve">” a la que se refiere expresamente el referido artículo, o en </w:t>
      </w:r>
      <w:proofErr w:type="spellStart"/>
      <w:r w:rsidRPr="00634A49">
        <w:rPr>
          <w:szCs w:val="20"/>
          <w:lang w:val="es-CR"/>
        </w:rPr>
        <w:t>relación</w:t>
      </w:r>
      <w:proofErr w:type="spellEnd"/>
      <w:r w:rsidRPr="00634A49">
        <w:rPr>
          <w:szCs w:val="20"/>
          <w:lang w:val="es-CR"/>
        </w:rPr>
        <w:t xml:space="preserve"> con otras </w:t>
      </w:r>
      <w:proofErr w:type="spellStart"/>
      <w:r w:rsidRPr="00634A49">
        <w:rPr>
          <w:szCs w:val="20"/>
          <w:lang w:val="es-CR"/>
        </w:rPr>
        <w:t>categorías</w:t>
      </w:r>
      <w:proofErr w:type="spellEnd"/>
      <w:r w:rsidRPr="00634A49">
        <w:rPr>
          <w:szCs w:val="20"/>
          <w:lang w:val="es-CR"/>
        </w:rPr>
        <w:t xml:space="preserve"> de protección como el “origen [...] social” u “otra condición social”, en </w:t>
      </w:r>
      <w:proofErr w:type="spellStart"/>
      <w:r w:rsidRPr="00634A49">
        <w:rPr>
          <w:szCs w:val="20"/>
          <w:lang w:val="es-CR"/>
        </w:rPr>
        <w:t>función</w:t>
      </w:r>
      <w:proofErr w:type="spellEnd"/>
      <w:r w:rsidRPr="00634A49">
        <w:rPr>
          <w:szCs w:val="20"/>
          <w:lang w:val="es-CR"/>
        </w:rPr>
        <w:t xml:space="preserve"> de su </w:t>
      </w:r>
      <w:proofErr w:type="spellStart"/>
      <w:r w:rsidRPr="00634A49">
        <w:rPr>
          <w:szCs w:val="20"/>
          <w:lang w:val="es-CR"/>
        </w:rPr>
        <w:t>carácter</w:t>
      </w:r>
      <w:proofErr w:type="spellEnd"/>
      <w:r w:rsidRPr="00634A49">
        <w:rPr>
          <w:szCs w:val="20"/>
          <w:lang w:val="es-CR"/>
        </w:rPr>
        <w:t xml:space="preserve"> multidimensional.</w:t>
      </w:r>
    </w:p>
    <w:p w14:paraId="7CD1823E" w14:textId="4F78F378" w:rsidR="007269CF" w:rsidRPr="00634A49" w:rsidRDefault="007269CF" w:rsidP="00634A49">
      <w:pPr>
        <w:rPr>
          <w:szCs w:val="20"/>
          <w:lang w:val="es-CR"/>
        </w:rPr>
      </w:pPr>
      <w:r w:rsidRPr="00634A49">
        <w:rPr>
          <w:szCs w:val="20"/>
          <w:lang w:val="es-CR"/>
        </w:rPr>
        <w:t xml:space="preserve">186. Al respecto, la Corte recuerda que los Estados </w:t>
      </w:r>
      <w:proofErr w:type="spellStart"/>
      <w:r w:rsidRPr="00634A49">
        <w:rPr>
          <w:szCs w:val="20"/>
          <w:lang w:val="es-CR"/>
        </w:rPr>
        <w:t>están</w:t>
      </w:r>
      <w:proofErr w:type="spellEnd"/>
      <w:r w:rsidRPr="00634A49">
        <w:rPr>
          <w:szCs w:val="20"/>
          <w:lang w:val="es-CR"/>
        </w:rPr>
        <w:t xml:space="preserve"> obligados “a adoptar medidas positivas para revertir o cambiar situaciones discriminatorias existentes en sus sociedades, en perjuicio de determinado grupo de personas. Esto implica el deber especial de protección que el Estado debe ejercer respecto de actuaciones y </w:t>
      </w:r>
      <w:proofErr w:type="spellStart"/>
      <w:r w:rsidRPr="00634A49">
        <w:rPr>
          <w:szCs w:val="20"/>
          <w:lang w:val="es-CR"/>
        </w:rPr>
        <w:t>prácticas</w:t>
      </w:r>
      <w:proofErr w:type="spellEnd"/>
      <w:r w:rsidRPr="00634A49">
        <w:rPr>
          <w:szCs w:val="20"/>
          <w:lang w:val="es-CR"/>
        </w:rPr>
        <w:t xml:space="preserve"> de terceros que, bajo su tolerancia o aquiescencia, creen, mantengan o favorezcan las situaciones discriminatorias” y, </w:t>
      </w:r>
      <w:proofErr w:type="spellStart"/>
      <w:r w:rsidRPr="00634A49">
        <w:rPr>
          <w:szCs w:val="20"/>
          <w:lang w:val="es-CR"/>
        </w:rPr>
        <w:t>además</w:t>
      </w:r>
      <w:proofErr w:type="spellEnd"/>
      <w:r w:rsidRPr="00634A49">
        <w:rPr>
          <w:szCs w:val="20"/>
          <w:lang w:val="es-CR"/>
        </w:rPr>
        <w:t xml:space="preserve">, que los Estados </w:t>
      </w:r>
      <w:proofErr w:type="spellStart"/>
      <w:r w:rsidRPr="00634A49">
        <w:rPr>
          <w:szCs w:val="20"/>
          <w:lang w:val="es-CR"/>
        </w:rPr>
        <w:t>están</w:t>
      </w:r>
      <w:proofErr w:type="spellEnd"/>
      <w:r w:rsidRPr="00634A49">
        <w:rPr>
          <w:szCs w:val="20"/>
          <w:lang w:val="es-CR"/>
        </w:rPr>
        <w:t xml:space="preserve"> obligados a adoptar medidas positivas, determinables en</w:t>
      </w:r>
      <w:r>
        <w:rPr>
          <w:szCs w:val="20"/>
          <w:lang w:val="es-CR"/>
        </w:rPr>
        <w:t xml:space="preserve"> </w:t>
      </w:r>
      <w:proofErr w:type="spellStart"/>
      <w:r w:rsidRPr="00634A49">
        <w:rPr>
          <w:szCs w:val="20"/>
          <w:lang w:val="es-CR"/>
        </w:rPr>
        <w:t>función</w:t>
      </w:r>
      <w:proofErr w:type="spellEnd"/>
      <w:r w:rsidRPr="00634A49">
        <w:rPr>
          <w:szCs w:val="20"/>
          <w:lang w:val="es-CR"/>
        </w:rPr>
        <w:t xml:space="preserve"> de las particulares necesidades de protección del sujeto de derecho, ya sea por su condición personal o por la situación </w:t>
      </w:r>
      <w:proofErr w:type="spellStart"/>
      <w:r w:rsidRPr="00634A49">
        <w:rPr>
          <w:szCs w:val="20"/>
          <w:lang w:val="es-CR"/>
        </w:rPr>
        <w:t>específica</w:t>
      </w:r>
      <w:proofErr w:type="spellEnd"/>
      <w:r w:rsidRPr="00634A49">
        <w:rPr>
          <w:szCs w:val="20"/>
          <w:lang w:val="es-CR"/>
        </w:rPr>
        <w:t xml:space="preserve"> en que se encuentre, como la extrema pobreza o </w:t>
      </w:r>
      <w:proofErr w:type="spellStart"/>
      <w:r w:rsidRPr="00634A49">
        <w:rPr>
          <w:szCs w:val="20"/>
          <w:lang w:val="es-CR"/>
        </w:rPr>
        <w:t>marginación</w:t>
      </w:r>
      <w:proofErr w:type="spellEnd"/>
      <w:r w:rsidRPr="00634A49">
        <w:rPr>
          <w:szCs w:val="20"/>
          <w:lang w:val="es-CR"/>
        </w:rPr>
        <w:t>.</w:t>
      </w:r>
    </w:p>
    <w:p w14:paraId="6DFD9846" w14:textId="4F7B2702" w:rsidR="007269CF" w:rsidRDefault="007269CF" w:rsidP="00634A49">
      <w:pPr>
        <w:rPr>
          <w:szCs w:val="20"/>
          <w:lang w:val="es-CR"/>
        </w:rPr>
      </w:pPr>
      <w:r w:rsidRPr="00634A49">
        <w:rPr>
          <w:szCs w:val="20"/>
          <w:lang w:val="es-CR"/>
        </w:rPr>
        <w:t xml:space="preserve">187. La Corte Interamericana ya se ha pronunciado sobre la pobreza y la </w:t>
      </w:r>
      <w:proofErr w:type="spellStart"/>
      <w:r w:rsidRPr="00634A49">
        <w:rPr>
          <w:szCs w:val="20"/>
          <w:lang w:val="es-CR"/>
        </w:rPr>
        <w:t>prohibición</w:t>
      </w:r>
      <w:proofErr w:type="spellEnd"/>
      <w:r w:rsidRPr="00634A49">
        <w:rPr>
          <w:szCs w:val="20"/>
          <w:lang w:val="es-CR"/>
        </w:rPr>
        <w:t xml:space="preserve"> de discriminación por </w:t>
      </w:r>
      <w:proofErr w:type="spellStart"/>
      <w:r w:rsidRPr="00634A49">
        <w:rPr>
          <w:szCs w:val="20"/>
          <w:lang w:val="es-CR"/>
        </w:rPr>
        <w:t>posición</w:t>
      </w:r>
      <w:proofErr w:type="spellEnd"/>
      <w:r w:rsidRPr="00634A49">
        <w:rPr>
          <w:szCs w:val="20"/>
          <w:lang w:val="es-CR"/>
        </w:rPr>
        <w:t xml:space="preserve"> </w:t>
      </w:r>
      <w:proofErr w:type="spellStart"/>
      <w:r w:rsidRPr="00634A49">
        <w:rPr>
          <w:szCs w:val="20"/>
          <w:lang w:val="es-CR"/>
        </w:rPr>
        <w:t>económica</w:t>
      </w:r>
      <w:proofErr w:type="spellEnd"/>
      <w:r w:rsidRPr="00634A49">
        <w:rPr>
          <w:szCs w:val="20"/>
          <w:lang w:val="es-CR"/>
        </w:rPr>
        <w:t xml:space="preserve">. En ese sentido, ha reconocido en varias de sus decisiones que las violaciones de derechos humanos han estado </w:t>
      </w:r>
      <w:proofErr w:type="spellStart"/>
      <w:r w:rsidRPr="00634A49">
        <w:rPr>
          <w:szCs w:val="20"/>
          <w:lang w:val="es-CR"/>
        </w:rPr>
        <w:t>acompañadas</w:t>
      </w:r>
      <w:proofErr w:type="spellEnd"/>
      <w:r w:rsidRPr="00634A49">
        <w:rPr>
          <w:szCs w:val="20"/>
          <w:lang w:val="es-CR"/>
        </w:rPr>
        <w:t xml:space="preserve"> de situaciones de </w:t>
      </w:r>
      <w:proofErr w:type="spellStart"/>
      <w:r w:rsidRPr="00634A49">
        <w:rPr>
          <w:szCs w:val="20"/>
          <w:lang w:val="es-CR"/>
        </w:rPr>
        <w:t>exclusión</w:t>
      </w:r>
      <w:proofErr w:type="spellEnd"/>
      <w:r w:rsidRPr="00634A49">
        <w:rPr>
          <w:szCs w:val="20"/>
          <w:lang w:val="es-CR"/>
        </w:rPr>
        <w:t xml:space="preserve"> y </w:t>
      </w:r>
      <w:proofErr w:type="spellStart"/>
      <w:r w:rsidRPr="00634A49">
        <w:rPr>
          <w:szCs w:val="20"/>
          <w:lang w:val="es-CR"/>
        </w:rPr>
        <w:t>marginación</w:t>
      </w:r>
      <w:proofErr w:type="spellEnd"/>
      <w:r w:rsidRPr="00634A49">
        <w:rPr>
          <w:szCs w:val="20"/>
          <w:lang w:val="es-CR"/>
        </w:rPr>
        <w:t xml:space="preserve"> por la situación de pobreza de las </w:t>
      </w:r>
      <w:proofErr w:type="spellStart"/>
      <w:r w:rsidRPr="00634A49">
        <w:rPr>
          <w:szCs w:val="20"/>
          <w:lang w:val="es-CR"/>
        </w:rPr>
        <w:t>víctimas</w:t>
      </w:r>
      <w:proofErr w:type="spellEnd"/>
      <w:r w:rsidRPr="00634A49">
        <w:rPr>
          <w:szCs w:val="20"/>
          <w:lang w:val="es-CR"/>
        </w:rPr>
        <w:t xml:space="preserve"> y ha identificado a la pobreza como un factor de vulnerabilidad que profundiza el impacto de la </w:t>
      </w:r>
      <w:proofErr w:type="spellStart"/>
      <w:r w:rsidRPr="00634A49">
        <w:rPr>
          <w:szCs w:val="20"/>
          <w:lang w:val="es-CR"/>
        </w:rPr>
        <w:t>victimización</w:t>
      </w:r>
      <w:proofErr w:type="spellEnd"/>
      <w:r w:rsidRPr="00634A49">
        <w:rPr>
          <w:szCs w:val="20"/>
          <w:lang w:val="es-CR"/>
        </w:rPr>
        <w:t xml:space="preserve">. Recientemente, en el Caso </w:t>
      </w:r>
      <w:r w:rsidRPr="00634A49">
        <w:rPr>
          <w:i/>
          <w:iCs/>
          <w:szCs w:val="20"/>
          <w:lang w:val="es-CR"/>
        </w:rPr>
        <w:t>Trabajadores de la Hacienda Brasil Verde Vs. Brasil</w:t>
      </w:r>
      <w:r w:rsidRPr="00634A49">
        <w:rPr>
          <w:szCs w:val="20"/>
          <w:lang w:val="es-CR"/>
        </w:rPr>
        <w:t xml:space="preserve">, </w:t>
      </w:r>
      <w:proofErr w:type="spellStart"/>
      <w:r w:rsidRPr="00634A49">
        <w:rPr>
          <w:szCs w:val="20"/>
          <w:lang w:val="es-CR"/>
        </w:rPr>
        <w:t>encontro</w:t>
      </w:r>
      <w:proofErr w:type="spellEnd"/>
      <w:r w:rsidRPr="00634A49">
        <w:rPr>
          <w:szCs w:val="20"/>
          <w:lang w:val="es-CR"/>
        </w:rPr>
        <w:t xml:space="preserve">́ que “el Estado no consideró la vulnerabilidad de los 85 trabajadores rescatados el 15 de marzo de 2000, en virtud de la discriminación con base en la </w:t>
      </w:r>
      <w:proofErr w:type="spellStart"/>
      <w:r w:rsidRPr="00634A49">
        <w:rPr>
          <w:szCs w:val="20"/>
          <w:lang w:val="es-CR"/>
        </w:rPr>
        <w:t>posición</w:t>
      </w:r>
      <w:proofErr w:type="spellEnd"/>
      <w:r w:rsidRPr="00634A49">
        <w:rPr>
          <w:szCs w:val="20"/>
          <w:lang w:val="es-CR"/>
        </w:rPr>
        <w:t xml:space="preserve"> </w:t>
      </w:r>
      <w:proofErr w:type="spellStart"/>
      <w:r w:rsidRPr="00634A49">
        <w:rPr>
          <w:szCs w:val="20"/>
          <w:lang w:val="es-CR"/>
        </w:rPr>
        <w:t>económica</w:t>
      </w:r>
      <w:proofErr w:type="spellEnd"/>
      <w:r w:rsidRPr="00634A49">
        <w:rPr>
          <w:szCs w:val="20"/>
          <w:lang w:val="es-CR"/>
        </w:rPr>
        <w:t xml:space="preserve"> a la que estaban sometidos” y </w:t>
      </w:r>
      <w:proofErr w:type="spellStart"/>
      <w:r w:rsidRPr="00634A49">
        <w:rPr>
          <w:szCs w:val="20"/>
          <w:lang w:val="es-CR"/>
        </w:rPr>
        <w:t>encontro</w:t>
      </w:r>
      <w:proofErr w:type="spellEnd"/>
      <w:r w:rsidRPr="00634A49">
        <w:rPr>
          <w:szCs w:val="20"/>
          <w:lang w:val="es-CR"/>
        </w:rPr>
        <w:t xml:space="preserve">́ al Estado responsable de la situación de discriminación estructural </w:t>
      </w:r>
      <w:proofErr w:type="spellStart"/>
      <w:r w:rsidRPr="00634A49">
        <w:rPr>
          <w:szCs w:val="20"/>
          <w:lang w:val="es-CR"/>
        </w:rPr>
        <w:t>histórica</w:t>
      </w:r>
      <w:proofErr w:type="spellEnd"/>
      <w:r w:rsidRPr="00634A49">
        <w:rPr>
          <w:szCs w:val="20"/>
          <w:lang w:val="es-CR"/>
        </w:rPr>
        <w:t xml:space="preserve"> en </w:t>
      </w:r>
      <w:proofErr w:type="spellStart"/>
      <w:r w:rsidRPr="00634A49">
        <w:rPr>
          <w:szCs w:val="20"/>
          <w:lang w:val="es-CR"/>
        </w:rPr>
        <w:t>razón</w:t>
      </w:r>
      <w:proofErr w:type="spellEnd"/>
      <w:r w:rsidRPr="00634A49">
        <w:rPr>
          <w:szCs w:val="20"/>
          <w:lang w:val="es-CR"/>
        </w:rPr>
        <w:t xml:space="preserve"> de la </w:t>
      </w:r>
      <w:proofErr w:type="spellStart"/>
      <w:r w:rsidRPr="00634A49">
        <w:rPr>
          <w:szCs w:val="20"/>
          <w:lang w:val="es-CR"/>
        </w:rPr>
        <w:t>posición</w:t>
      </w:r>
      <w:proofErr w:type="spellEnd"/>
      <w:r w:rsidRPr="00634A49">
        <w:rPr>
          <w:szCs w:val="20"/>
          <w:lang w:val="es-CR"/>
        </w:rPr>
        <w:t xml:space="preserve"> </w:t>
      </w:r>
      <w:proofErr w:type="spellStart"/>
      <w:r w:rsidRPr="00634A49">
        <w:rPr>
          <w:szCs w:val="20"/>
          <w:lang w:val="es-CR"/>
        </w:rPr>
        <w:t>económica</w:t>
      </w:r>
      <w:proofErr w:type="spellEnd"/>
      <w:r w:rsidRPr="00634A49">
        <w:rPr>
          <w:szCs w:val="20"/>
          <w:lang w:val="es-CR"/>
        </w:rPr>
        <w:t xml:space="preserve"> de las </w:t>
      </w:r>
      <w:proofErr w:type="spellStart"/>
      <w:r w:rsidRPr="00634A49">
        <w:rPr>
          <w:szCs w:val="20"/>
          <w:lang w:val="es-CR"/>
        </w:rPr>
        <w:t>víctimas</w:t>
      </w:r>
      <w:proofErr w:type="spellEnd"/>
      <w:r w:rsidRPr="00634A49">
        <w:rPr>
          <w:szCs w:val="20"/>
          <w:lang w:val="es-CR"/>
        </w:rPr>
        <w:t xml:space="preserve">. </w:t>
      </w:r>
      <w:proofErr w:type="spellStart"/>
      <w:r w:rsidRPr="00634A49">
        <w:rPr>
          <w:szCs w:val="20"/>
          <w:lang w:val="es-CR"/>
        </w:rPr>
        <w:t>Además</w:t>
      </w:r>
      <w:proofErr w:type="spellEnd"/>
      <w:r w:rsidRPr="00634A49">
        <w:rPr>
          <w:szCs w:val="20"/>
          <w:lang w:val="es-CR"/>
        </w:rPr>
        <w:t xml:space="preserve">, en el Caso </w:t>
      </w:r>
      <w:r w:rsidRPr="00634A49">
        <w:rPr>
          <w:i/>
          <w:iCs/>
          <w:szCs w:val="20"/>
          <w:lang w:val="es-CR"/>
        </w:rPr>
        <w:t>Trabajadores de la Hacienda Brasil Verde Vs. Brasil</w:t>
      </w:r>
      <w:r w:rsidRPr="00634A49">
        <w:rPr>
          <w:szCs w:val="20"/>
          <w:lang w:val="es-CR"/>
        </w:rPr>
        <w:t xml:space="preserve">, la Corte </w:t>
      </w:r>
      <w:proofErr w:type="spellStart"/>
      <w:r w:rsidRPr="00634A49">
        <w:rPr>
          <w:szCs w:val="20"/>
          <w:lang w:val="es-CR"/>
        </w:rPr>
        <w:t>señalo</w:t>
      </w:r>
      <w:proofErr w:type="spellEnd"/>
      <w:r w:rsidRPr="00634A49">
        <w:rPr>
          <w:szCs w:val="20"/>
          <w:lang w:val="es-CR"/>
        </w:rPr>
        <w:t xml:space="preserve">́ que, en un evento de discriminación estructural, se debe considerar en qué medida la </w:t>
      </w:r>
      <w:proofErr w:type="spellStart"/>
      <w:r w:rsidRPr="00634A49">
        <w:rPr>
          <w:szCs w:val="20"/>
          <w:lang w:val="es-CR"/>
        </w:rPr>
        <w:t>victimización</w:t>
      </w:r>
      <w:proofErr w:type="spellEnd"/>
      <w:r w:rsidRPr="00634A49">
        <w:rPr>
          <w:szCs w:val="20"/>
          <w:lang w:val="es-CR"/>
        </w:rPr>
        <w:t xml:space="preserve"> del caso concreto evidencia la vulnerabilidad de las personas que pertenecen a un grupo.</w:t>
      </w:r>
    </w:p>
    <w:p w14:paraId="4E331156" w14:textId="40E8F505" w:rsidR="007269CF" w:rsidRPr="00634A49" w:rsidRDefault="007269CF" w:rsidP="00634A49">
      <w:pPr>
        <w:rPr>
          <w:szCs w:val="20"/>
          <w:lang w:val="es-CR"/>
        </w:rPr>
      </w:pPr>
      <w:r w:rsidRPr="00634A49">
        <w:rPr>
          <w:szCs w:val="20"/>
          <w:lang w:val="es-CR"/>
        </w:rPr>
        <w:t xml:space="preserve">188. En el presente caso, la </w:t>
      </w:r>
      <w:proofErr w:type="spellStart"/>
      <w:r w:rsidRPr="00634A49">
        <w:rPr>
          <w:szCs w:val="20"/>
          <w:lang w:val="es-CR"/>
        </w:rPr>
        <w:t>Comisión</w:t>
      </w:r>
      <w:proofErr w:type="spellEnd"/>
      <w:r w:rsidRPr="00634A49">
        <w:rPr>
          <w:szCs w:val="20"/>
          <w:lang w:val="es-CR"/>
        </w:rPr>
        <w:t xml:space="preserve"> sostuvo que hay un nexo entre el incumplimiento de las obligaciones del Estado y la situación de pobreza que se </w:t>
      </w:r>
      <w:proofErr w:type="spellStart"/>
      <w:r w:rsidRPr="00634A49">
        <w:rPr>
          <w:szCs w:val="20"/>
          <w:lang w:val="es-CR"/>
        </w:rPr>
        <w:t>vivía</w:t>
      </w:r>
      <w:proofErr w:type="spellEnd"/>
      <w:r w:rsidRPr="00634A49">
        <w:rPr>
          <w:szCs w:val="20"/>
          <w:lang w:val="es-CR"/>
        </w:rPr>
        <w:t xml:space="preserve"> en el municipio de Santo </w:t>
      </w:r>
      <w:proofErr w:type="spellStart"/>
      <w:r w:rsidRPr="00634A49">
        <w:rPr>
          <w:szCs w:val="20"/>
          <w:lang w:val="es-CR"/>
        </w:rPr>
        <w:t>Anto</w:t>
      </w:r>
      <w:r w:rsidRPr="00634A49">
        <w:rPr>
          <w:rFonts w:ascii="Arial" w:hAnsi="Arial" w:cs="Arial"/>
          <w:szCs w:val="20"/>
          <w:lang w:val="es-CR"/>
        </w:rPr>
        <w:t>̂</w:t>
      </w:r>
      <w:r w:rsidRPr="00634A49">
        <w:rPr>
          <w:szCs w:val="20"/>
          <w:lang w:val="es-CR"/>
        </w:rPr>
        <w:t>nio</w:t>
      </w:r>
      <w:proofErr w:type="spellEnd"/>
      <w:r w:rsidRPr="00634A49">
        <w:rPr>
          <w:szCs w:val="20"/>
          <w:lang w:val="es-CR"/>
        </w:rPr>
        <w:t xml:space="preserve"> de </w:t>
      </w:r>
      <w:proofErr w:type="spellStart"/>
      <w:r w:rsidRPr="00634A49">
        <w:rPr>
          <w:szCs w:val="20"/>
          <w:lang w:val="es-CR"/>
        </w:rPr>
        <w:t>Jesus</w:t>
      </w:r>
      <w:proofErr w:type="spellEnd"/>
      <w:r w:rsidRPr="00634A49">
        <w:rPr>
          <w:szCs w:val="20"/>
          <w:lang w:val="es-CR"/>
        </w:rPr>
        <w:t xml:space="preserve">, de modo que las condiciones de pobreza de las trabajadoras de la </w:t>
      </w:r>
      <w:proofErr w:type="spellStart"/>
      <w:r w:rsidRPr="00634A49">
        <w:rPr>
          <w:szCs w:val="20"/>
          <w:lang w:val="es-CR"/>
        </w:rPr>
        <w:t>fábrica</w:t>
      </w:r>
      <w:proofErr w:type="spellEnd"/>
      <w:r w:rsidRPr="00634A49">
        <w:rPr>
          <w:szCs w:val="20"/>
          <w:lang w:val="es-CR"/>
        </w:rPr>
        <w:t xml:space="preserve"> de fuegos artificiales </w:t>
      </w:r>
      <w:proofErr w:type="spellStart"/>
      <w:r w:rsidRPr="00634A49">
        <w:rPr>
          <w:szCs w:val="20"/>
          <w:lang w:val="es-CR"/>
        </w:rPr>
        <w:t>habrían</w:t>
      </w:r>
      <w:proofErr w:type="spellEnd"/>
      <w:r w:rsidRPr="00634A49">
        <w:rPr>
          <w:szCs w:val="20"/>
          <w:lang w:val="es-CR"/>
        </w:rPr>
        <w:t xml:space="preserve"> llevado a la </w:t>
      </w:r>
      <w:proofErr w:type="spellStart"/>
      <w:r w:rsidRPr="00634A49">
        <w:rPr>
          <w:szCs w:val="20"/>
          <w:lang w:val="es-CR"/>
        </w:rPr>
        <w:t>violación</w:t>
      </w:r>
      <w:proofErr w:type="spellEnd"/>
      <w:r w:rsidRPr="00634A49">
        <w:rPr>
          <w:szCs w:val="20"/>
          <w:lang w:val="es-CR"/>
        </w:rPr>
        <w:t xml:space="preserve"> de su derecho a condiciones equitativas y satisfactorias de trabajo sin discriminación. Lo anterior indica que este caso se trata de una alegada discriminación estructural en </w:t>
      </w:r>
      <w:proofErr w:type="spellStart"/>
      <w:r w:rsidRPr="00634A49">
        <w:rPr>
          <w:szCs w:val="20"/>
          <w:lang w:val="es-CR"/>
        </w:rPr>
        <w:t>razón</w:t>
      </w:r>
      <w:proofErr w:type="spellEnd"/>
      <w:r w:rsidRPr="00634A49">
        <w:rPr>
          <w:szCs w:val="20"/>
          <w:lang w:val="es-CR"/>
        </w:rPr>
        <w:t xml:space="preserve"> de la pobreza. Sobre el particular, la Corte constata que las presuntas </w:t>
      </w:r>
      <w:proofErr w:type="spellStart"/>
      <w:r w:rsidRPr="00634A49">
        <w:rPr>
          <w:szCs w:val="20"/>
          <w:lang w:val="es-CR"/>
        </w:rPr>
        <w:t>víctimas</w:t>
      </w:r>
      <w:proofErr w:type="spellEnd"/>
      <w:r w:rsidRPr="00634A49">
        <w:rPr>
          <w:szCs w:val="20"/>
          <w:lang w:val="es-CR"/>
        </w:rPr>
        <w:t xml:space="preserve"> eran personas que, por cuenta de la discriminación estructural por su condición de pobreza, no </w:t>
      </w:r>
      <w:proofErr w:type="spellStart"/>
      <w:r w:rsidRPr="00634A49">
        <w:rPr>
          <w:szCs w:val="20"/>
          <w:lang w:val="es-CR"/>
        </w:rPr>
        <w:t>podían</w:t>
      </w:r>
      <w:proofErr w:type="spellEnd"/>
      <w:r w:rsidRPr="00634A49">
        <w:rPr>
          <w:szCs w:val="20"/>
          <w:lang w:val="es-CR"/>
        </w:rPr>
        <w:t xml:space="preserve"> acceder a otra de fuente de ingresos y </w:t>
      </w:r>
      <w:proofErr w:type="spellStart"/>
      <w:r w:rsidRPr="00634A49">
        <w:rPr>
          <w:szCs w:val="20"/>
          <w:lang w:val="es-CR"/>
        </w:rPr>
        <w:t>debían</w:t>
      </w:r>
      <w:proofErr w:type="spellEnd"/>
      <w:r w:rsidRPr="00634A49">
        <w:rPr>
          <w:szCs w:val="20"/>
          <w:lang w:val="es-CR"/>
        </w:rPr>
        <w:t xml:space="preserve"> exponerse al aceptar un trabajo en condiciones de vulnerabilidad, que </w:t>
      </w:r>
      <w:proofErr w:type="spellStart"/>
      <w:r w:rsidRPr="00634A49">
        <w:rPr>
          <w:szCs w:val="20"/>
          <w:lang w:val="es-CR"/>
        </w:rPr>
        <w:t>desconocía</w:t>
      </w:r>
      <w:proofErr w:type="spellEnd"/>
      <w:r w:rsidRPr="00634A49">
        <w:rPr>
          <w:szCs w:val="20"/>
          <w:lang w:val="es-CR"/>
        </w:rPr>
        <w:t xml:space="preserve"> los mandatos de la Convención Americana y que las expuso a los hechos </w:t>
      </w:r>
      <w:proofErr w:type="spellStart"/>
      <w:r w:rsidRPr="00634A49">
        <w:rPr>
          <w:szCs w:val="20"/>
          <w:lang w:val="es-CR"/>
        </w:rPr>
        <w:t>victimizantes</w:t>
      </w:r>
      <w:proofErr w:type="spellEnd"/>
      <w:r w:rsidRPr="00634A49">
        <w:rPr>
          <w:szCs w:val="20"/>
          <w:lang w:val="es-CR"/>
        </w:rPr>
        <w:t>.</w:t>
      </w:r>
    </w:p>
    <w:p w14:paraId="6AFE9A01" w14:textId="30B29947" w:rsidR="007269CF" w:rsidRDefault="007269CF" w:rsidP="00634A49">
      <w:pPr>
        <w:rPr>
          <w:szCs w:val="20"/>
          <w:lang w:val="es-CR"/>
        </w:rPr>
      </w:pPr>
      <w:r w:rsidRPr="00634A49">
        <w:rPr>
          <w:szCs w:val="20"/>
          <w:lang w:val="es-CR"/>
        </w:rPr>
        <w:lastRenderedPageBreak/>
        <w:t xml:space="preserve">189. </w:t>
      </w:r>
      <w:proofErr w:type="spellStart"/>
      <w:r w:rsidRPr="00634A49">
        <w:rPr>
          <w:szCs w:val="20"/>
          <w:lang w:val="es-CR"/>
        </w:rPr>
        <w:t>Asi</w:t>
      </w:r>
      <w:proofErr w:type="spellEnd"/>
      <w:r w:rsidRPr="00634A49">
        <w:rPr>
          <w:szCs w:val="20"/>
          <w:lang w:val="es-CR"/>
        </w:rPr>
        <w:t xml:space="preserve">́, el hecho de que una actividad </w:t>
      </w:r>
      <w:proofErr w:type="spellStart"/>
      <w:r w:rsidRPr="00634A49">
        <w:rPr>
          <w:szCs w:val="20"/>
          <w:lang w:val="es-CR"/>
        </w:rPr>
        <w:t>económica</w:t>
      </w:r>
      <w:proofErr w:type="spellEnd"/>
      <w:r w:rsidRPr="00634A49">
        <w:rPr>
          <w:szCs w:val="20"/>
          <w:lang w:val="es-CR"/>
        </w:rPr>
        <w:t xml:space="preserve"> especialmente riesgosa se haya instalado en la zona está relacionado con la pobreza y </w:t>
      </w:r>
      <w:proofErr w:type="spellStart"/>
      <w:r w:rsidRPr="00634A49">
        <w:rPr>
          <w:szCs w:val="20"/>
          <w:lang w:val="es-CR"/>
        </w:rPr>
        <w:t>marginación</w:t>
      </w:r>
      <w:proofErr w:type="spellEnd"/>
      <w:r w:rsidRPr="00634A49">
        <w:rPr>
          <w:szCs w:val="20"/>
          <w:lang w:val="es-CR"/>
        </w:rPr>
        <w:t xml:space="preserve"> de la </w:t>
      </w:r>
      <w:proofErr w:type="spellStart"/>
      <w:r w:rsidRPr="00634A49">
        <w:rPr>
          <w:szCs w:val="20"/>
          <w:lang w:val="es-CR"/>
        </w:rPr>
        <w:t>población</w:t>
      </w:r>
      <w:proofErr w:type="spellEnd"/>
      <w:r w:rsidRPr="00634A49">
        <w:rPr>
          <w:szCs w:val="20"/>
          <w:lang w:val="es-CR"/>
        </w:rPr>
        <w:t xml:space="preserve"> que </w:t>
      </w:r>
      <w:proofErr w:type="spellStart"/>
      <w:r w:rsidRPr="00634A49">
        <w:rPr>
          <w:szCs w:val="20"/>
          <w:lang w:val="es-CR"/>
        </w:rPr>
        <w:t>alli</w:t>
      </w:r>
      <w:proofErr w:type="spellEnd"/>
      <w:r w:rsidRPr="00634A49">
        <w:rPr>
          <w:szCs w:val="20"/>
          <w:lang w:val="es-CR"/>
        </w:rPr>
        <w:t xml:space="preserve">́ </w:t>
      </w:r>
      <w:proofErr w:type="spellStart"/>
      <w:r w:rsidRPr="00634A49">
        <w:rPr>
          <w:szCs w:val="20"/>
          <w:lang w:val="es-CR"/>
        </w:rPr>
        <w:t>residía</w:t>
      </w:r>
      <w:proofErr w:type="spellEnd"/>
      <w:r w:rsidRPr="00634A49">
        <w:rPr>
          <w:szCs w:val="20"/>
          <w:lang w:val="es-CR"/>
        </w:rPr>
        <w:t xml:space="preserve"> y reside. Para los habitantes de los barrios de origen de las trabajadoras de la </w:t>
      </w:r>
      <w:proofErr w:type="spellStart"/>
      <w:r w:rsidRPr="00634A49">
        <w:rPr>
          <w:szCs w:val="20"/>
          <w:lang w:val="es-CR"/>
        </w:rPr>
        <w:t>fábrica</w:t>
      </w:r>
      <w:proofErr w:type="spellEnd"/>
      <w:r w:rsidRPr="00634A49">
        <w:rPr>
          <w:szCs w:val="20"/>
          <w:lang w:val="es-CR"/>
        </w:rPr>
        <w:t xml:space="preserve"> de fuegos,</w:t>
      </w:r>
      <w:r>
        <w:rPr>
          <w:szCs w:val="20"/>
          <w:lang w:val="es-CR"/>
        </w:rPr>
        <w:t xml:space="preserve"> </w:t>
      </w:r>
      <w:r w:rsidRPr="00634A49">
        <w:rPr>
          <w:szCs w:val="20"/>
          <w:lang w:val="es-CR"/>
        </w:rPr>
        <w:t xml:space="preserve">el trabajo que </w:t>
      </w:r>
      <w:proofErr w:type="spellStart"/>
      <w:r w:rsidRPr="00634A49">
        <w:rPr>
          <w:szCs w:val="20"/>
          <w:lang w:val="es-CR"/>
        </w:rPr>
        <w:t>alli</w:t>
      </w:r>
      <w:proofErr w:type="spellEnd"/>
      <w:r w:rsidRPr="00634A49">
        <w:rPr>
          <w:szCs w:val="20"/>
          <w:lang w:val="es-CR"/>
        </w:rPr>
        <w:t xml:space="preserve">́ les </w:t>
      </w:r>
      <w:proofErr w:type="spellStart"/>
      <w:r w:rsidRPr="00634A49">
        <w:rPr>
          <w:szCs w:val="20"/>
          <w:lang w:val="es-CR"/>
        </w:rPr>
        <w:t>ofrecían</w:t>
      </w:r>
      <w:proofErr w:type="spellEnd"/>
      <w:r w:rsidRPr="00634A49">
        <w:rPr>
          <w:szCs w:val="20"/>
          <w:lang w:val="es-CR"/>
        </w:rPr>
        <w:t xml:space="preserve"> era la principal, sino la </w:t>
      </w:r>
      <w:proofErr w:type="spellStart"/>
      <w:r w:rsidRPr="00634A49">
        <w:rPr>
          <w:szCs w:val="20"/>
          <w:lang w:val="es-CR"/>
        </w:rPr>
        <w:t>única</w:t>
      </w:r>
      <w:proofErr w:type="spellEnd"/>
      <w:r w:rsidRPr="00634A49">
        <w:rPr>
          <w:szCs w:val="20"/>
          <w:lang w:val="es-CR"/>
        </w:rPr>
        <w:t xml:space="preserve"> </w:t>
      </w:r>
      <w:proofErr w:type="spellStart"/>
      <w:r w:rsidRPr="00634A49">
        <w:rPr>
          <w:szCs w:val="20"/>
          <w:lang w:val="es-CR"/>
        </w:rPr>
        <w:t>opción</w:t>
      </w:r>
      <w:proofErr w:type="spellEnd"/>
      <w:r w:rsidRPr="00634A49">
        <w:rPr>
          <w:szCs w:val="20"/>
          <w:lang w:val="es-CR"/>
        </w:rPr>
        <w:t xml:space="preserve"> laboral, pues se trataba de personas con muy bajo nivel de escolaridad y </w:t>
      </w:r>
      <w:proofErr w:type="spellStart"/>
      <w:r w:rsidRPr="00634A49">
        <w:rPr>
          <w:szCs w:val="20"/>
          <w:lang w:val="es-CR"/>
        </w:rPr>
        <w:t>alfabetización</w:t>
      </w:r>
      <w:proofErr w:type="spellEnd"/>
      <w:r w:rsidRPr="00634A49">
        <w:rPr>
          <w:szCs w:val="20"/>
          <w:lang w:val="es-CR"/>
        </w:rPr>
        <w:t xml:space="preserve">, que </w:t>
      </w:r>
      <w:proofErr w:type="spellStart"/>
      <w:r w:rsidRPr="00634A49">
        <w:rPr>
          <w:szCs w:val="20"/>
          <w:lang w:val="es-CR"/>
        </w:rPr>
        <w:t>además</w:t>
      </w:r>
      <w:proofErr w:type="spellEnd"/>
      <w:r w:rsidRPr="00634A49">
        <w:rPr>
          <w:szCs w:val="20"/>
          <w:lang w:val="es-CR"/>
        </w:rPr>
        <w:t xml:space="preserve"> eran perfiladas como poco confiables y, por estas razones, no </w:t>
      </w:r>
      <w:proofErr w:type="spellStart"/>
      <w:r w:rsidRPr="00634A49">
        <w:rPr>
          <w:szCs w:val="20"/>
          <w:lang w:val="es-CR"/>
        </w:rPr>
        <w:t>podían</w:t>
      </w:r>
      <w:proofErr w:type="spellEnd"/>
      <w:r w:rsidRPr="00634A49">
        <w:rPr>
          <w:szCs w:val="20"/>
          <w:lang w:val="es-CR"/>
        </w:rPr>
        <w:t xml:space="preserve"> acceder a otro empleo. Al respecto, los Principios Rectores sobre Extrema Pobreza y Derechos Humanos reconocen que “las personas que viven en la pobreza se ven enfrentadas al desempleo o el subempleo y al trabajo ocasional sin </w:t>
      </w:r>
      <w:proofErr w:type="spellStart"/>
      <w:r w:rsidRPr="00634A49">
        <w:rPr>
          <w:szCs w:val="20"/>
          <w:lang w:val="es-CR"/>
        </w:rPr>
        <w:t>garantías</w:t>
      </w:r>
      <w:proofErr w:type="spellEnd"/>
      <w:r w:rsidRPr="00634A49">
        <w:rPr>
          <w:szCs w:val="20"/>
          <w:lang w:val="es-CR"/>
        </w:rPr>
        <w:t>, con bajos salarios y condiciones de trabajo inseguras y degradantes”.</w:t>
      </w:r>
    </w:p>
    <w:p w14:paraId="4EAEFDBA" w14:textId="5A54905F" w:rsidR="009C007D" w:rsidRDefault="009C007D" w:rsidP="009C007D">
      <w:pPr>
        <w:pStyle w:val="Caso"/>
        <w:rPr>
          <w:lang w:val="es-CR"/>
        </w:rPr>
      </w:pPr>
      <w:r w:rsidRPr="009C007D">
        <w:rPr>
          <w:lang w:val="es-CR"/>
        </w:rPr>
        <w:t>Corte IDH. Derechos a la libertad sindical, negociación colectiva y huelga, y su relación con otros derechos, con perspectiva de género (interpretación y alcance de los artículos 13, 15, 16, 24, 25 y 26, en relación con los artículos 1.1 y 2 de la Convención Americana sobre Derechos Humanos, de los artículos 3, 6, 7 y 8 del Protocolo de San Salvador, de los artículos 2, 3, 4, 5 y 6 de la Convención de Belem do Pará, de los artículos 34, 44 y 45 de la Carta de la Organización de los Estados Americanos, y de los artículos II, IV, XIV, XXI y XXII de la Declaración Americana de los Derechos y Deberes del Hombre). Opinión Consultiva OC-27/21 de 5 de mayo de 2021. Serie A No. 27</w:t>
      </w:r>
    </w:p>
    <w:p w14:paraId="31D74108" w14:textId="2642159A" w:rsidR="009C007D" w:rsidRPr="009C007D" w:rsidRDefault="009C007D" w:rsidP="009C007D">
      <w:pPr>
        <w:rPr>
          <w:szCs w:val="20"/>
          <w:lang w:val="es-CR"/>
        </w:rPr>
      </w:pPr>
      <w:r w:rsidRPr="009C007D">
        <w:rPr>
          <w:szCs w:val="20"/>
          <w:lang w:val="es-CR"/>
        </w:rPr>
        <w:t xml:space="preserve">38. La presente </w:t>
      </w:r>
      <w:proofErr w:type="spellStart"/>
      <w:r w:rsidRPr="009C007D">
        <w:rPr>
          <w:szCs w:val="20"/>
          <w:lang w:val="es-CR"/>
        </w:rPr>
        <w:t>opinión</w:t>
      </w:r>
      <w:proofErr w:type="spellEnd"/>
      <w:r w:rsidRPr="009C007D">
        <w:rPr>
          <w:szCs w:val="20"/>
          <w:lang w:val="es-CR"/>
        </w:rPr>
        <w:t xml:space="preserve"> consultiva se refiere al alcance de los derechos a la libertad sindical, la </w:t>
      </w:r>
      <w:proofErr w:type="spellStart"/>
      <w:r w:rsidRPr="009C007D">
        <w:rPr>
          <w:szCs w:val="20"/>
          <w:lang w:val="es-CR"/>
        </w:rPr>
        <w:t>negociación</w:t>
      </w:r>
      <w:proofErr w:type="spellEnd"/>
      <w:r w:rsidRPr="009C007D">
        <w:rPr>
          <w:szCs w:val="20"/>
          <w:lang w:val="es-CR"/>
        </w:rPr>
        <w:t xml:space="preserve"> colectiva y la huelga, y su </w:t>
      </w:r>
      <w:proofErr w:type="spellStart"/>
      <w:r w:rsidRPr="009C007D">
        <w:rPr>
          <w:szCs w:val="20"/>
          <w:lang w:val="es-CR"/>
        </w:rPr>
        <w:t>relación</w:t>
      </w:r>
      <w:proofErr w:type="spellEnd"/>
      <w:r w:rsidRPr="009C007D">
        <w:rPr>
          <w:szCs w:val="20"/>
          <w:lang w:val="es-CR"/>
        </w:rPr>
        <w:t xml:space="preserve"> con otros derechos, con perspectiva de </w:t>
      </w:r>
      <w:proofErr w:type="spellStart"/>
      <w:r w:rsidRPr="009C007D">
        <w:rPr>
          <w:szCs w:val="20"/>
          <w:lang w:val="es-CR"/>
        </w:rPr>
        <w:t>género</w:t>
      </w:r>
      <w:proofErr w:type="spellEnd"/>
      <w:r w:rsidRPr="009C007D">
        <w:rPr>
          <w:szCs w:val="20"/>
          <w:lang w:val="es-CR"/>
        </w:rPr>
        <w:t xml:space="preserve">. En ese sentido, previo al </w:t>
      </w:r>
      <w:proofErr w:type="spellStart"/>
      <w:r w:rsidRPr="009C007D">
        <w:rPr>
          <w:szCs w:val="20"/>
          <w:lang w:val="es-CR"/>
        </w:rPr>
        <w:t>análisis</w:t>
      </w:r>
      <w:proofErr w:type="spellEnd"/>
      <w:r w:rsidRPr="009C007D">
        <w:rPr>
          <w:szCs w:val="20"/>
          <w:lang w:val="es-CR"/>
        </w:rPr>
        <w:t xml:space="preserve"> de las cuestiones sustantivas </w:t>
      </w:r>
      <w:proofErr w:type="spellStart"/>
      <w:r w:rsidRPr="009C007D">
        <w:rPr>
          <w:szCs w:val="20"/>
          <w:lang w:val="es-CR"/>
        </w:rPr>
        <w:t>traídas</w:t>
      </w:r>
      <w:proofErr w:type="spellEnd"/>
      <w:r w:rsidRPr="009C007D">
        <w:rPr>
          <w:szCs w:val="20"/>
          <w:lang w:val="es-CR"/>
        </w:rPr>
        <w:t xml:space="preserve"> a consulta por la </w:t>
      </w:r>
      <w:proofErr w:type="spellStart"/>
      <w:r w:rsidRPr="009C007D">
        <w:rPr>
          <w:szCs w:val="20"/>
          <w:lang w:val="es-CR"/>
        </w:rPr>
        <w:t>Comisión</w:t>
      </w:r>
      <w:proofErr w:type="spellEnd"/>
      <w:r w:rsidRPr="009C007D">
        <w:rPr>
          <w:szCs w:val="20"/>
          <w:lang w:val="es-CR"/>
        </w:rPr>
        <w:t xml:space="preserve"> Interamericana, este Tribunal considera pertinente resaltar, a manera de </w:t>
      </w:r>
      <w:proofErr w:type="spellStart"/>
      <w:r w:rsidRPr="009C007D">
        <w:rPr>
          <w:szCs w:val="20"/>
          <w:lang w:val="es-CR"/>
        </w:rPr>
        <w:t>introducción</w:t>
      </w:r>
      <w:proofErr w:type="spellEnd"/>
      <w:r w:rsidRPr="009C007D">
        <w:rPr>
          <w:szCs w:val="20"/>
          <w:lang w:val="es-CR"/>
        </w:rPr>
        <w:t xml:space="preserve">, que el combate a la pobreza y a la desigualdad, y la </w:t>
      </w:r>
      <w:proofErr w:type="spellStart"/>
      <w:r w:rsidRPr="009C007D">
        <w:rPr>
          <w:szCs w:val="20"/>
          <w:lang w:val="es-CR"/>
        </w:rPr>
        <w:t>garantía</w:t>
      </w:r>
      <w:proofErr w:type="spellEnd"/>
      <w:r w:rsidRPr="009C007D">
        <w:rPr>
          <w:szCs w:val="20"/>
          <w:lang w:val="es-CR"/>
        </w:rPr>
        <w:t xml:space="preserve"> de los derechos humanos, resultan un componente esencial para el pleno desarrollo </w:t>
      </w:r>
      <w:proofErr w:type="spellStart"/>
      <w:r w:rsidRPr="009C007D">
        <w:rPr>
          <w:szCs w:val="20"/>
          <w:lang w:val="es-CR"/>
        </w:rPr>
        <w:t>democrático</w:t>
      </w:r>
      <w:proofErr w:type="spellEnd"/>
      <w:r w:rsidRPr="009C007D">
        <w:rPr>
          <w:szCs w:val="20"/>
          <w:lang w:val="es-CR"/>
        </w:rPr>
        <w:t xml:space="preserve"> de los pueblos. En este sentido, la Corte</w:t>
      </w:r>
      <w:r>
        <w:rPr>
          <w:szCs w:val="20"/>
          <w:lang w:val="es-CR"/>
        </w:rPr>
        <w:t xml:space="preserve"> </w:t>
      </w:r>
      <w:r w:rsidRPr="009C007D">
        <w:rPr>
          <w:szCs w:val="20"/>
          <w:lang w:val="es-CR"/>
        </w:rPr>
        <w:t>nota que la Carta de la OEA establece, como uno de sus objetivos, “[e]</w:t>
      </w:r>
      <w:proofErr w:type="spellStart"/>
      <w:r w:rsidRPr="009C007D">
        <w:rPr>
          <w:szCs w:val="20"/>
          <w:lang w:val="es-CR"/>
        </w:rPr>
        <w:t>rradicar</w:t>
      </w:r>
      <w:proofErr w:type="spellEnd"/>
      <w:r w:rsidRPr="009C007D">
        <w:rPr>
          <w:szCs w:val="20"/>
          <w:lang w:val="es-CR"/>
        </w:rPr>
        <w:t xml:space="preserve"> la pobreza crítica, que constituye un obstáculo al pleno desarrollo democrático de los pueblos del hemisferio”. Asimismo, dicho instrumento señala, como uno de sus principios, que “[l]a eliminación de la pobreza crítica es parte esencial de la promoción y consolidación de la democracia representativa y constituye una responsabilidad común y compartida de los Estados Americanos”.</w:t>
      </w:r>
    </w:p>
    <w:p w14:paraId="29E6A759" w14:textId="5DA4DE80" w:rsidR="009C007D" w:rsidRPr="009C007D" w:rsidRDefault="009C007D" w:rsidP="009C007D">
      <w:pPr>
        <w:rPr>
          <w:szCs w:val="20"/>
          <w:lang w:val="es-CR"/>
        </w:rPr>
      </w:pPr>
      <w:r w:rsidRPr="009C007D">
        <w:rPr>
          <w:szCs w:val="20"/>
          <w:lang w:val="es-CR"/>
        </w:rPr>
        <w:t>39.</w:t>
      </w:r>
      <w:r w:rsidRPr="009C007D">
        <w:rPr>
          <w:szCs w:val="20"/>
          <w:lang w:val="es-CR"/>
        </w:rPr>
        <w:tab/>
        <w:t>En el sistema interamericano, la relación entre derechos humanos y democracia representativa quedó plasmada en diversos instrumentos, y ha sido reafirmada por la Corte, desde sus primeras decisiones, cuando estableció que “[e]l concepto de derechos y libertades y, por ende, el de sus garantías, es también inseparable del sistema de valores y principios que lo inspira. En una sociedad democrática los derechos y libertades inherentes a la persona, sus garantías y el Estado de Derecho constituyen una tríada, cada uno de cuyos componentes se define, completa y adquiere sentido en función de los otros”. En ese sentido, el Preámbulo de la Convención Americana establece el propósito de los Estados de “consolidar en este Continente, dentro del cuadro de las instituciones democráticas, un régimen de libertad personal y de justicia social, fundado en el respeto de los derechos esenciales del hombre”. Asimismo, el Protocolo de San Salvador reconoce la gran importancia de que los DESCA sean “reafirmados, desarrollados, perfeccionados y protegidos, sobre la base del respeto integral a los derechos de la persona, el régimen democrático representativo de gobierno, así como el derecho de sus pueblos al desarrollo, a la libre determinación y a disponer libremente de sus riquezas y recursos naturales […]”.</w:t>
      </w:r>
    </w:p>
    <w:p w14:paraId="1EF59A57" w14:textId="18928247" w:rsidR="009C007D" w:rsidRPr="009C007D" w:rsidRDefault="009C007D" w:rsidP="009C007D">
      <w:pPr>
        <w:rPr>
          <w:szCs w:val="20"/>
          <w:lang w:val="es-CR"/>
        </w:rPr>
      </w:pPr>
      <w:r w:rsidRPr="009C007D">
        <w:rPr>
          <w:szCs w:val="20"/>
          <w:lang w:val="es-CR"/>
        </w:rPr>
        <w:t>40.</w:t>
      </w:r>
      <w:r w:rsidRPr="009C007D">
        <w:rPr>
          <w:szCs w:val="20"/>
          <w:lang w:val="es-CR"/>
        </w:rPr>
        <w:tab/>
        <w:t xml:space="preserve">Por su parte, la Carta Democrática Interamericana reconoce que “la solidaridad y la cooperación de los Estados americanos requieren la organización política de los mismos sobre la base del ejercicio efectivo de la democracia representativa y que el crecimiento económico y el desarrollo social basados en la </w:t>
      </w:r>
      <w:r w:rsidRPr="009C007D">
        <w:rPr>
          <w:szCs w:val="20"/>
          <w:lang w:val="es-CR"/>
        </w:rPr>
        <w:lastRenderedPageBreak/>
        <w:t>justicia y la equidad y la democracia son interdependientes y se refuerzan mutuamente”. En particular, dicho instrumento señala, en sus artículos 1, 10 y 13, que:</w:t>
      </w:r>
    </w:p>
    <w:p w14:paraId="4F2EBDD7" w14:textId="77777777" w:rsidR="009C007D" w:rsidRPr="009C007D" w:rsidRDefault="009C007D" w:rsidP="009C007D">
      <w:pPr>
        <w:rPr>
          <w:szCs w:val="20"/>
          <w:lang w:val="es-CR"/>
        </w:rPr>
      </w:pPr>
    </w:p>
    <w:p w14:paraId="4F35D0D3" w14:textId="77777777" w:rsidR="009C007D" w:rsidRPr="009C007D" w:rsidRDefault="009C007D" w:rsidP="009C007D">
      <w:pPr>
        <w:pStyle w:val="Citacuerpo"/>
        <w:rPr>
          <w:lang w:val="es-CR"/>
        </w:rPr>
      </w:pPr>
      <w:r w:rsidRPr="009C007D">
        <w:rPr>
          <w:lang w:val="es-CR"/>
        </w:rPr>
        <w:t>Artículo 1</w:t>
      </w:r>
    </w:p>
    <w:p w14:paraId="5E9901D2" w14:textId="77777777" w:rsidR="009C007D" w:rsidRPr="009C007D" w:rsidRDefault="009C007D" w:rsidP="009C007D">
      <w:pPr>
        <w:pStyle w:val="Citacuerpo"/>
        <w:rPr>
          <w:lang w:val="es-CR"/>
        </w:rPr>
      </w:pPr>
      <w:r w:rsidRPr="009C007D">
        <w:rPr>
          <w:lang w:val="es-CR"/>
        </w:rPr>
        <w:t>Los pueblos de América tienen derecho a la democracia y sus gobiernos la obligación de promoverla y defenderla. La democracia es esencial para el desarrollo social, político y económico de los pueblos de las Américas.</w:t>
      </w:r>
    </w:p>
    <w:p w14:paraId="0CC86D8A" w14:textId="77777777" w:rsidR="009C007D" w:rsidRPr="009C007D" w:rsidRDefault="009C007D" w:rsidP="009C007D">
      <w:pPr>
        <w:pStyle w:val="Citacuerpo"/>
        <w:rPr>
          <w:lang w:val="es-CR"/>
        </w:rPr>
      </w:pPr>
      <w:r w:rsidRPr="009C007D">
        <w:rPr>
          <w:lang w:val="es-CR"/>
        </w:rPr>
        <w:t>Artículo 10</w:t>
      </w:r>
    </w:p>
    <w:p w14:paraId="001EF405" w14:textId="77777777" w:rsidR="009C007D" w:rsidRPr="009C007D" w:rsidRDefault="009C007D" w:rsidP="009C007D">
      <w:pPr>
        <w:pStyle w:val="Citacuerpo"/>
        <w:rPr>
          <w:lang w:val="es-CR"/>
        </w:rPr>
      </w:pPr>
      <w:r w:rsidRPr="009C007D">
        <w:rPr>
          <w:lang w:val="es-CR"/>
        </w:rPr>
        <w:t>La promoción y el fortalecimiento de la democracia requieren el ejercicio pleno y eficaz de los derechos de los trabajadores y la aplicación de normas laborales básicas, tal como están consagradas en la Declaración de la Organización Internacional del Trabajo (OIT) relativa a los Principios y Derechos Fundamentales en el Trabajo y su Seguimiento, adoptada en 1998, así como en otras convenciones básicas afines de la OIT. La democracia se fortalece con el mejoramiento de las condiciones laborales y la calidad de vida de los trabajadores del Hemisferio.</w:t>
      </w:r>
    </w:p>
    <w:p w14:paraId="6B5C16FB" w14:textId="77777777" w:rsidR="009C007D" w:rsidRPr="009C007D" w:rsidRDefault="009C007D" w:rsidP="009C007D">
      <w:pPr>
        <w:pStyle w:val="Citacuerpo"/>
        <w:rPr>
          <w:lang w:val="es-CR"/>
        </w:rPr>
      </w:pPr>
      <w:r w:rsidRPr="009C007D">
        <w:rPr>
          <w:lang w:val="es-CR"/>
        </w:rPr>
        <w:t>Artículo 13</w:t>
      </w:r>
    </w:p>
    <w:p w14:paraId="3C9C1A70" w14:textId="2CD18AC2" w:rsidR="009C007D" w:rsidRDefault="009C007D" w:rsidP="009C007D">
      <w:pPr>
        <w:pStyle w:val="Citacuerpo"/>
        <w:rPr>
          <w:lang w:val="es-CR"/>
        </w:rPr>
      </w:pPr>
      <w:r w:rsidRPr="009C007D">
        <w:rPr>
          <w:lang w:val="es-CR"/>
        </w:rPr>
        <w:t>La promoción y observancia de los derechos económicos, sociales y culturales son consustanciales al desarrollo integral, al crecimiento económico con equidad y a la consolidación de la democracia en los Estados del Hemisferio.</w:t>
      </w:r>
    </w:p>
    <w:p w14:paraId="3B338B4F" w14:textId="30C13B88" w:rsidR="009C007D" w:rsidRPr="009C007D" w:rsidRDefault="009C007D" w:rsidP="009C007D">
      <w:pPr>
        <w:rPr>
          <w:szCs w:val="20"/>
          <w:lang w:val="es-CR"/>
        </w:rPr>
      </w:pPr>
      <w:r w:rsidRPr="009C007D">
        <w:rPr>
          <w:szCs w:val="20"/>
          <w:lang w:val="es-CR"/>
        </w:rPr>
        <w:t>41.</w:t>
      </w:r>
      <w:r w:rsidRPr="009C007D">
        <w:rPr>
          <w:szCs w:val="20"/>
          <w:lang w:val="es-CR"/>
        </w:rPr>
        <w:tab/>
        <w:t>La Carta Democrática Interamericana hace entonces referencia al derecho de los pueblos a la democracia, destaca su importancia para el desarrollo social, político y económico de los mismos, y señala que la democracia se fortalece con el mejoramiento de las condiciones laborales y la calidad de vida de los trabajadores. En ese sentido, el Tribunal destaca que la Declaración de la Organización Internacional del Trabajo relativa a los Principios y Derechos Fundamentales en el Trabajo y su Seguimiento, la cual fue reconocida en el artículo 10 de la Carta Democrática como fuente de obligaciones, establece que todos los Estados que pertenecen a la Organización Internacional del Trabajo (en adelante “OIT”) deben respetar, promover y cumplir con sus obligaciones relativas a: “a) la libertad de asociación y la libertad sindical y el reconocimiento efectivo del derecho de negociación colectiva”; “b) la eliminación de todas las formas de trabajo forzoso u obligatorio”; “c) la abolición efectiva del trabajo infantil”; y “d) la eliminación de la discriminación en materia de empleo y ocupación”.</w:t>
      </w:r>
    </w:p>
    <w:p w14:paraId="5D0B3EE3" w14:textId="66AFECC4" w:rsidR="009C007D" w:rsidRPr="009C007D" w:rsidRDefault="009C007D" w:rsidP="009C007D">
      <w:pPr>
        <w:rPr>
          <w:szCs w:val="20"/>
          <w:lang w:val="es-CR"/>
        </w:rPr>
      </w:pPr>
      <w:r w:rsidRPr="009C007D">
        <w:rPr>
          <w:szCs w:val="20"/>
          <w:lang w:val="es-CR"/>
        </w:rPr>
        <w:t>42.</w:t>
      </w:r>
      <w:r w:rsidRPr="009C007D">
        <w:rPr>
          <w:szCs w:val="20"/>
          <w:lang w:val="es-CR"/>
        </w:rPr>
        <w:tab/>
        <w:t xml:space="preserve">En relación con lo anterior, la Corte resalta que la protección de los derechos humanos resulta de particular importancia debido a las graves consecuencias que ha tenido para las personas y las familias la pandemia global causada por el coronavirus COVID-19. En este sentido, la Corte reitera que, dada la naturaleza de la pandemia, los Estados deben garantizar los derechos económicos, sociales, culturales y ambientales a toda persona bajo la jurisdicción del Estado, sin discriminación. La pandemia ha impactado desproporcionadamente a los grupos que se encuentran en situación de vulnerabilidad, y en esa medida los Estados deben adoptar medidas especiales de protección. Lo anterior debe ser tomado en cuenta en relación con todos los derechos –es decir tanto los derechos civiles y políticos, como los DESCA- pero, en el marco de la presente opinión consultiva, resulta pertinente enfatizar la necesidad de que los Estados realicen el máximo de sus esfuerzos disponibles para </w:t>
      </w:r>
      <w:r w:rsidRPr="009C007D">
        <w:rPr>
          <w:szCs w:val="20"/>
          <w:lang w:val="es-CR"/>
        </w:rPr>
        <w:lastRenderedPageBreak/>
        <w:t>que se preserven las fuentes de trabajo, y se respeten los derechos laborales y sindicales de todos los trabajadores y trabajadoras. La obligación de los Estados de garantizar los derechos antes mencionados mantiene su vigencia una vez que la crisis provocada por el COVID-19 desaparezca o disminuya, y en relación con otros fenómenos que pudieran generar efectos similares.</w:t>
      </w:r>
    </w:p>
    <w:p w14:paraId="7DC4F2AA" w14:textId="0E0930B0" w:rsidR="009C007D" w:rsidRDefault="009C007D" w:rsidP="009C007D">
      <w:pPr>
        <w:rPr>
          <w:szCs w:val="20"/>
          <w:lang w:val="es-CR"/>
        </w:rPr>
      </w:pPr>
      <w:r w:rsidRPr="009C007D">
        <w:rPr>
          <w:szCs w:val="20"/>
          <w:lang w:val="es-CR"/>
        </w:rPr>
        <w:t>43.</w:t>
      </w:r>
      <w:r w:rsidRPr="009C007D">
        <w:rPr>
          <w:szCs w:val="20"/>
          <w:lang w:val="es-CR"/>
        </w:rPr>
        <w:tab/>
        <w:t>Finalmente, en lo que respecta a esta introducción, conviene puntualizar, desde un comienzo, que tal como lo pone de manifiesto el Relator Especial sobre los derechos a la libertad de reunión pacífica y de asociación de las Naciones Unidas: “[s]in derechos de reunión y asociación, los trabajadores tienen poca fuerza para cambiar las condiciones que blindan la pobreza, alimentan la desigualdad y limitan la democracia”. En este sentido, los Estados deben crean un entorno propicio para el pleno ejercicio de estos derechos, como medio para combatir la desigualdad mundial, la pobreza, la violencia y el trabajo infantil y forzoso. Las herramientas tradicionales del trabajo para reivindicar los derechos —sindicatos, huelgas, negociación colectiva, etc.— resultan fundamentales en esta tarea, por lo que los Estados deben velar por su vigencia. Asimismo, el Tribunal destaca que, en cualquier contratación financiera internacional, los Estados deberán cuidar que los compromisos que adquieran no importen reales o eventuales exigencias de flexibilización o derogación de normas de derecho laboral en perjuicio de los trabajadores y las trabajadoras.</w:t>
      </w:r>
    </w:p>
    <w:p w14:paraId="119D9327" w14:textId="14129E09" w:rsidR="00144A80" w:rsidRDefault="00144A80" w:rsidP="009C007D">
      <w:pPr>
        <w:rPr>
          <w:szCs w:val="20"/>
          <w:lang w:val="es-CR"/>
        </w:rPr>
      </w:pPr>
      <w:r>
        <w:rPr>
          <w:szCs w:val="20"/>
          <w:lang w:val="es-CR"/>
        </w:rPr>
        <w:t>[...]</w:t>
      </w:r>
    </w:p>
    <w:p w14:paraId="29458508" w14:textId="33E1FB9D" w:rsidR="00144A80" w:rsidRDefault="00144A80" w:rsidP="009C007D">
      <w:pPr>
        <w:rPr>
          <w:szCs w:val="20"/>
          <w:lang w:val="es-CR"/>
        </w:rPr>
      </w:pPr>
      <w:r w:rsidRPr="00144A80">
        <w:rPr>
          <w:szCs w:val="20"/>
          <w:lang w:val="es-CR"/>
        </w:rPr>
        <w:t>161.</w:t>
      </w:r>
      <w:r w:rsidRPr="00144A80">
        <w:rPr>
          <w:szCs w:val="20"/>
          <w:lang w:val="es-CR"/>
        </w:rPr>
        <w:tab/>
        <w:t>En relación con lo anterior, este Tribunal ha señalado que aun cuando la pobreza no es considerada una categoría especial de protección al tenor literal del artículo 1.1 de la Convención Americana, ello no es un obstáculo para considerar que la discriminación por esta razón está prohibida por las normas convencionales. Esto es así por dos razones: primero, porque el listado contenido en el artículo 1.1 de la Convención no es taxativo sino enunciativo; segundo, porque la pobreza bien puede entenderse dentro de la categoría de “posición económica” a la que se refiere expresamente el referido artículo, o en relación con otras categorías de protección como el “origen […] social” u “otra condición social”237, en función de su carácter multidimensional.</w:t>
      </w:r>
    </w:p>
    <w:p w14:paraId="63344CB3" w14:textId="4E1ACA1F" w:rsidR="007269CF" w:rsidRDefault="007269CF" w:rsidP="009965AE">
      <w:pPr>
        <w:pStyle w:val="Caso"/>
        <w:rPr>
          <w:lang w:val="es-CR"/>
        </w:rPr>
      </w:pPr>
      <w:r w:rsidRPr="009965AE">
        <w:rPr>
          <w:lang w:val="es-CR"/>
        </w:rPr>
        <w:t>Corte IDH. Caso Guerrero, Molina y otros Vs. Venezuela. Fondo, Reparaciones y Costas. Sentencia de 3 de junio de 2021. Serie C No. 424</w:t>
      </w:r>
      <w:r>
        <w:rPr>
          <w:rStyle w:val="Refdenotaalpie"/>
          <w:lang w:val="es-CR"/>
        </w:rPr>
        <w:footnoteReference w:id="37"/>
      </w:r>
    </w:p>
    <w:p w14:paraId="050CFD01" w14:textId="76F058A7" w:rsidR="007269CF" w:rsidRPr="009965AE" w:rsidRDefault="007269CF" w:rsidP="009965AE">
      <w:pPr>
        <w:rPr>
          <w:szCs w:val="20"/>
          <w:lang w:val="es-CR"/>
        </w:rPr>
      </w:pPr>
      <w:r w:rsidRPr="009965AE">
        <w:rPr>
          <w:szCs w:val="20"/>
          <w:lang w:val="es-CR"/>
        </w:rPr>
        <w:t xml:space="preserve">91. La Corte nota que la Convención Americana, en su artículo 1.1, manda a los Estados a respetar los derechos y libertades que reconoce, y a garantizar su pleno ejercicio a “toda persona que esté sujeta a su </w:t>
      </w:r>
      <w:proofErr w:type="spellStart"/>
      <w:r w:rsidRPr="009965AE">
        <w:rPr>
          <w:szCs w:val="20"/>
          <w:lang w:val="es-CR"/>
        </w:rPr>
        <w:t>jurisdicción</w:t>
      </w:r>
      <w:proofErr w:type="spellEnd"/>
      <w:r w:rsidRPr="009965AE">
        <w:rPr>
          <w:szCs w:val="20"/>
          <w:lang w:val="es-CR"/>
        </w:rPr>
        <w:t xml:space="preserve">, sin discriminación alguna por motivos de raza, color, sexo, idioma, </w:t>
      </w:r>
      <w:proofErr w:type="spellStart"/>
      <w:r w:rsidRPr="009965AE">
        <w:rPr>
          <w:szCs w:val="20"/>
          <w:lang w:val="es-CR"/>
        </w:rPr>
        <w:t>religión</w:t>
      </w:r>
      <w:proofErr w:type="spellEnd"/>
      <w:r w:rsidRPr="009965AE">
        <w:rPr>
          <w:szCs w:val="20"/>
          <w:lang w:val="es-CR"/>
        </w:rPr>
        <w:t xml:space="preserve">, opiniones </w:t>
      </w:r>
      <w:proofErr w:type="spellStart"/>
      <w:r w:rsidRPr="009965AE">
        <w:rPr>
          <w:szCs w:val="20"/>
          <w:lang w:val="es-CR"/>
        </w:rPr>
        <w:t>políticas</w:t>
      </w:r>
      <w:proofErr w:type="spellEnd"/>
      <w:r w:rsidRPr="009965AE">
        <w:rPr>
          <w:szCs w:val="20"/>
          <w:lang w:val="es-CR"/>
        </w:rPr>
        <w:t xml:space="preserve"> o de cualquier otra </w:t>
      </w:r>
      <w:proofErr w:type="spellStart"/>
      <w:r w:rsidRPr="009965AE">
        <w:rPr>
          <w:szCs w:val="20"/>
          <w:lang w:val="es-CR"/>
        </w:rPr>
        <w:t>índole</w:t>
      </w:r>
      <w:proofErr w:type="spellEnd"/>
      <w:r w:rsidRPr="009965AE">
        <w:rPr>
          <w:szCs w:val="20"/>
          <w:lang w:val="es-CR"/>
        </w:rPr>
        <w:t xml:space="preserve">, origen nacional o social, </w:t>
      </w:r>
      <w:proofErr w:type="spellStart"/>
      <w:r w:rsidRPr="009965AE">
        <w:rPr>
          <w:szCs w:val="20"/>
          <w:lang w:val="es-CR"/>
        </w:rPr>
        <w:t>posición</w:t>
      </w:r>
      <w:proofErr w:type="spellEnd"/>
      <w:r w:rsidRPr="009965AE">
        <w:rPr>
          <w:szCs w:val="20"/>
          <w:lang w:val="es-CR"/>
        </w:rPr>
        <w:t xml:space="preserve"> </w:t>
      </w:r>
      <w:proofErr w:type="spellStart"/>
      <w:r w:rsidRPr="009965AE">
        <w:rPr>
          <w:szCs w:val="20"/>
          <w:lang w:val="es-CR"/>
        </w:rPr>
        <w:t>económica</w:t>
      </w:r>
      <w:proofErr w:type="spellEnd"/>
      <w:r w:rsidRPr="009965AE">
        <w:rPr>
          <w:szCs w:val="20"/>
          <w:lang w:val="es-CR"/>
        </w:rPr>
        <w:t xml:space="preserve">, nacimiento o cualquier otra condición social”. Se trata de una norma de </w:t>
      </w:r>
      <w:proofErr w:type="spellStart"/>
      <w:r w:rsidRPr="009965AE">
        <w:rPr>
          <w:szCs w:val="20"/>
          <w:lang w:val="es-CR"/>
        </w:rPr>
        <w:t>carácter</w:t>
      </w:r>
      <w:proofErr w:type="spellEnd"/>
      <w:r w:rsidRPr="009965AE">
        <w:rPr>
          <w:szCs w:val="20"/>
          <w:lang w:val="es-CR"/>
        </w:rPr>
        <w:t xml:space="preserve"> general, cuyo contenido se extiende a todas las disposiciones del tratado. De ese modo, como ya ha advertido este Tribunal, “[c]</w:t>
      </w:r>
      <w:proofErr w:type="spellStart"/>
      <w:r w:rsidRPr="009965AE">
        <w:rPr>
          <w:szCs w:val="20"/>
          <w:lang w:val="es-CR"/>
        </w:rPr>
        <w:t>ualquiera</w:t>
      </w:r>
      <w:proofErr w:type="spellEnd"/>
      <w:r w:rsidRPr="009965AE">
        <w:rPr>
          <w:szCs w:val="20"/>
          <w:lang w:val="es-CR"/>
        </w:rPr>
        <w:t xml:space="preserve"> que sea el origen o la forma que asuma, todo tratamiento que pueda ser considerado discriminatorio respecto del ejercicio de los derechos garantizados en la Convención, es per se incompatible con la misma”. Por ello, la </w:t>
      </w:r>
      <w:r w:rsidRPr="009965AE">
        <w:rPr>
          <w:szCs w:val="20"/>
          <w:lang w:val="es-CR"/>
        </w:rPr>
        <w:lastRenderedPageBreak/>
        <w:t>inobservancia del Estado</w:t>
      </w:r>
      <w:r>
        <w:rPr>
          <w:szCs w:val="20"/>
          <w:lang w:val="es-CR"/>
        </w:rPr>
        <w:t xml:space="preserve"> </w:t>
      </w:r>
      <w:r w:rsidRPr="009965AE">
        <w:rPr>
          <w:szCs w:val="20"/>
          <w:lang w:val="es-CR"/>
        </w:rPr>
        <w:t>de las obligaciones previstas en el artículo 1.1 citado, por medio de cualquier tratamiento discriminatorio, genera la responsabilidad estatal.</w:t>
      </w:r>
    </w:p>
    <w:p w14:paraId="5E52B14E" w14:textId="07C1D02A" w:rsidR="007269CF" w:rsidRPr="009965AE" w:rsidRDefault="007269CF" w:rsidP="009965AE">
      <w:pPr>
        <w:rPr>
          <w:szCs w:val="20"/>
          <w:lang w:val="es-CR"/>
        </w:rPr>
      </w:pPr>
      <w:r w:rsidRPr="009965AE">
        <w:rPr>
          <w:szCs w:val="20"/>
          <w:lang w:val="es-CR"/>
        </w:rPr>
        <w:t xml:space="preserve">92. La Corte ha </w:t>
      </w:r>
      <w:proofErr w:type="spellStart"/>
      <w:r w:rsidRPr="009965AE">
        <w:rPr>
          <w:szCs w:val="20"/>
          <w:lang w:val="es-CR"/>
        </w:rPr>
        <w:t>señalado</w:t>
      </w:r>
      <w:proofErr w:type="spellEnd"/>
      <w:r w:rsidRPr="009965AE">
        <w:rPr>
          <w:szCs w:val="20"/>
          <w:lang w:val="es-CR"/>
        </w:rPr>
        <w:t xml:space="preserve"> que resultan discriminatorias las lesiones a derechos basadas en la pertenencia, real o supuesta, de una persona a un grupo con </w:t>
      </w:r>
      <w:proofErr w:type="spellStart"/>
      <w:r w:rsidRPr="009965AE">
        <w:rPr>
          <w:szCs w:val="20"/>
          <w:lang w:val="es-CR"/>
        </w:rPr>
        <w:t>características</w:t>
      </w:r>
      <w:proofErr w:type="spellEnd"/>
      <w:r w:rsidRPr="009965AE">
        <w:rPr>
          <w:szCs w:val="20"/>
          <w:lang w:val="es-CR"/>
        </w:rPr>
        <w:t xml:space="preserve"> determinadas. En este sentido, conforme ha expresado este Tribunal, “la discriminación efectuada en </w:t>
      </w:r>
      <w:proofErr w:type="spellStart"/>
      <w:r w:rsidRPr="009965AE">
        <w:rPr>
          <w:szCs w:val="20"/>
          <w:lang w:val="es-CR"/>
        </w:rPr>
        <w:t>razón</w:t>
      </w:r>
      <w:proofErr w:type="spellEnd"/>
      <w:r w:rsidRPr="009965AE">
        <w:rPr>
          <w:szCs w:val="20"/>
          <w:lang w:val="es-CR"/>
        </w:rPr>
        <w:t xml:space="preserve"> de una de las </w:t>
      </w:r>
      <w:proofErr w:type="spellStart"/>
      <w:r w:rsidRPr="009965AE">
        <w:rPr>
          <w:szCs w:val="20"/>
          <w:lang w:val="es-CR"/>
        </w:rPr>
        <w:t>categorías</w:t>
      </w:r>
      <w:proofErr w:type="spellEnd"/>
      <w:r w:rsidRPr="009965AE">
        <w:rPr>
          <w:szCs w:val="20"/>
          <w:lang w:val="es-CR"/>
        </w:rPr>
        <w:t xml:space="preserve"> </w:t>
      </w:r>
      <w:proofErr w:type="spellStart"/>
      <w:r w:rsidRPr="009965AE">
        <w:rPr>
          <w:szCs w:val="20"/>
          <w:lang w:val="es-CR"/>
        </w:rPr>
        <w:t>señaladas</w:t>
      </w:r>
      <w:proofErr w:type="spellEnd"/>
      <w:r w:rsidRPr="009965AE">
        <w:rPr>
          <w:szCs w:val="20"/>
          <w:lang w:val="es-CR"/>
        </w:rPr>
        <w:t xml:space="preserve"> a </w:t>
      </w:r>
      <w:proofErr w:type="spellStart"/>
      <w:r w:rsidRPr="009965AE">
        <w:rPr>
          <w:szCs w:val="20"/>
          <w:lang w:val="es-CR"/>
        </w:rPr>
        <w:t>título</w:t>
      </w:r>
      <w:proofErr w:type="spellEnd"/>
      <w:r w:rsidRPr="009965AE">
        <w:rPr>
          <w:szCs w:val="20"/>
          <w:lang w:val="es-CR"/>
        </w:rPr>
        <w:t xml:space="preserve"> ilustrativo en el artículo 1.1 de la Convención, amerita una particular o peculiar </w:t>
      </w:r>
      <w:proofErr w:type="spellStart"/>
      <w:r w:rsidRPr="009965AE">
        <w:rPr>
          <w:szCs w:val="20"/>
          <w:lang w:val="es-CR"/>
        </w:rPr>
        <w:t>consideración</w:t>
      </w:r>
      <w:proofErr w:type="spellEnd"/>
      <w:r w:rsidRPr="009965AE">
        <w:rPr>
          <w:szCs w:val="20"/>
          <w:lang w:val="es-CR"/>
        </w:rPr>
        <w:t xml:space="preserve">”, en tanto que el respectivo hecho </w:t>
      </w:r>
      <w:proofErr w:type="spellStart"/>
      <w:r w:rsidRPr="009965AE">
        <w:rPr>
          <w:szCs w:val="20"/>
          <w:lang w:val="es-CR"/>
        </w:rPr>
        <w:t>ilícito</w:t>
      </w:r>
      <w:proofErr w:type="spellEnd"/>
      <w:r w:rsidRPr="009965AE">
        <w:rPr>
          <w:szCs w:val="20"/>
          <w:lang w:val="es-CR"/>
        </w:rPr>
        <w:t xml:space="preserve"> que su ejercicio significa tiene lugar en </w:t>
      </w:r>
      <w:proofErr w:type="spellStart"/>
      <w:r w:rsidRPr="009965AE">
        <w:rPr>
          <w:szCs w:val="20"/>
          <w:lang w:val="es-CR"/>
        </w:rPr>
        <w:t>razón</w:t>
      </w:r>
      <w:proofErr w:type="spellEnd"/>
      <w:r w:rsidRPr="009965AE">
        <w:rPr>
          <w:szCs w:val="20"/>
          <w:lang w:val="es-CR"/>
        </w:rPr>
        <w:t xml:space="preserve"> de </w:t>
      </w:r>
      <w:proofErr w:type="spellStart"/>
      <w:r w:rsidRPr="009965AE">
        <w:rPr>
          <w:szCs w:val="20"/>
          <w:lang w:val="es-CR"/>
        </w:rPr>
        <w:t>características</w:t>
      </w:r>
      <w:proofErr w:type="spellEnd"/>
      <w:r w:rsidRPr="009965AE">
        <w:rPr>
          <w:szCs w:val="20"/>
          <w:lang w:val="es-CR"/>
        </w:rPr>
        <w:t xml:space="preserve"> de la </w:t>
      </w:r>
      <w:proofErr w:type="spellStart"/>
      <w:r w:rsidRPr="009965AE">
        <w:rPr>
          <w:szCs w:val="20"/>
          <w:lang w:val="es-CR"/>
        </w:rPr>
        <w:t>víctima</w:t>
      </w:r>
      <w:proofErr w:type="spellEnd"/>
      <w:r w:rsidRPr="009965AE">
        <w:rPr>
          <w:szCs w:val="20"/>
          <w:lang w:val="es-CR"/>
        </w:rPr>
        <w:t xml:space="preserve">, o de lo que ella “representa o parece ser y que es lo que la distingue de las </w:t>
      </w:r>
      <w:proofErr w:type="spellStart"/>
      <w:r w:rsidRPr="009965AE">
        <w:rPr>
          <w:szCs w:val="20"/>
          <w:lang w:val="es-CR"/>
        </w:rPr>
        <w:t>demás</w:t>
      </w:r>
      <w:proofErr w:type="spellEnd"/>
      <w:r w:rsidRPr="009965AE">
        <w:rPr>
          <w:szCs w:val="20"/>
          <w:lang w:val="es-CR"/>
        </w:rPr>
        <w:t xml:space="preserve"> personas”. </w:t>
      </w:r>
      <w:proofErr w:type="spellStart"/>
      <w:r w:rsidRPr="009965AE">
        <w:rPr>
          <w:szCs w:val="20"/>
          <w:lang w:val="es-CR"/>
        </w:rPr>
        <w:t>Asi</w:t>
      </w:r>
      <w:proofErr w:type="spellEnd"/>
      <w:r w:rsidRPr="009965AE">
        <w:rPr>
          <w:szCs w:val="20"/>
          <w:lang w:val="es-CR"/>
        </w:rPr>
        <w:t xml:space="preserve">́, por ejemplo, la Corte ha indicado que la violencia contra la mujer por su condición de tal resulta discriminatoria, y que tienen también ese </w:t>
      </w:r>
      <w:proofErr w:type="spellStart"/>
      <w:r w:rsidRPr="009965AE">
        <w:rPr>
          <w:szCs w:val="20"/>
          <w:lang w:val="es-CR"/>
        </w:rPr>
        <w:t>carácter</w:t>
      </w:r>
      <w:proofErr w:type="spellEnd"/>
      <w:r w:rsidRPr="009965AE">
        <w:rPr>
          <w:szCs w:val="20"/>
          <w:lang w:val="es-CR"/>
        </w:rPr>
        <w:t xml:space="preserve"> la </w:t>
      </w:r>
      <w:proofErr w:type="spellStart"/>
      <w:r w:rsidRPr="009965AE">
        <w:rPr>
          <w:szCs w:val="20"/>
          <w:lang w:val="es-CR"/>
        </w:rPr>
        <w:t>lesión</w:t>
      </w:r>
      <w:proofErr w:type="spellEnd"/>
      <w:r w:rsidRPr="009965AE">
        <w:rPr>
          <w:szCs w:val="20"/>
          <w:lang w:val="es-CR"/>
        </w:rPr>
        <w:t xml:space="preserve"> a derechos de una persona por su identidad de </w:t>
      </w:r>
      <w:proofErr w:type="spellStart"/>
      <w:r w:rsidRPr="009965AE">
        <w:rPr>
          <w:szCs w:val="20"/>
          <w:lang w:val="es-CR"/>
        </w:rPr>
        <w:t>género</w:t>
      </w:r>
      <w:proofErr w:type="spellEnd"/>
      <w:r w:rsidRPr="009965AE">
        <w:rPr>
          <w:szCs w:val="20"/>
          <w:lang w:val="es-CR"/>
        </w:rPr>
        <w:t xml:space="preserve">, </w:t>
      </w:r>
      <w:proofErr w:type="spellStart"/>
      <w:r w:rsidRPr="009965AE">
        <w:rPr>
          <w:szCs w:val="20"/>
          <w:lang w:val="es-CR"/>
        </w:rPr>
        <w:t>expresión</w:t>
      </w:r>
      <w:proofErr w:type="spellEnd"/>
      <w:r w:rsidRPr="009965AE">
        <w:rPr>
          <w:szCs w:val="20"/>
          <w:lang w:val="es-CR"/>
        </w:rPr>
        <w:t xml:space="preserve"> de genero u </w:t>
      </w:r>
      <w:proofErr w:type="spellStart"/>
      <w:r w:rsidRPr="009965AE">
        <w:rPr>
          <w:szCs w:val="20"/>
          <w:lang w:val="es-CR"/>
        </w:rPr>
        <w:t>orientación</w:t>
      </w:r>
      <w:proofErr w:type="spellEnd"/>
      <w:r w:rsidRPr="009965AE">
        <w:rPr>
          <w:szCs w:val="20"/>
          <w:lang w:val="es-CR"/>
        </w:rPr>
        <w:t xml:space="preserve"> sexual, o con base en perfiles raciales, entre otros.</w:t>
      </w:r>
    </w:p>
    <w:p w14:paraId="6792FA42" w14:textId="70363722" w:rsidR="007269CF" w:rsidRPr="009965AE" w:rsidRDefault="007269CF" w:rsidP="009965AE">
      <w:pPr>
        <w:rPr>
          <w:szCs w:val="20"/>
          <w:lang w:val="es-CR"/>
        </w:rPr>
      </w:pPr>
      <w:r w:rsidRPr="009965AE">
        <w:rPr>
          <w:szCs w:val="20"/>
          <w:lang w:val="es-CR"/>
        </w:rPr>
        <w:t xml:space="preserve">93. En </w:t>
      </w:r>
      <w:proofErr w:type="spellStart"/>
      <w:r w:rsidRPr="009965AE">
        <w:rPr>
          <w:szCs w:val="20"/>
          <w:lang w:val="es-CR"/>
        </w:rPr>
        <w:t>relación</w:t>
      </w:r>
      <w:proofErr w:type="spellEnd"/>
      <w:r w:rsidRPr="009965AE">
        <w:rPr>
          <w:szCs w:val="20"/>
          <w:lang w:val="es-CR"/>
        </w:rPr>
        <w:t xml:space="preserve"> con lo anterior, la pobreza es una condición que adquiere protección contra la discriminación a través del artículo 1.1 de la Convención Americana. En ese sentido, se vincula a la “</w:t>
      </w:r>
      <w:proofErr w:type="spellStart"/>
      <w:r w:rsidRPr="009965AE">
        <w:rPr>
          <w:szCs w:val="20"/>
          <w:lang w:val="es-CR"/>
        </w:rPr>
        <w:t>posición</w:t>
      </w:r>
      <w:proofErr w:type="spellEnd"/>
      <w:r w:rsidRPr="009965AE">
        <w:rPr>
          <w:szCs w:val="20"/>
          <w:lang w:val="es-CR"/>
        </w:rPr>
        <w:t xml:space="preserve"> </w:t>
      </w:r>
      <w:proofErr w:type="spellStart"/>
      <w:r w:rsidRPr="009965AE">
        <w:rPr>
          <w:szCs w:val="20"/>
          <w:lang w:val="es-CR"/>
        </w:rPr>
        <w:t>económica</w:t>
      </w:r>
      <w:proofErr w:type="spellEnd"/>
      <w:r w:rsidRPr="009965AE">
        <w:rPr>
          <w:szCs w:val="20"/>
          <w:lang w:val="es-CR"/>
        </w:rPr>
        <w:t xml:space="preserve">”, </w:t>
      </w:r>
      <w:proofErr w:type="spellStart"/>
      <w:r w:rsidRPr="009965AE">
        <w:rPr>
          <w:szCs w:val="20"/>
          <w:lang w:val="es-CR"/>
        </w:rPr>
        <w:t>señalada</w:t>
      </w:r>
      <w:proofErr w:type="spellEnd"/>
      <w:r w:rsidRPr="009965AE">
        <w:rPr>
          <w:szCs w:val="20"/>
          <w:lang w:val="es-CR"/>
        </w:rPr>
        <w:t xml:space="preserve"> en forma expresa por la </w:t>
      </w:r>
      <w:proofErr w:type="spellStart"/>
      <w:r w:rsidRPr="009965AE">
        <w:rPr>
          <w:szCs w:val="20"/>
          <w:lang w:val="es-CR"/>
        </w:rPr>
        <w:t>disposición</w:t>
      </w:r>
      <w:proofErr w:type="spellEnd"/>
      <w:r w:rsidRPr="009965AE">
        <w:rPr>
          <w:szCs w:val="20"/>
          <w:lang w:val="es-CR"/>
        </w:rPr>
        <w:t xml:space="preserve"> normativa, </w:t>
      </w:r>
      <w:proofErr w:type="spellStart"/>
      <w:r w:rsidRPr="009965AE">
        <w:rPr>
          <w:szCs w:val="20"/>
          <w:lang w:val="es-CR"/>
        </w:rPr>
        <w:t>asi</w:t>
      </w:r>
      <w:proofErr w:type="spellEnd"/>
      <w:r w:rsidRPr="009965AE">
        <w:rPr>
          <w:szCs w:val="20"/>
          <w:lang w:val="es-CR"/>
        </w:rPr>
        <w:t xml:space="preserve">́ como a otras </w:t>
      </w:r>
      <w:proofErr w:type="spellStart"/>
      <w:r w:rsidRPr="009965AE">
        <w:rPr>
          <w:szCs w:val="20"/>
          <w:lang w:val="es-CR"/>
        </w:rPr>
        <w:t>categorías</w:t>
      </w:r>
      <w:proofErr w:type="spellEnd"/>
      <w:r w:rsidRPr="009965AE">
        <w:rPr>
          <w:szCs w:val="20"/>
          <w:lang w:val="es-CR"/>
        </w:rPr>
        <w:t xml:space="preserve"> de protección aludidas por la misma, como el “origen [...] social” u “otra condición social”. Del mismo modo, la edad</w:t>
      </w:r>
      <w:r>
        <w:rPr>
          <w:szCs w:val="20"/>
          <w:lang w:val="es-CR"/>
        </w:rPr>
        <w:t xml:space="preserve"> </w:t>
      </w:r>
      <w:r w:rsidRPr="009965AE">
        <w:rPr>
          <w:szCs w:val="20"/>
          <w:lang w:val="es-CR"/>
        </w:rPr>
        <w:t xml:space="preserve">configura también una “condición social” y, por tanto, una </w:t>
      </w:r>
      <w:proofErr w:type="spellStart"/>
      <w:r w:rsidRPr="009965AE">
        <w:rPr>
          <w:szCs w:val="20"/>
          <w:lang w:val="es-CR"/>
        </w:rPr>
        <w:t>categoría</w:t>
      </w:r>
      <w:proofErr w:type="spellEnd"/>
      <w:r w:rsidRPr="009965AE">
        <w:rPr>
          <w:szCs w:val="20"/>
          <w:lang w:val="es-CR"/>
        </w:rPr>
        <w:t xml:space="preserve"> protegida por la </w:t>
      </w:r>
      <w:proofErr w:type="spellStart"/>
      <w:r w:rsidRPr="009965AE">
        <w:rPr>
          <w:szCs w:val="20"/>
          <w:lang w:val="es-CR"/>
        </w:rPr>
        <w:t>disposición</w:t>
      </w:r>
      <w:proofErr w:type="spellEnd"/>
      <w:r w:rsidRPr="009965AE">
        <w:rPr>
          <w:szCs w:val="20"/>
          <w:lang w:val="es-CR"/>
        </w:rPr>
        <w:t xml:space="preserve"> indicada. En este sentido, la </w:t>
      </w:r>
      <w:proofErr w:type="spellStart"/>
      <w:r w:rsidRPr="009965AE">
        <w:rPr>
          <w:szCs w:val="20"/>
          <w:lang w:val="es-CR"/>
        </w:rPr>
        <w:t>prohibición</w:t>
      </w:r>
      <w:proofErr w:type="spellEnd"/>
      <w:r w:rsidRPr="009965AE">
        <w:rPr>
          <w:szCs w:val="20"/>
          <w:lang w:val="es-CR"/>
        </w:rPr>
        <w:t xml:space="preserve"> de discriminación relacionada con personas </w:t>
      </w:r>
      <w:proofErr w:type="spellStart"/>
      <w:r w:rsidRPr="009965AE">
        <w:rPr>
          <w:szCs w:val="20"/>
          <w:lang w:val="es-CR"/>
        </w:rPr>
        <w:t>jóvenes</w:t>
      </w:r>
      <w:proofErr w:type="spellEnd"/>
      <w:r w:rsidRPr="009965AE">
        <w:rPr>
          <w:szCs w:val="20"/>
          <w:lang w:val="es-CR"/>
        </w:rPr>
        <w:t xml:space="preserve">, se encuentra tutelada por la Convención Americana. Al respecto, la Corte advierte que los hechos del caso, vinculados al contexto establecido de violencia policial contra hombres </w:t>
      </w:r>
      <w:proofErr w:type="spellStart"/>
      <w:r w:rsidRPr="009965AE">
        <w:rPr>
          <w:szCs w:val="20"/>
          <w:lang w:val="es-CR"/>
        </w:rPr>
        <w:t>jóvenes</w:t>
      </w:r>
      <w:proofErr w:type="spellEnd"/>
      <w:r w:rsidRPr="009965AE">
        <w:rPr>
          <w:szCs w:val="20"/>
          <w:lang w:val="es-CR"/>
        </w:rPr>
        <w:t xml:space="preserve"> en situación de pobreza, muestran que las violaciones a derechos humanos cometidas contra Jimmy Guerrero tuvieron por base la </w:t>
      </w:r>
      <w:proofErr w:type="spellStart"/>
      <w:r w:rsidRPr="009965AE">
        <w:rPr>
          <w:szCs w:val="20"/>
          <w:lang w:val="es-CR"/>
        </w:rPr>
        <w:t>percepción</w:t>
      </w:r>
      <w:proofErr w:type="spellEnd"/>
      <w:r w:rsidRPr="009965AE">
        <w:rPr>
          <w:szCs w:val="20"/>
          <w:lang w:val="es-CR"/>
        </w:rPr>
        <w:t xml:space="preserve"> de que </w:t>
      </w:r>
      <w:proofErr w:type="spellStart"/>
      <w:r w:rsidRPr="009965AE">
        <w:rPr>
          <w:szCs w:val="20"/>
          <w:lang w:val="es-CR"/>
        </w:rPr>
        <w:t>él</w:t>
      </w:r>
      <w:proofErr w:type="spellEnd"/>
      <w:r w:rsidRPr="009965AE">
        <w:rPr>
          <w:szCs w:val="20"/>
          <w:lang w:val="es-CR"/>
        </w:rPr>
        <w:t xml:space="preserve"> </w:t>
      </w:r>
      <w:proofErr w:type="spellStart"/>
      <w:r w:rsidRPr="009965AE">
        <w:rPr>
          <w:szCs w:val="20"/>
          <w:lang w:val="es-CR"/>
        </w:rPr>
        <w:t>pertenecía</w:t>
      </w:r>
      <w:proofErr w:type="spellEnd"/>
      <w:r w:rsidRPr="009965AE">
        <w:rPr>
          <w:szCs w:val="20"/>
          <w:lang w:val="es-CR"/>
        </w:rPr>
        <w:t xml:space="preserve"> al grupo poblacional determinado por esas </w:t>
      </w:r>
      <w:proofErr w:type="spellStart"/>
      <w:r w:rsidRPr="009965AE">
        <w:rPr>
          <w:szCs w:val="20"/>
          <w:lang w:val="es-CR"/>
        </w:rPr>
        <w:t>características</w:t>
      </w:r>
      <w:proofErr w:type="spellEnd"/>
      <w:r w:rsidRPr="009965AE">
        <w:rPr>
          <w:szCs w:val="20"/>
          <w:lang w:val="es-CR"/>
        </w:rPr>
        <w:t>.</w:t>
      </w:r>
    </w:p>
    <w:p w14:paraId="0C97B56F" w14:textId="1C7D817C" w:rsidR="007269CF" w:rsidRPr="009965AE" w:rsidRDefault="007269CF" w:rsidP="009965AE">
      <w:pPr>
        <w:rPr>
          <w:szCs w:val="20"/>
          <w:lang w:val="es-CR"/>
        </w:rPr>
      </w:pPr>
      <w:r w:rsidRPr="009965AE">
        <w:rPr>
          <w:szCs w:val="20"/>
          <w:lang w:val="es-CR"/>
        </w:rPr>
        <w:t xml:space="preserve">94. Resulta pertinente en el caso, por otra parte, recordar que este Tribunal ha advertido que “[e]l empleo de razonamientos estereotipados por parte de las fuerzas de seguridad puede dar lugar a actuaciones discriminatorias”. En ese sentido, que tales fuerzas sustenten de hecho su </w:t>
      </w:r>
      <w:proofErr w:type="spellStart"/>
      <w:r w:rsidRPr="009965AE">
        <w:rPr>
          <w:szCs w:val="20"/>
          <w:lang w:val="es-CR"/>
        </w:rPr>
        <w:t>actuación</w:t>
      </w:r>
      <w:proofErr w:type="spellEnd"/>
      <w:r w:rsidRPr="009965AE">
        <w:rPr>
          <w:szCs w:val="20"/>
          <w:lang w:val="es-CR"/>
        </w:rPr>
        <w:t xml:space="preserve"> en “perfiles” de las personas basados en estereotipos, tal como puede ser atribuir a alguien la sospecha de un comportamiento </w:t>
      </w:r>
      <w:proofErr w:type="spellStart"/>
      <w:r w:rsidRPr="009965AE">
        <w:rPr>
          <w:szCs w:val="20"/>
          <w:lang w:val="es-CR"/>
        </w:rPr>
        <w:t>ilícito</w:t>
      </w:r>
      <w:proofErr w:type="spellEnd"/>
      <w:r w:rsidRPr="009965AE">
        <w:rPr>
          <w:szCs w:val="20"/>
          <w:lang w:val="es-CR"/>
        </w:rPr>
        <w:t xml:space="preserve"> por ser joven o pobre, puede dar lugar a acciones discriminatorias lesivas de los derechos de la persona afectada. Las mismas pueden implicar el irrespeto directo de los derechos o también su falta de </w:t>
      </w:r>
      <w:proofErr w:type="spellStart"/>
      <w:r w:rsidRPr="009965AE">
        <w:rPr>
          <w:szCs w:val="20"/>
          <w:lang w:val="es-CR"/>
        </w:rPr>
        <w:t>garantía</w:t>
      </w:r>
      <w:proofErr w:type="spellEnd"/>
      <w:r w:rsidRPr="009965AE">
        <w:rPr>
          <w:szCs w:val="20"/>
          <w:lang w:val="es-CR"/>
        </w:rPr>
        <w:t xml:space="preserve">, inclusive en el marco de procesos judiciales, por ejemplo, cuando la falta de </w:t>
      </w:r>
      <w:proofErr w:type="spellStart"/>
      <w:r w:rsidRPr="009965AE">
        <w:rPr>
          <w:szCs w:val="20"/>
          <w:lang w:val="es-CR"/>
        </w:rPr>
        <w:t>actuación</w:t>
      </w:r>
      <w:proofErr w:type="spellEnd"/>
      <w:r w:rsidRPr="009965AE">
        <w:rPr>
          <w:szCs w:val="20"/>
          <w:lang w:val="es-CR"/>
        </w:rPr>
        <w:t xml:space="preserve"> respecto a violaciones a derechos humanos sufridas por ciertas personas se debe a una </w:t>
      </w:r>
      <w:proofErr w:type="spellStart"/>
      <w:r w:rsidRPr="009965AE">
        <w:rPr>
          <w:szCs w:val="20"/>
          <w:lang w:val="es-CR"/>
        </w:rPr>
        <w:t>normalización</w:t>
      </w:r>
      <w:proofErr w:type="spellEnd"/>
      <w:r w:rsidRPr="009965AE">
        <w:rPr>
          <w:szCs w:val="20"/>
          <w:lang w:val="es-CR"/>
        </w:rPr>
        <w:t xml:space="preserve"> o </w:t>
      </w:r>
      <w:proofErr w:type="spellStart"/>
      <w:r w:rsidRPr="009965AE">
        <w:rPr>
          <w:szCs w:val="20"/>
          <w:lang w:val="es-CR"/>
        </w:rPr>
        <w:t>naturalización</w:t>
      </w:r>
      <w:proofErr w:type="spellEnd"/>
      <w:r w:rsidRPr="009965AE">
        <w:rPr>
          <w:szCs w:val="20"/>
          <w:lang w:val="es-CR"/>
        </w:rPr>
        <w:t xml:space="preserve"> de las condiciones o actos discriminatorios a los que frecuentemente se ven sometidas.</w:t>
      </w:r>
    </w:p>
    <w:p w14:paraId="331815AD" w14:textId="77777777" w:rsidR="007269CF" w:rsidRPr="009965AE" w:rsidRDefault="007269CF" w:rsidP="009965AE">
      <w:pPr>
        <w:rPr>
          <w:szCs w:val="20"/>
          <w:lang w:val="es-CR"/>
        </w:rPr>
      </w:pPr>
      <w:r w:rsidRPr="009965AE">
        <w:rPr>
          <w:szCs w:val="20"/>
          <w:lang w:val="es-CR"/>
        </w:rPr>
        <w:t xml:space="preserve">95. En </w:t>
      </w:r>
      <w:proofErr w:type="spellStart"/>
      <w:r w:rsidRPr="009965AE">
        <w:rPr>
          <w:szCs w:val="20"/>
          <w:lang w:val="es-CR"/>
        </w:rPr>
        <w:t>línea</w:t>
      </w:r>
      <w:proofErr w:type="spellEnd"/>
      <w:r w:rsidRPr="009965AE">
        <w:rPr>
          <w:szCs w:val="20"/>
          <w:lang w:val="es-CR"/>
        </w:rPr>
        <w:t xml:space="preserve"> con lo anterior, el perito Alston explicó que “la brutalidad policial afecta en gran medida a l[as personas] pobres” debido a “varios factores”, entre ellos, “el hecho de que los funcionarios encargados de hacer cumplir la ley suelen utilizar la ‘pobreza’, la ‘falta de vivienda’ o la ‘desventaja’ como indicador de delincuencia”. El perito agregó que</w:t>
      </w:r>
    </w:p>
    <w:p w14:paraId="18280FE5" w14:textId="2316EAD8" w:rsidR="007269CF" w:rsidRPr="009965AE" w:rsidRDefault="007269CF" w:rsidP="009965AE">
      <w:pPr>
        <w:pStyle w:val="Citacuerpo"/>
        <w:rPr>
          <w:lang w:val="es-CR"/>
        </w:rPr>
      </w:pPr>
      <w:r w:rsidRPr="009965AE">
        <w:rPr>
          <w:lang w:val="es-CR"/>
        </w:rPr>
        <w:t>[e]n varios informes se ha documentado [</w:t>
      </w:r>
      <w:proofErr w:type="spellStart"/>
      <w:r w:rsidRPr="009965AE">
        <w:rPr>
          <w:lang w:val="es-CR"/>
        </w:rPr>
        <w:t>cómo</w:t>
      </w:r>
      <w:proofErr w:type="spellEnd"/>
      <w:r w:rsidRPr="009965AE">
        <w:rPr>
          <w:lang w:val="es-CR"/>
        </w:rPr>
        <w:t xml:space="preserve">] violaciones graves de los derechos humanos, como la tortura, las ejecuciones extrajudiciales y las desapariciones forzadas, afectan mucho </w:t>
      </w:r>
      <w:proofErr w:type="spellStart"/>
      <w:r w:rsidRPr="009965AE">
        <w:rPr>
          <w:lang w:val="es-CR"/>
        </w:rPr>
        <w:t>más</w:t>
      </w:r>
      <w:proofErr w:type="spellEnd"/>
      <w:r w:rsidRPr="009965AE">
        <w:rPr>
          <w:lang w:val="es-CR"/>
        </w:rPr>
        <w:t xml:space="preserve"> </w:t>
      </w:r>
      <w:proofErr w:type="spellStart"/>
      <w:r w:rsidRPr="009965AE">
        <w:rPr>
          <w:lang w:val="es-CR"/>
        </w:rPr>
        <w:t>drásticamente</w:t>
      </w:r>
      <w:proofErr w:type="spellEnd"/>
      <w:r w:rsidRPr="009965AE">
        <w:rPr>
          <w:lang w:val="es-CR"/>
        </w:rPr>
        <w:t xml:space="preserve"> a los grupos de bajos ingresos y a [quienes] viven en la pobreza. Es </w:t>
      </w:r>
      <w:proofErr w:type="spellStart"/>
      <w:r w:rsidRPr="009965AE">
        <w:rPr>
          <w:lang w:val="es-CR"/>
        </w:rPr>
        <w:t>más</w:t>
      </w:r>
      <w:proofErr w:type="spellEnd"/>
      <w:r w:rsidRPr="009965AE">
        <w:rPr>
          <w:lang w:val="es-CR"/>
        </w:rPr>
        <w:t xml:space="preserve"> probable que las personas en situación de pobreza sean el blanco de estas violaciones dado que tienen menos posibilidades de defenderse, menos posibilidades de obtener apoyo en esas situaciones[...] Esto también disminuye la posibilidad de que las </w:t>
      </w:r>
      <w:proofErr w:type="spellStart"/>
      <w:r w:rsidRPr="009965AE">
        <w:rPr>
          <w:lang w:val="es-CR"/>
        </w:rPr>
        <w:t>víctimas</w:t>
      </w:r>
      <w:proofErr w:type="spellEnd"/>
      <w:r w:rsidRPr="009965AE">
        <w:rPr>
          <w:lang w:val="es-CR"/>
        </w:rPr>
        <w:t xml:space="preserve"> en situación de pobreza presenten denuncias y asegura que cuando lo hacen, es mucho menos probable que sus alegaciones sean tomadas en </w:t>
      </w:r>
      <w:r w:rsidRPr="009965AE">
        <w:rPr>
          <w:lang w:val="es-CR"/>
        </w:rPr>
        <w:lastRenderedPageBreak/>
        <w:t xml:space="preserve">serio. [...] Por otra parte, aunque la </w:t>
      </w:r>
      <w:proofErr w:type="spellStart"/>
      <w:r w:rsidRPr="009965AE">
        <w:rPr>
          <w:lang w:val="es-CR"/>
        </w:rPr>
        <w:t>policía</w:t>
      </w:r>
      <w:proofErr w:type="spellEnd"/>
      <w:r w:rsidRPr="009965AE">
        <w:rPr>
          <w:lang w:val="es-CR"/>
        </w:rPr>
        <w:t xml:space="preserve"> suele ser excesivamente activa en la </w:t>
      </w:r>
      <w:proofErr w:type="spellStart"/>
      <w:r w:rsidRPr="009965AE">
        <w:rPr>
          <w:lang w:val="es-CR"/>
        </w:rPr>
        <w:t>aplicación</w:t>
      </w:r>
      <w:proofErr w:type="spellEnd"/>
      <w:r w:rsidRPr="009965AE">
        <w:rPr>
          <w:lang w:val="es-CR"/>
        </w:rPr>
        <w:t xml:space="preserve"> de la ley contra [las personas] pobres, en general es poco activa en la prevención e </w:t>
      </w:r>
      <w:proofErr w:type="spellStart"/>
      <w:r w:rsidRPr="009965AE">
        <w:rPr>
          <w:lang w:val="es-CR"/>
        </w:rPr>
        <w:t>investigación</w:t>
      </w:r>
      <w:proofErr w:type="spellEnd"/>
      <w:r w:rsidRPr="009965AE">
        <w:rPr>
          <w:lang w:val="es-CR"/>
        </w:rPr>
        <w:t xml:space="preserve"> de las violaciones del</w:t>
      </w:r>
      <w:r>
        <w:rPr>
          <w:lang w:val="es-CR"/>
        </w:rPr>
        <w:t xml:space="preserve"> </w:t>
      </w:r>
      <w:r w:rsidRPr="009965AE">
        <w:rPr>
          <w:lang w:val="es-CR"/>
        </w:rPr>
        <w:t>derecho a la seguridad de las personas que viven en zonas de gran pobreza.</w:t>
      </w:r>
    </w:p>
    <w:p w14:paraId="53F67040" w14:textId="192E604F" w:rsidR="007269CF" w:rsidRPr="009965AE" w:rsidRDefault="007269CF" w:rsidP="009965AE">
      <w:pPr>
        <w:rPr>
          <w:szCs w:val="20"/>
          <w:lang w:val="es-CR"/>
        </w:rPr>
      </w:pPr>
      <w:r w:rsidRPr="009965AE">
        <w:rPr>
          <w:szCs w:val="20"/>
          <w:lang w:val="es-CR"/>
        </w:rPr>
        <w:t xml:space="preserve">96. Como se ha referido, y ha sido aceptado por el Estado </w:t>
      </w:r>
      <w:r w:rsidR="005B7B62">
        <w:rPr>
          <w:szCs w:val="20"/>
          <w:lang w:val="es-CR"/>
        </w:rPr>
        <w:t>[...]</w:t>
      </w:r>
      <w:r w:rsidRPr="009965AE">
        <w:rPr>
          <w:szCs w:val="20"/>
          <w:lang w:val="es-CR"/>
        </w:rPr>
        <w:t xml:space="preserve">, el presente caso se inserta en un contexto de violencia policial contra hombres </w:t>
      </w:r>
      <w:proofErr w:type="spellStart"/>
      <w:r w:rsidRPr="009965AE">
        <w:rPr>
          <w:szCs w:val="20"/>
          <w:lang w:val="es-CR"/>
        </w:rPr>
        <w:t>jóvenes</w:t>
      </w:r>
      <w:proofErr w:type="spellEnd"/>
      <w:r w:rsidRPr="009965AE">
        <w:rPr>
          <w:szCs w:val="20"/>
          <w:lang w:val="es-CR"/>
        </w:rPr>
        <w:t xml:space="preserve"> en situación de pobreza, y de altos </w:t>
      </w:r>
      <w:proofErr w:type="spellStart"/>
      <w:r w:rsidRPr="009965AE">
        <w:rPr>
          <w:szCs w:val="20"/>
          <w:lang w:val="es-CR"/>
        </w:rPr>
        <w:t>índices</w:t>
      </w:r>
      <w:proofErr w:type="spellEnd"/>
      <w:r w:rsidRPr="009965AE">
        <w:rPr>
          <w:szCs w:val="20"/>
          <w:lang w:val="es-CR"/>
        </w:rPr>
        <w:t xml:space="preserve"> de impunidad de la misma.</w:t>
      </w:r>
    </w:p>
    <w:p w14:paraId="303D1999" w14:textId="390B1A4C" w:rsidR="007269CF" w:rsidRPr="009965AE" w:rsidRDefault="007269CF" w:rsidP="009965AE">
      <w:pPr>
        <w:rPr>
          <w:szCs w:val="20"/>
          <w:lang w:val="es-CR"/>
        </w:rPr>
      </w:pPr>
      <w:r w:rsidRPr="009965AE">
        <w:rPr>
          <w:szCs w:val="20"/>
          <w:lang w:val="es-CR"/>
        </w:rPr>
        <w:t xml:space="preserve">97. La Corte entiende que los actos cometidos contra Jimmy Guerrero se vincularon con ese contexto. En ese marco, la serie de actuaciones policiales que se analizan en esta Sentencia involucran hechos carentes de sustento legal, respecto a los cuales, por tal </w:t>
      </w:r>
      <w:proofErr w:type="spellStart"/>
      <w:r w:rsidRPr="009965AE">
        <w:rPr>
          <w:szCs w:val="20"/>
          <w:lang w:val="es-CR"/>
        </w:rPr>
        <w:t>razón</w:t>
      </w:r>
      <w:proofErr w:type="spellEnd"/>
      <w:r w:rsidRPr="009965AE">
        <w:rPr>
          <w:szCs w:val="20"/>
          <w:lang w:val="es-CR"/>
        </w:rPr>
        <w:t xml:space="preserve"> y por el modo en que se produjeron, resulta razonable asumir que estuvieron motivados en la </w:t>
      </w:r>
      <w:proofErr w:type="spellStart"/>
      <w:r w:rsidRPr="009965AE">
        <w:rPr>
          <w:szCs w:val="20"/>
          <w:lang w:val="es-CR"/>
        </w:rPr>
        <w:t>percepción</w:t>
      </w:r>
      <w:proofErr w:type="spellEnd"/>
      <w:r w:rsidRPr="009965AE">
        <w:rPr>
          <w:szCs w:val="20"/>
          <w:lang w:val="es-CR"/>
        </w:rPr>
        <w:t xml:space="preserve"> de los funcionarios policiales de que el </w:t>
      </w:r>
      <w:proofErr w:type="spellStart"/>
      <w:r w:rsidRPr="009965AE">
        <w:rPr>
          <w:szCs w:val="20"/>
          <w:lang w:val="es-CR"/>
        </w:rPr>
        <w:t>señor</w:t>
      </w:r>
      <w:proofErr w:type="spellEnd"/>
      <w:r w:rsidRPr="009965AE">
        <w:rPr>
          <w:szCs w:val="20"/>
          <w:lang w:val="es-CR"/>
        </w:rPr>
        <w:t xml:space="preserve"> Guerrero </w:t>
      </w:r>
      <w:proofErr w:type="spellStart"/>
      <w:r w:rsidRPr="009965AE">
        <w:rPr>
          <w:szCs w:val="20"/>
          <w:lang w:val="es-CR"/>
        </w:rPr>
        <w:t>podría</w:t>
      </w:r>
      <w:proofErr w:type="spellEnd"/>
      <w:r w:rsidRPr="009965AE">
        <w:rPr>
          <w:szCs w:val="20"/>
          <w:lang w:val="es-CR"/>
        </w:rPr>
        <w:t xml:space="preserve"> presentar </w:t>
      </w:r>
      <w:proofErr w:type="spellStart"/>
      <w:r w:rsidRPr="009965AE">
        <w:rPr>
          <w:szCs w:val="20"/>
          <w:lang w:val="es-CR"/>
        </w:rPr>
        <w:t>algún</w:t>
      </w:r>
      <w:proofErr w:type="spellEnd"/>
      <w:r w:rsidRPr="009965AE">
        <w:rPr>
          <w:szCs w:val="20"/>
          <w:lang w:val="es-CR"/>
        </w:rPr>
        <w:t xml:space="preserve"> peligro o </w:t>
      </w:r>
      <w:proofErr w:type="spellStart"/>
      <w:r w:rsidRPr="009965AE">
        <w:rPr>
          <w:szCs w:val="20"/>
          <w:lang w:val="es-CR"/>
        </w:rPr>
        <w:t>merecía</w:t>
      </w:r>
      <w:proofErr w:type="spellEnd"/>
      <w:r w:rsidRPr="009965AE">
        <w:rPr>
          <w:szCs w:val="20"/>
          <w:lang w:val="es-CR"/>
        </w:rPr>
        <w:t xml:space="preserve"> ser castigado o maltratado. </w:t>
      </w:r>
      <w:proofErr w:type="spellStart"/>
      <w:r w:rsidRPr="009965AE">
        <w:rPr>
          <w:szCs w:val="20"/>
          <w:lang w:val="es-CR"/>
        </w:rPr>
        <w:t>Asi</w:t>
      </w:r>
      <w:proofErr w:type="spellEnd"/>
      <w:r w:rsidRPr="009965AE">
        <w:rPr>
          <w:szCs w:val="20"/>
          <w:lang w:val="es-CR"/>
        </w:rPr>
        <w:t xml:space="preserve">́, como ha quedado expuesto </w:t>
      </w:r>
      <w:r w:rsidR="005B7B62">
        <w:rPr>
          <w:szCs w:val="20"/>
          <w:lang w:val="es-CR"/>
        </w:rPr>
        <w:t>[...]</w:t>
      </w:r>
      <w:r w:rsidRPr="009965AE">
        <w:rPr>
          <w:szCs w:val="20"/>
          <w:lang w:val="es-CR"/>
        </w:rPr>
        <w:t xml:space="preserve">, el </w:t>
      </w:r>
      <w:proofErr w:type="spellStart"/>
      <w:r w:rsidRPr="009965AE">
        <w:rPr>
          <w:szCs w:val="20"/>
          <w:lang w:val="es-CR"/>
        </w:rPr>
        <w:t>señor</w:t>
      </w:r>
      <w:proofErr w:type="spellEnd"/>
      <w:r w:rsidRPr="009965AE">
        <w:rPr>
          <w:szCs w:val="20"/>
          <w:lang w:val="es-CR"/>
        </w:rPr>
        <w:t xml:space="preserve"> Guerrero fue detenido en </w:t>
      </w:r>
      <w:proofErr w:type="spellStart"/>
      <w:r w:rsidRPr="009965AE">
        <w:rPr>
          <w:szCs w:val="20"/>
          <w:lang w:val="es-CR"/>
        </w:rPr>
        <w:t>múltiples</w:t>
      </w:r>
      <w:proofErr w:type="spellEnd"/>
      <w:r w:rsidRPr="009965AE">
        <w:rPr>
          <w:szCs w:val="20"/>
          <w:lang w:val="es-CR"/>
        </w:rPr>
        <w:t xml:space="preserve"> oportunidades por la </w:t>
      </w:r>
      <w:proofErr w:type="spellStart"/>
      <w:r w:rsidRPr="009965AE">
        <w:rPr>
          <w:szCs w:val="20"/>
          <w:lang w:val="es-CR"/>
        </w:rPr>
        <w:t>policía</w:t>
      </w:r>
      <w:proofErr w:type="spellEnd"/>
      <w:r w:rsidRPr="009965AE">
        <w:rPr>
          <w:szCs w:val="20"/>
          <w:lang w:val="es-CR"/>
        </w:rPr>
        <w:t xml:space="preserve">, que en distintas ocasiones lo interrogó por hechos </w:t>
      </w:r>
      <w:proofErr w:type="spellStart"/>
      <w:r w:rsidRPr="009965AE">
        <w:rPr>
          <w:szCs w:val="20"/>
          <w:lang w:val="es-CR"/>
        </w:rPr>
        <w:t>ilícitos</w:t>
      </w:r>
      <w:proofErr w:type="spellEnd"/>
      <w:r w:rsidRPr="009965AE">
        <w:rPr>
          <w:szCs w:val="20"/>
          <w:lang w:val="es-CR"/>
        </w:rPr>
        <w:t xml:space="preserve">, y </w:t>
      </w:r>
      <w:proofErr w:type="spellStart"/>
      <w:r w:rsidRPr="009965AE">
        <w:rPr>
          <w:szCs w:val="20"/>
          <w:lang w:val="es-CR"/>
        </w:rPr>
        <w:t>sufrio</w:t>
      </w:r>
      <w:proofErr w:type="spellEnd"/>
      <w:r w:rsidRPr="009965AE">
        <w:rPr>
          <w:szCs w:val="20"/>
          <w:lang w:val="es-CR"/>
        </w:rPr>
        <w:t xml:space="preserve">́ amenazas y agresiones por parte de personal policial. De las circunstancias del caso surge, entonces, que la conducta policial contra Jimmy Guerrero, que resultó lesiva de sus derechos, conforme se precisa </w:t>
      </w:r>
      <w:proofErr w:type="spellStart"/>
      <w:r w:rsidRPr="009965AE">
        <w:rPr>
          <w:szCs w:val="20"/>
          <w:lang w:val="es-CR"/>
        </w:rPr>
        <w:t>más</w:t>
      </w:r>
      <w:proofErr w:type="spellEnd"/>
      <w:r w:rsidRPr="009965AE">
        <w:rPr>
          <w:szCs w:val="20"/>
          <w:lang w:val="es-CR"/>
        </w:rPr>
        <w:t xml:space="preserve"> adelante, tuvo por base concepciones estereotipadas, que resultaban de atribuir a hombres </w:t>
      </w:r>
      <w:proofErr w:type="spellStart"/>
      <w:r w:rsidRPr="009965AE">
        <w:rPr>
          <w:szCs w:val="20"/>
          <w:lang w:val="es-CR"/>
        </w:rPr>
        <w:t>jóvenes</w:t>
      </w:r>
      <w:proofErr w:type="spellEnd"/>
      <w:r w:rsidRPr="009965AE">
        <w:rPr>
          <w:szCs w:val="20"/>
          <w:lang w:val="es-CR"/>
        </w:rPr>
        <w:t xml:space="preserve"> en situación de pobreza una supuesta peligrosidad, o la probable </w:t>
      </w:r>
      <w:proofErr w:type="spellStart"/>
      <w:r w:rsidRPr="009965AE">
        <w:rPr>
          <w:szCs w:val="20"/>
          <w:lang w:val="es-CR"/>
        </w:rPr>
        <w:t>realización</w:t>
      </w:r>
      <w:proofErr w:type="spellEnd"/>
      <w:r w:rsidRPr="009965AE">
        <w:rPr>
          <w:szCs w:val="20"/>
          <w:lang w:val="es-CR"/>
        </w:rPr>
        <w:t xml:space="preserve"> de conductas </w:t>
      </w:r>
      <w:proofErr w:type="spellStart"/>
      <w:r w:rsidRPr="009965AE">
        <w:rPr>
          <w:szCs w:val="20"/>
          <w:lang w:val="es-CR"/>
        </w:rPr>
        <w:t>ilícitas</w:t>
      </w:r>
      <w:proofErr w:type="spellEnd"/>
      <w:r w:rsidRPr="009965AE">
        <w:rPr>
          <w:szCs w:val="20"/>
          <w:lang w:val="es-CR"/>
        </w:rPr>
        <w:t>.</w:t>
      </w:r>
    </w:p>
    <w:p w14:paraId="64924051" w14:textId="0EF6B9CE" w:rsidR="007269CF" w:rsidRDefault="007269CF" w:rsidP="009965AE">
      <w:pPr>
        <w:rPr>
          <w:szCs w:val="20"/>
          <w:lang w:val="es-CR"/>
        </w:rPr>
      </w:pPr>
      <w:r w:rsidRPr="009965AE">
        <w:rPr>
          <w:szCs w:val="20"/>
          <w:lang w:val="es-CR"/>
        </w:rPr>
        <w:t xml:space="preserve">98. En </w:t>
      </w:r>
      <w:proofErr w:type="spellStart"/>
      <w:r w:rsidRPr="009965AE">
        <w:rPr>
          <w:szCs w:val="20"/>
          <w:lang w:val="es-CR"/>
        </w:rPr>
        <w:t>relación</w:t>
      </w:r>
      <w:proofErr w:type="spellEnd"/>
      <w:r w:rsidRPr="009965AE">
        <w:rPr>
          <w:szCs w:val="20"/>
          <w:lang w:val="es-CR"/>
        </w:rPr>
        <w:t xml:space="preserve"> con lo anterior, conforme ya ha advertido este Tribunal, en atención al principio de no discriminación, los Estados “no puede[n] permitir por parte de sus agentes, ni fomentar en la sociedad[,] </w:t>
      </w:r>
      <w:proofErr w:type="spellStart"/>
      <w:r w:rsidRPr="009965AE">
        <w:rPr>
          <w:szCs w:val="20"/>
          <w:lang w:val="es-CR"/>
        </w:rPr>
        <w:t>prácticas</w:t>
      </w:r>
      <w:proofErr w:type="spellEnd"/>
      <w:r w:rsidRPr="009965AE">
        <w:rPr>
          <w:szCs w:val="20"/>
          <w:lang w:val="es-CR"/>
        </w:rPr>
        <w:t xml:space="preserve"> que reproduzcan el estigma de que [...] </w:t>
      </w:r>
      <w:proofErr w:type="spellStart"/>
      <w:r w:rsidRPr="009965AE">
        <w:rPr>
          <w:szCs w:val="20"/>
          <w:lang w:val="es-CR"/>
        </w:rPr>
        <w:t>jóvenes</w:t>
      </w:r>
      <w:proofErr w:type="spellEnd"/>
      <w:r w:rsidRPr="009965AE">
        <w:rPr>
          <w:szCs w:val="20"/>
          <w:lang w:val="es-CR"/>
        </w:rPr>
        <w:t xml:space="preserve"> pobres </w:t>
      </w:r>
      <w:proofErr w:type="spellStart"/>
      <w:r w:rsidRPr="009965AE">
        <w:rPr>
          <w:szCs w:val="20"/>
          <w:lang w:val="es-CR"/>
        </w:rPr>
        <w:t>están</w:t>
      </w:r>
      <w:proofErr w:type="spellEnd"/>
      <w:r w:rsidRPr="009965AE">
        <w:rPr>
          <w:szCs w:val="20"/>
          <w:lang w:val="es-CR"/>
        </w:rPr>
        <w:t xml:space="preserve"> condicionados a la delincuencia, o necesariamente vinculados al aumento de la inseguridad ciudadana”. Por el contario: tienen “la obligación de asegurar la protección de los [...] </w:t>
      </w:r>
      <w:proofErr w:type="spellStart"/>
      <w:r w:rsidRPr="009965AE">
        <w:rPr>
          <w:szCs w:val="20"/>
          <w:lang w:val="es-CR"/>
        </w:rPr>
        <w:t>jóvenes</w:t>
      </w:r>
      <w:proofErr w:type="spellEnd"/>
      <w:r w:rsidRPr="009965AE">
        <w:rPr>
          <w:szCs w:val="20"/>
          <w:lang w:val="es-CR"/>
        </w:rPr>
        <w:t xml:space="preserve"> afectados por la pobreza que </w:t>
      </w:r>
      <w:proofErr w:type="spellStart"/>
      <w:r w:rsidRPr="009965AE">
        <w:rPr>
          <w:szCs w:val="20"/>
          <w:lang w:val="es-CR"/>
        </w:rPr>
        <w:t>estén</w:t>
      </w:r>
      <w:proofErr w:type="spellEnd"/>
      <w:r w:rsidRPr="009965AE">
        <w:rPr>
          <w:szCs w:val="20"/>
          <w:lang w:val="es-CR"/>
        </w:rPr>
        <w:t xml:space="preserve"> socialmente marginados y, especialmente, evitar su </w:t>
      </w:r>
      <w:proofErr w:type="spellStart"/>
      <w:r w:rsidRPr="009965AE">
        <w:rPr>
          <w:szCs w:val="20"/>
          <w:lang w:val="es-CR"/>
        </w:rPr>
        <w:t>estigmatización</w:t>
      </w:r>
      <w:proofErr w:type="spellEnd"/>
      <w:r w:rsidRPr="009965AE">
        <w:rPr>
          <w:szCs w:val="20"/>
          <w:lang w:val="es-CR"/>
        </w:rPr>
        <w:t xml:space="preserve"> social como delincuentes”. La Corte considera que el presente caso refleja el incumplimiento de estos deberes, y que los hechos que vulneraron los derechos de Jimmy Guerrero tuvieron un sustento discriminatorio, en el que confluyeron, de modo interseccional100, factores diversos, vinculados a la pobreza y a la edad, que hacen a la “condición social” atribuida a la </w:t>
      </w:r>
      <w:proofErr w:type="spellStart"/>
      <w:r w:rsidRPr="009965AE">
        <w:rPr>
          <w:szCs w:val="20"/>
          <w:lang w:val="es-CR"/>
        </w:rPr>
        <w:t>víctima</w:t>
      </w:r>
      <w:proofErr w:type="spellEnd"/>
      <w:r w:rsidRPr="009965AE">
        <w:rPr>
          <w:szCs w:val="20"/>
          <w:lang w:val="es-CR"/>
        </w:rPr>
        <w:t xml:space="preserve">, en los </w:t>
      </w:r>
      <w:proofErr w:type="spellStart"/>
      <w:r w:rsidRPr="009965AE">
        <w:rPr>
          <w:szCs w:val="20"/>
          <w:lang w:val="es-CR"/>
        </w:rPr>
        <w:t>términos</w:t>
      </w:r>
      <w:proofErr w:type="spellEnd"/>
      <w:r w:rsidRPr="009965AE">
        <w:rPr>
          <w:szCs w:val="20"/>
          <w:lang w:val="es-CR"/>
        </w:rPr>
        <w:t xml:space="preserve"> del artículo 1.1 de la Convención.</w:t>
      </w:r>
    </w:p>
    <w:p w14:paraId="2A42C464" w14:textId="012681EF" w:rsidR="007269CF" w:rsidRDefault="007269CF" w:rsidP="00575451">
      <w:pPr>
        <w:pStyle w:val="Caso"/>
        <w:rPr>
          <w:lang w:val="es-CR"/>
        </w:rPr>
      </w:pPr>
      <w:r w:rsidRPr="00B71152">
        <w:rPr>
          <w:lang w:val="es-CR"/>
        </w:rPr>
        <w:t xml:space="preserve">Corte IDH. Caso de los Buzos </w:t>
      </w:r>
      <w:proofErr w:type="spellStart"/>
      <w:r w:rsidRPr="00B71152">
        <w:rPr>
          <w:lang w:val="es-CR"/>
        </w:rPr>
        <w:t>Miskitos</w:t>
      </w:r>
      <w:proofErr w:type="spellEnd"/>
      <w:r w:rsidRPr="00B71152">
        <w:rPr>
          <w:lang w:val="es-CR"/>
        </w:rPr>
        <w:t xml:space="preserve"> (</w:t>
      </w:r>
      <w:proofErr w:type="spellStart"/>
      <w:r w:rsidRPr="00B71152">
        <w:rPr>
          <w:lang w:val="es-CR"/>
        </w:rPr>
        <w:t>Lemoth</w:t>
      </w:r>
      <w:proofErr w:type="spellEnd"/>
      <w:r w:rsidRPr="00B71152">
        <w:rPr>
          <w:lang w:val="es-CR"/>
        </w:rPr>
        <w:t xml:space="preserve"> Morris y otros) Vs. Honduras. Sentencia de 31 de agosto de 2021. Serie C No. 432</w:t>
      </w:r>
    </w:p>
    <w:p w14:paraId="07FA037B" w14:textId="17203557" w:rsidR="007269CF" w:rsidRPr="00B71152" w:rsidRDefault="007269CF" w:rsidP="00B71152">
      <w:pPr>
        <w:rPr>
          <w:szCs w:val="20"/>
          <w:lang w:val="es-CR"/>
        </w:rPr>
      </w:pPr>
      <w:r w:rsidRPr="00B71152">
        <w:rPr>
          <w:szCs w:val="20"/>
          <w:lang w:val="es-CR"/>
        </w:rPr>
        <w:t xml:space="preserve">98. La Corte ha </w:t>
      </w:r>
      <w:proofErr w:type="spellStart"/>
      <w:r w:rsidRPr="00B71152">
        <w:rPr>
          <w:szCs w:val="20"/>
          <w:lang w:val="es-CR"/>
        </w:rPr>
        <w:t>señalado</w:t>
      </w:r>
      <w:proofErr w:type="spellEnd"/>
      <w:r w:rsidRPr="00B71152">
        <w:rPr>
          <w:szCs w:val="20"/>
          <w:lang w:val="es-CR"/>
        </w:rPr>
        <w:t xml:space="preserve"> que la </w:t>
      </w:r>
      <w:proofErr w:type="spellStart"/>
      <w:r w:rsidRPr="00B71152">
        <w:rPr>
          <w:szCs w:val="20"/>
          <w:lang w:val="es-CR"/>
        </w:rPr>
        <w:t>noción</w:t>
      </w:r>
      <w:proofErr w:type="spellEnd"/>
      <w:r w:rsidRPr="00B71152">
        <w:rPr>
          <w:szCs w:val="20"/>
          <w:lang w:val="es-CR"/>
        </w:rPr>
        <w:t xml:space="preserve"> de igualdad se desprende directamente de la unidad de naturaleza del </w:t>
      </w:r>
      <w:proofErr w:type="spellStart"/>
      <w:r w:rsidRPr="00B71152">
        <w:rPr>
          <w:szCs w:val="20"/>
          <w:lang w:val="es-CR"/>
        </w:rPr>
        <w:t>género</w:t>
      </w:r>
      <w:proofErr w:type="spellEnd"/>
      <w:r w:rsidRPr="00B71152">
        <w:rPr>
          <w:szCs w:val="20"/>
          <w:lang w:val="es-CR"/>
        </w:rPr>
        <w:t xml:space="preserve"> humano y es inseparable de la dignidad esencial de la persona, frente a la cual es incompatible toda situación que, por considerar superior a un determinado grupo, conduzca a tratarlo con privilegio; o que, a la inversa, por considerarlo inferior, lo trate con hostilidad o de cualquier forma lo discrimine del goce de derechos que sí se reconocen a quienes no se consideran incursos en tal situación. Los Estados deben abstenerse de realizar acciones que de cualquier manera vayan dirigidas, directa o indirectamente, a crear situaciones de discriminación de jure o de facto. La jurisprudencia de la Corte también ha indicado que, en la actual etapa de la </w:t>
      </w:r>
      <w:proofErr w:type="spellStart"/>
      <w:r w:rsidRPr="00B71152">
        <w:rPr>
          <w:szCs w:val="20"/>
          <w:lang w:val="es-CR"/>
        </w:rPr>
        <w:t>evolución</w:t>
      </w:r>
      <w:proofErr w:type="spellEnd"/>
      <w:r w:rsidRPr="00B71152">
        <w:rPr>
          <w:szCs w:val="20"/>
          <w:lang w:val="es-CR"/>
        </w:rPr>
        <w:t xml:space="preserve"> del derecho internacional, el principio fundamental de igualdad y no discriminación ha ingresado en el dominio del ius cogens. Sobre </w:t>
      </w:r>
      <w:proofErr w:type="spellStart"/>
      <w:r w:rsidRPr="00B71152">
        <w:rPr>
          <w:szCs w:val="20"/>
          <w:lang w:val="es-CR"/>
        </w:rPr>
        <w:t>él</w:t>
      </w:r>
      <w:proofErr w:type="spellEnd"/>
      <w:r w:rsidRPr="00B71152">
        <w:rPr>
          <w:szCs w:val="20"/>
          <w:lang w:val="es-CR"/>
        </w:rPr>
        <w:t xml:space="preserve"> descansa el andamiaje </w:t>
      </w:r>
      <w:proofErr w:type="spellStart"/>
      <w:r w:rsidRPr="00B71152">
        <w:rPr>
          <w:szCs w:val="20"/>
          <w:lang w:val="es-CR"/>
        </w:rPr>
        <w:t>jurídico</w:t>
      </w:r>
      <w:proofErr w:type="spellEnd"/>
      <w:r w:rsidRPr="00B71152">
        <w:rPr>
          <w:szCs w:val="20"/>
          <w:lang w:val="es-CR"/>
        </w:rPr>
        <w:t xml:space="preserve"> del orden </w:t>
      </w:r>
      <w:proofErr w:type="spellStart"/>
      <w:r w:rsidRPr="00B71152">
        <w:rPr>
          <w:szCs w:val="20"/>
          <w:lang w:val="es-CR"/>
        </w:rPr>
        <w:t>público</w:t>
      </w:r>
      <w:proofErr w:type="spellEnd"/>
      <w:r w:rsidRPr="00B71152">
        <w:rPr>
          <w:szCs w:val="20"/>
          <w:lang w:val="es-CR"/>
        </w:rPr>
        <w:t xml:space="preserve"> nacional e internacional y permea todo el ordenamiento </w:t>
      </w:r>
      <w:proofErr w:type="spellStart"/>
      <w:r w:rsidRPr="00B71152">
        <w:rPr>
          <w:szCs w:val="20"/>
          <w:lang w:val="es-CR"/>
        </w:rPr>
        <w:t>jurídico</w:t>
      </w:r>
      <w:proofErr w:type="spellEnd"/>
      <w:r w:rsidRPr="00B71152">
        <w:rPr>
          <w:szCs w:val="20"/>
          <w:lang w:val="es-CR"/>
        </w:rPr>
        <w:t>.</w:t>
      </w:r>
    </w:p>
    <w:p w14:paraId="1D6446E0" w14:textId="7ABECD7D" w:rsidR="007269CF" w:rsidRPr="00B71152" w:rsidRDefault="007269CF" w:rsidP="00B71152">
      <w:pPr>
        <w:rPr>
          <w:szCs w:val="20"/>
          <w:lang w:val="es-CR"/>
        </w:rPr>
      </w:pPr>
      <w:r w:rsidRPr="00B71152">
        <w:rPr>
          <w:szCs w:val="20"/>
          <w:lang w:val="es-CR"/>
        </w:rPr>
        <w:t xml:space="preserve">99. De esta forma, el derecho a la igualdad y no discriminación abarca dos concepciones: una relacionada con la </w:t>
      </w:r>
      <w:proofErr w:type="spellStart"/>
      <w:r w:rsidRPr="00B71152">
        <w:rPr>
          <w:szCs w:val="20"/>
          <w:lang w:val="es-CR"/>
        </w:rPr>
        <w:t>prohibición</w:t>
      </w:r>
      <w:proofErr w:type="spellEnd"/>
      <w:r w:rsidRPr="00B71152">
        <w:rPr>
          <w:szCs w:val="20"/>
          <w:lang w:val="es-CR"/>
        </w:rPr>
        <w:t xml:space="preserve"> de diferencias de trato arbitrarias, y una relacionada con la obligación de los Estados de crear condiciones de igualdad </w:t>
      </w:r>
      <w:r w:rsidRPr="00B71152">
        <w:rPr>
          <w:szCs w:val="20"/>
          <w:lang w:val="es-CR"/>
        </w:rPr>
        <w:lastRenderedPageBreak/>
        <w:t xml:space="preserve">real frente a grupos que han sido </w:t>
      </w:r>
      <w:proofErr w:type="spellStart"/>
      <w:r w:rsidRPr="00B71152">
        <w:rPr>
          <w:szCs w:val="20"/>
          <w:lang w:val="es-CR"/>
        </w:rPr>
        <w:t>históricamente</w:t>
      </w:r>
      <w:proofErr w:type="spellEnd"/>
      <w:r w:rsidRPr="00B71152">
        <w:rPr>
          <w:szCs w:val="20"/>
          <w:lang w:val="es-CR"/>
        </w:rPr>
        <w:t xml:space="preserve"> excluidos o que se encuentran en mayor riesgo de ser discriminados.</w:t>
      </w:r>
    </w:p>
    <w:p w14:paraId="2AFFB3E7" w14:textId="72C1686C" w:rsidR="007269CF" w:rsidRPr="00B71152" w:rsidRDefault="007269CF" w:rsidP="00B71152">
      <w:pPr>
        <w:rPr>
          <w:szCs w:val="20"/>
          <w:lang w:val="es-CR"/>
        </w:rPr>
      </w:pPr>
      <w:r w:rsidRPr="00B71152">
        <w:rPr>
          <w:szCs w:val="20"/>
          <w:lang w:val="es-CR"/>
        </w:rPr>
        <w:t xml:space="preserve">100. Respecto de la primera </w:t>
      </w:r>
      <w:proofErr w:type="spellStart"/>
      <w:r w:rsidRPr="00B71152">
        <w:rPr>
          <w:szCs w:val="20"/>
          <w:lang w:val="es-CR"/>
        </w:rPr>
        <w:t>concepción</w:t>
      </w:r>
      <w:proofErr w:type="spellEnd"/>
      <w:r w:rsidRPr="00B71152">
        <w:rPr>
          <w:szCs w:val="20"/>
          <w:lang w:val="es-CR"/>
        </w:rPr>
        <w:t xml:space="preserve">, el Tribunal advierte que no toda diferencia de trato </w:t>
      </w:r>
      <w:proofErr w:type="spellStart"/>
      <w:r w:rsidRPr="00B71152">
        <w:rPr>
          <w:szCs w:val="20"/>
          <w:lang w:val="es-CR"/>
        </w:rPr>
        <w:t>sera</w:t>
      </w:r>
      <w:proofErr w:type="spellEnd"/>
      <w:r w:rsidRPr="00B71152">
        <w:rPr>
          <w:szCs w:val="20"/>
          <w:lang w:val="es-CR"/>
        </w:rPr>
        <w:t xml:space="preserve">́ reputada discriminatoria, sino solo aquella que se base en criterios que no puedan ser racionalmente apreciados como objetivos y razonables, es decir, cuando no persigue un fin </w:t>
      </w:r>
      <w:proofErr w:type="spellStart"/>
      <w:r w:rsidRPr="00B71152">
        <w:rPr>
          <w:szCs w:val="20"/>
          <w:lang w:val="es-CR"/>
        </w:rPr>
        <w:t>legítimo</w:t>
      </w:r>
      <w:proofErr w:type="spellEnd"/>
      <w:r w:rsidRPr="00B71152">
        <w:rPr>
          <w:szCs w:val="20"/>
          <w:lang w:val="es-CR"/>
        </w:rPr>
        <w:t xml:space="preserve"> y no existe una </w:t>
      </w:r>
      <w:proofErr w:type="spellStart"/>
      <w:r w:rsidRPr="00B71152">
        <w:rPr>
          <w:szCs w:val="20"/>
          <w:lang w:val="es-CR"/>
        </w:rPr>
        <w:t>relación</w:t>
      </w:r>
      <w:proofErr w:type="spellEnd"/>
      <w:r w:rsidRPr="00B71152">
        <w:rPr>
          <w:szCs w:val="20"/>
          <w:lang w:val="es-CR"/>
        </w:rPr>
        <w:t xml:space="preserve"> razonable de proporcionalidad entre los medios utilizados y el fin perseguido. Respecto de la segunda, los Estados </w:t>
      </w:r>
      <w:proofErr w:type="spellStart"/>
      <w:r w:rsidRPr="00B71152">
        <w:rPr>
          <w:szCs w:val="20"/>
          <w:lang w:val="es-CR"/>
        </w:rPr>
        <w:t>están</w:t>
      </w:r>
      <w:proofErr w:type="spellEnd"/>
      <w:r w:rsidRPr="00B71152">
        <w:rPr>
          <w:szCs w:val="20"/>
          <w:lang w:val="es-CR"/>
        </w:rPr>
        <w:t xml:space="preserve"> obligados a adoptar medidas positivas para revertir o cambiar situaciones discriminatorias existentes en sus sociedades, en perjuicio de determinado grupo de personas. Esto implica el deber especial de protección que el Estado debe ejercer con respecto a actuaciones y </w:t>
      </w:r>
      <w:proofErr w:type="spellStart"/>
      <w:r w:rsidRPr="00B71152">
        <w:rPr>
          <w:szCs w:val="20"/>
          <w:lang w:val="es-CR"/>
        </w:rPr>
        <w:t>prácticas</w:t>
      </w:r>
      <w:proofErr w:type="spellEnd"/>
      <w:r w:rsidRPr="00B71152">
        <w:rPr>
          <w:szCs w:val="20"/>
          <w:lang w:val="es-CR"/>
        </w:rPr>
        <w:t xml:space="preserve"> de terceros que, bajo su tolerancia o aquiescencia, creen, mantengan o favorezcan las situaciones discriminatorias.</w:t>
      </w:r>
    </w:p>
    <w:p w14:paraId="71C09FC1" w14:textId="3F3BA8BA" w:rsidR="007269CF" w:rsidRPr="00B71152" w:rsidRDefault="007269CF" w:rsidP="00B71152">
      <w:pPr>
        <w:rPr>
          <w:szCs w:val="20"/>
          <w:lang w:val="es-CR"/>
        </w:rPr>
      </w:pPr>
      <w:r w:rsidRPr="00B71152">
        <w:rPr>
          <w:szCs w:val="20"/>
          <w:lang w:val="es-CR"/>
        </w:rPr>
        <w:t xml:space="preserve">101. En </w:t>
      </w:r>
      <w:proofErr w:type="spellStart"/>
      <w:r w:rsidRPr="00B71152">
        <w:rPr>
          <w:szCs w:val="20"/>
          <w:lang w:val="es-CR"/>
        </w:rPr>
        <w:t>relación</w:t>
      </w:r>
      <w:proofErr w:type="spellEnd"/>
      <w:r w:rsidRPr="00B71152">
        <w:rPr>
          <w:szCs w:val="20"/>
          <w:lang w:val="es-CR"/>
        </w:rPr>
        <w:t xml:space="preserve"> con lo anterior, este Tribunal ha </w:t>
      </w:r>
      <w:proofErr w:type="spellStart"/>
      <w:r w:rsidRPr="00B71152">
        <w:rPr>
          <w:szCs w:val="20"/>
          <w:lang w:val="es-CR"/>
        </w:rPr>
        <w:t>señalado</w:t>
      </w:r>
      <w:proofErr w:type="spellEnd"/>
      <w:r w:rsidRPr="00B71152">
        <w:rPr>
          <w:szCs w:val="20"/>
          <w:lang w:val="es-CR"/>
        </w:rPr>
        <w:t xml:space="preserve"> que el origen </w:t>
      </w:r>
      <w:proofErr w:type="spellStart"/>
      <w:r w:rsidRPr="00B71152">
        <w:rPr>
          <w:szCs w:val="20"/>
          <w:lang w:val="es-CR"/>
        </w:rPr>
        <w:t>étnico</w:t>
      </w:r>
      <w:proofErr w:type="spellEnd"/>
      <w:r w:rsidRPr="00B71152">
        <w:rPr>
          <w:szCs w:val="20"/>
          <w:lang w:val="es-CR"/>
        </w:rPr>
        <w:t xml:space="preserve"> de las personas es una </w:t>
      </w:r>
      <w:proofErr w:type="spellStart"/>
      <w:r w:rsidRPr="00B71152">
        <w:rPr>
          <w:szCs w:val="20"/>
          <w:lang w:val="es-CR"/>
        </w:rPr>
        <w:t>categoría</w:t>
      </w:r>
      <w:proofErr w:type="spellEnd"/>
      <w:r w:rsidRPr="00B71152">
        <w:rPr>
          <w:szCs w:val="20"/>
          <w:lang w:val="es-CR"/>
        </w:rPr>
        <w:t xml:space="preserve"> protegida por el artículo 1.1 de la Convención, por lo que ninguna norma, </w:t>
      </w:r>
      <w:proofErr w:type="spellStart"/>
      <w:r w:rsidRPr="00B71152">
        <w:rPr>
          <w:szCs w:val="20"/>
          <w:lang w:val="es-CR"/>
        </w:rPr>
        <w:t>decisión</w:t>
      </w:r>
      <w:proofErr w:type="spellEnd"/>
      <w:r w:rsidRPr="00B71152">
        <w:rPr>
          <w:szCs w:val="20"/>
          <w:lang w:val="es-CR"/>
        </w:rPr>
        <w:t xml:space="preserve"> o </w:t>
      </w:r>
      <w:proofErr w:type="spellStart"/>
      <w:r w:rsidRPr="00B71152">
        <w:rPr>
          <w:szCs w:val="20"/>
          <w:lang w:val="es-CR"/>
        </w:rPr>
        <w:t>práctica</w:t>
      </w:r>
      <w:proofErr w:type="spellEnd"/>
      <w:r w:rsidRPr="00B71152">
        <w:rPr>
          <w:szCs w:val="20"/>
          <w:lang w:val="es-CR"/>
        </w:rPr>
        <w:t xml:space="preserve"> de derecho interno, sea por parte de autoridades estatales o por particulares, pueden disminuir o restringir, de modo alguno, los derechos de una persona a</w:t>
      </w:r>
      <w:r>
        <w:rPr>
          <w:szCs w:val="20"/>
          <w:lang w:val="es-CR"/>
        </w:rPr>
        <w:t xml:space="preserve"> </w:t>
      </w:r>
      <w:r w:rsidRPr="00B71152">
        <w:rPr>
          <w:szCs w:val="20"/>
          <w:lang w:val="es-CR"/>
        </w:rPr>
        <w:t xml:space="preserve">partir de su origen </w:t>
      </w:r>
      <w:proofErr w:type="spellStart"/>
      <w:r w:rsidRPr="00B71152">
        <w:rPr>
          <w:szCs w:val="20"/>
          <w:lang w:val="es-CR"/>
        </w:rPr>
        <w:t>étnico</w:t>
      </w:r>
      <w:proofErr w:type="spellEnd"/>
      <w:r w:rsidRPr="00B71152">
        <w:rPr>
          <w:szCs w:val="20"/>
          <w:lang w:val="es-CR"/>
        </w:rPr>
        <w:t xml:space="preserve">. La Corte ha tomado en cuenta que la etnia se refiere a comunidades de personas que comparten, entre otras, </w:t>
      </w:r>
      <w:proofErr w:type="spellStart"/>
      <w:r w:rsidRPr="00B71152">
        <w:rPr>
          <w:szCs w:val="20"/>
          <w:lang w:val="es-CR"/>
        </w:rPr>
        <w:t>características</w:t>
      </w:r>
      <w:proofErr w:type="spellEnd"/>
      <w:r w:rsidRPr="00B71152">
        <w:rPr>
          <w:szCs w:val="20"/>
          <w:lang w:val="es-CR"/>
        </w:rPr>
        <w:t xml:space="preserve"> de naturaleza socio- cultural, tales como afinidades culturales, </w:t>
      </w:r>
      <w:proofErr w:type="spellStart"/>
      <w:r w:rsidRPr="00B71152">
        <w:rPr>
          <w:szCs w:val="20"/>
          <w:lang w:val="es-CR"/>
        </w:rPr>
        <w:t>lingu</w:t>
      </w:r>
      <w:r w:rsidRPr="00B71152">
        <w:rPr>
          <w:rFonts w:ascii="Arial" w:hAnsi="Arial" w:cs="Arial"/>
          <w:szCs w:val="20"/>
          <w:lang w:val="es-CR"/>
        </w:rPr>
        <w:t>̈</w:t>
      </w:r>
      <w:r w:rsidRPr="00B71152">
        <w:rPr>
          <w:szCs w:val="20"/>
          <w:lang w:val="es-CR"/>
        </w:rPr>
        <w:t>ísticas</w:t>
      </w:r>
      <w:proofErr w:type="spellEnd"/>
      <w:r w:rsidRPr="00B71152">
        <w:rPr>
          <w:szCs w:val="20"/>
          <w:lang w:val="es-CR"/>
        </w:rPr>
        <w:t xml:space="preserve">, espirituales y </w:t>
      </w:r>
      <w:proofErr w:type="spellStart"/>
      <w:r w:rsidRPr="00B71152">
        <w:rPr>
          <w:szCs w:val="20"/>
          <w:lang w:val="es-CR"/>
        </w:rPr>
        <w:t>orígenes</w:t>
      </w:r>
      <w:proofErr w:type="spellEnd"/>
      <w:r w:rsidRPr="00B71152">
        <w:rPr>
          <w:szCs w:val="20"/>
          <w:lang w:val="es-CR"/>
        </w:rPr>
        <w:t xml:space="preserve"> </w:t>
      </w:r>
      <w:proofErr w:type="spellStart"/>
      <w:r w:rsidRPr="00B71152">
        <w:rPr>
          <w:szCs w:val="20"/>
          <w:lang w:val="es-CR"/>
        </w:rPr>
        <w:t>históricos</w:t>
      </w:r>
      <w:proofErr w:type="spellEnd"/>
      <w:r w:rsidRPr="00B71152">
        <w:rPr>
          <w:szCs w:val="20"/>
          <w:lang w:val="es-CR"/>
        </w:rPr>
        <w:t xml:space="preserve"> y tradicionales. Dentro de esta </w:t>
      </w:r>
      <w:proofErr w:type="spellStart"/>
      <w:r w:rsidRPr="00B71152">
        <w:rPr>
          <w:szCs w:val="20"/>
          <w:lang w:val="es-CR"/>
        </w:rPr>
        <w:t>categoría</w:t>
      </w:r>
      <w:proofErr w:type="spellEnd"/>
      <w:r w:rsidRPr="00B71152">
        <w:rPr>
          <w:szCs w:val="20"/>
          <w:lang w:val="es-CR"/>
        </w:rPr>
        <w:t xml:space="preserve"> se encuentran los pueblos </w:t>
      </w:r>
      <w:proofErr w:type="spellStart"/>
      <w:r w:rsidRPr="00B71152">
        <w:rPr>
          <w:szCs w:val="20"/>
          <w:lang w:val="es-CR"/>
        </w:rPr>
        <w:t>indígenas</w:t>
      </w:r>
      <w:proofErr w:type="spellEnd"/>
      <w:r w:rsidRPr="00B71152">
        <w:rPr>
          <w:szCs w:val="20"/>
          <w:lang w:val="es-CR"/>
        </w:rPr>
        <w:t xml:space="preserve">, respecto de los cuales la Corte ha reconocido que tienen </w:t>
      </w:r>
      <w:proofErr w:type="spellStart"/>
      <w:r w:rsidRPr="00B71152">
        <w:rPr>
          <w:szCs w:val="20"/>
          <w:lang w:val="es-CR"/>
        </w:rPr>
        <w:t>características</w:t>
      </w:r>
      <w:proofErr w:type="spellEnd"/>
      <w:r w:rsidRPr="00B71152">
        <w:rPr>
          <w:szCs w:val="20"/>
          <w:lang w:val="es-CR"/>
        </w:rPr>
        <w:t xml:space="preserve"> propias que conforman su identidad cultural, tales como su derecho consuetudinario, sus </w:t>
      </w:r>
      <w:proofErr w:type="spellStart"/>
      <w:r w:rsidRPr="00B71152">
        <w:rPr>
          <w:szCs w:val="20"/>
          <w:lang w:val="es-CR"/>
        </w:rPr>
        <w:t>características</w:t>
      </w:r>
      <w:proofErr w:type="spellEnd"/>
      <w:r w:rsidRPr="00B71152">
        <w:rPr>
          <w:szCs w:val="20"/>
          <w:lang w:val="es-CR"/>
        </w:rPr>
        <w:t xml:space="preserve"> </w:t>
      </w:r>
      <w:proofErr w:type="spellStart"/>
      <w:r w:rsidRPr="00B71152">
        <w:rPr>
          <w:szCs w:val="20"/>
          <w:lang w:val="es-CR"/>
        </w:rPr>
        <w:t>económicas</w:t>
      </w:r>
      <w:proofErr w:type="spellEnd"/>
      <w:r w:rsidRPr="00B71152">
        <w:rPr>
          <w:szCs w:val="20"/>
          <w:lang w:val="es-CR"/>
        </w:rPr>
        <w:t>, sociales, sus valores, usos y costumbres.</w:t>
      </w:r>
    </w:p>
    <w:p w14:paraId="05BDB47D" w14:textId="7B8BB31C" w:rsidR="007269CF" w:rsidRPr="00B71152" w:rsidRDefault="007269CF" w:rsidP="00B71152">
      <w:pPr>
        <w:rPr>
          <w:szCs w:val="20"/>
          <w:lang w:val="es-CR"/>
        </w:rPr>
      </w:pPr>
      <w:r w:rsidRPr="00B71152">
        <w:rPr>
          <w:szCs w:val="20"/>
          <w:lang w:val="es-CR"/>
        </w:rPr>
        <w:t xml:space="preserve">102. Asimismo, la Corte ha establecido que, aun cuando la pobreza y la discapacidad no son consideradas </w:t>
      </w:r>
      <w:proofErr w:type="spellStart"/>
      <w:r w:rsidRPr="00B71152">
        <w:rPr>
          <w:szCs w:val="20"/>
          <w:lang w:val="es-CR"/>
        </w:rPr>
        <w:t>categorías</w:t>
      </w:r>
      <w:proofErr w:type="spellEnd"/>
      <w:r w:rsidRPr="00B71152">
        <w:rPr>
          <w:szCs w:val="20"/>
          <w:lang w:val="es-CR"/>
        </w:rPr>
        <w:t xml:space="preserve"> especiales de protección al tenor literal del artículo 1.1 de la Convención Americana, ello no es un </w:t>
      </w:r>
      <w:proofErr w:type="spellStart"/>
      <w:r w:rsidRPr="00B71152">
        <w:rPr>
          <w:szCs w:val="20"/>
          <w:lang w:val="es-CR"/>
        </w:rPr>
        <w:t>obstáculo</w:t>
      </w:r>
      <w:proofErr w:type="spellEnd"/>
      <w:r w:rsidRPr="00B71152">
        <w:rPr>
          <w:szCs w:val="20"/>
          <w:lang w:val="es-CR"/>
        </w:rPr>
        <w:t xml:space="preserve"> para considerar que la discriminación por estas razones está prohibida por las normas convencionales. Esto es </w:t>
      </w:r>
      <w:proofErr w:type="spellStart"/>
      <w:r w:rsidRPr="00B71152">
        <w:rPr>
          <w:szCs w:val="20"/>
          <w:lang w:val="es-CR"/>
        </w:rPr>
        <w:t>asi</w:t>
      </w:r>
      <w:proofErr w:type="spellEnd"/>
      <w:r w:rsidRPr="00B71152">
        <w:rPr>
          <w:szCs w:val="20"/>
          <w:lang w:val="es-CR"/>
        </w:rPr>
        <w:t xml:space="preserve">́ por dos razones: primero, porque el listado contenido en el artículo 1.1 de la Convención no es taxativo sino enunciativo; segundo, porque la pobreza bien puede entenderse dentro de la </w:t>
      </w:r>
      <w:proofErr w:type="spellStart"/>
      <w:r w:rsidRPr="00B71152">
        <w:rPr>
          <w:szCs w:val="20"/>
          <w:lang w:val="es-CR"/>
        </w:rPr>
        <w:t>categoría</w:t>
      </w:r>
      <w:proofErr w:type="spellEnd"/>
      <w:r w:rsidRPr="00B71152">
        <w:rPr>
          <w:szCs w:val="20"/>
          <w:lang w:val="es-CR"/>
        </w:rPr>
        <w:t xml:space="preserve"> de “</w:t>
      </w:r>
      <w:proofErr w:type="spellStart"/>
      <w:r w:rsidRPr="00B71152">
        <w:rPr>
          <w:szCs w:val="20"/>
          <w:lang w:val="es-CR"/>
        </w:rPr>
        <w:t>posición</w:t>
      </w:r>
      <w:proofErr w:type="spellEnd"/>
      <w:r w:rsidRPr="00B71152">
        <w:rPr>
          <w:szCs w:val="20"/>
          <w:lang w:val="es-CR"/>
        </w:rPr>
        <w:t xml:space="preserve"> </w:t>
      </w:r>
      <w:proofErr w:type="spellStart"/>
      <w:r w:rsidRPr="00B71152">
        <w:rPr>
          <w:szCs w:val="20"/>
          <w:lang w:val="es-CR"/>
        </w:rPr>
        <w:t>económica</w:t>
      </w:r>
      <w:proofErr w:type="spellEnd"/>
      <w:r w:rsidRPr="00B71152">
        <w:rPr>
          <w:szCs w:val="20"/>
          <w:lang w:val="es-CR"/>
        </w:rPr>
        <w:t xml:space="preserve">” a la que se refiere expresamente el referido artículo, o en </w:t>
      </w:r>
      <w:proofErr w:type="spellStart"/>
      <w:r w:rsidRPr="00B71152">
        <w:rPr>
          <w:szCs w:val="20"/>
          <w:lang w:val="es-CR"/>
        </w:rPr>
        <w:t>relación</w:t>
      </w:r>
      <w:proofErr w:type="spellEnd"/>
      <w:r w:rsidRPr="00B71152">
        <w:rPr>
          <w:szCs w:val="20"/>
          <w:lang w:val="es-CR"/>
        </w:rPr>
        <w:t xml:space="preserve"> con otras </w:t>
      </w:r>
      <w:proofErr w:type="spellStart"/>
      <w:r w:rsidRPr="00B71152">
        <w:rPr>
          <w:szCs w:val="20"/>
          <w:lang w:val="es-CR"/>
        </w:rPr>
        <w:t>categorías</w:t>
      </w:r>
      <w:proofErr w:type="spellEnd"/>
      <w:r w:rsidRPr="00B71152">
        <w:rPr>
          <w:szCs w:val="20"/>
          <w:lang w:val="es-CR"/>
        </w:rPr>
        <w:t xml:space="preserve"> de protección como el “origen [...] social” u “otra condición social”, en </w:t>
      </w:r>
      <w:proofErr w:type="spellStart"/>
      <w:r w:rsidRPr="00B71152">
        <w:rPr>
          <w:szCs w:val="20"/>
          <w:lang w:val="es-CR"/>
        </w:rPr>
        <w:t>función</w:t>
      </w:r>
      <w:proofErr w:type="spellEnd"/>
      <w:r w:rsidRPr="00B71152">
        <w:rPr>
          <w:szCs w:val="20"/>
          <w:lang w:val="es-CR"/>
        </w:rPr>
        <w:t xml:space="preserve"> de su </w:t>
      </w:r>
      <w:proofErr w:type="spellStart"/>
      <w:r w:rsidRPr="00B71152">
        <w:rPr>
          <w:szCs w:val="20"/>
          <w:lang w:val="es-CR"/>
        </w:rPr>
        <w:t>carácter</w:t>
      </w:r>
      <w:proofErr w:type="spellEnd"/>
      <w:r w:rsidRPr="00B71152">
        <w:rPr>
          <w:szCs w:val="20"/>
          <w:lang w:val="es-CR"/>
        </w:rPr>
        <w:t xml:space="preserve"> multidimensional, y la discapacidad está comprendida en la </w:t>
      </w:r>
      <w:proofErr w:type="spellStart"/>
      <w:r w:rsidRPr="00B71152">
        <w:rPr>
          <w:szCs w:val="20"/>
          <w:lang w:val="es-CR"/>
        </w:rPr>
        <w:t>categoría</w:t>
      </w:r>
      <w:proofErr w:type="spellEnd"/>
      <w:r w:rsidRPr="00B71152">
        <w:rPr>
          <w:szCs w:val="20"/>
          <w:lang w:val="es-CR"/>
        </w:rPr>
        <w:t xml:space="preserve"> de “otra condición social”.</w:t>
      </w:r>
    </w:p>
    <w:p w14:paraId="59C1DF2C" w14:textId="5D2DD540" w:rsidR="007269CF" w:rsidRPr="00B71152" w:rsidRDefault="007269CF" w:rsidP="00B71152">
      <w:pPr>
        <w:rPr>
          <w:szCs w:val="20"/>
          <w:lang w:val="es-CR"/>
        </w:rPr>
      </w:pPr>
      <w:r w:rsidRPr="00B71152">
        <w:rPr>
          <w:szCs w:val="20"/>
          <w:lang w:val="es-CR"/>
        </w:rPr>
        <w:t xml:space="preserve">103. Al respecto, la Corte recuerda que los Estados </w:t>
      </w:r>
      <w:proofErr w:type="spellStart"/>
      <w:r w:rsidRPr="00B71152">
        <w:rPr>
          <w:szCs w:val="20"/>
          <w:lang w:val="es-CR"/>
        </w:rPr>
        <w:t>están</w:t>
      </w:r>
      <w:proofErr w:type="spellEnd"/>
      <w:r w:rsidRPr="00B71152">
        <w:rPr>
          <w:szCs w:val="20"/>
          <w:lang w:val="es-CR"/>
        </w:rPr>
        <w:t xml:space="preserve"> obligados a adoptar medidas positivas para revertir o cambiar situaciones discriminatorias existentes en sus sociedades, en perjuicio de determinado grupo de personas. Esto implica el deber especial de protección que el Estado debe ejercer respecto de actuaciones y </w:t>
      </w:r>
      <w:proofErr w:type="spellStart"/>
      <w:r w:rsidRPr="00B71152">
        <w:rPr>
          <w:szCs w:val="20"/>
          <w:lang w:val="es-CR"/>
        </w:rPr>
        <w:t>prácticas</w:t>
      </w:r>
      <w:proofErr w:type="spellEnd"/>
      <w:r w:rsidRPr="00B71152">
        <w:rPr>
          <w:szCs w:val="20"/>
          <w:lang w:val="es-CR"/>
        </w:rPr>
        <w:t xml:space="preserve"> de terceros que, bajo su tolerancia o aquiescencia, creen, mantengan o favorezcan las situaciones discriminatorias y, </w:t>
      </w:r>
      <w:proofErr w:type="spellStart"/>
      <w:r w:rsidRPr="00B71152">
        <w:rPr>
          <w:szCs w:val="20"/>
          <w:lang w:val="es-CR"/>
        </w:rPr>
        <w:t>además</w:t>
      </w:r>
      <w:proofErr w:type="spellEnd"/>
      <w:r w:rsidRPr="00B71152">
        <w:rPr>
          <w:szCs w:val="20"/>
          <w:lang w:val="es-CR"/>
        </w:rPr>
        <w:t xml:space="preserve">, que los Estados </w:t>
      </w:r>
      <w:proofErr w:type="spellStart"/>
      <w:r w:rsidRPr="00B71152">
        <w:rPr>
          <w:szCs w:val="20"/>
          <w:lang w:val="es-CR"/>
        </w:rPr>
        <w:t>están</w:t>
      </w:r>
      <w:proofErr w:type="spellEnd"/>
      <w:r w:rsidRPr="00B71152">
        <w:rPr>
          <w:szCs w:val="20"/>
          <w:lang w:val="es-CR"/>
        </w:rPr>
        <w:t xml:space="preserve"> obligados a adoptar medidas positivas, determinables en </w:t>
      </w:r>
      <w:proofErr w:type="spellStart"/>
      <w:r w:rsidRPr="00B71152">
        <w:rPr>
          <w:szCs w:val="20"/>
          <w:lang w:val="es-CR"/>
        </w:rPr>
        <w:t>función</w:t>
      </w:r>
      <w:proofErr w:type="spellEnd"/>
      <w:r w:rsidRPr="00B71152">
        <w:rPr>
          <w:szCs w:val="20"/>
          <w:lang w:val="es-CR"/>
        </w:rPr>
        <w:t xml:space="preserve"> de las particulares necesidades de protección del sujeto de derecho, ya sea por su condición personal o por la situación </w:t>
      </w:r>
      <w:proofErr w:type="spellStart"/>
      <w:r w:rsidRPr="00B71152">
        <w:rPr>
          <w:szCs w:val="20"/>
          <w:lang w:val="es-CR"/>
        </w:rPr>
        <w:t>específica</w:t>
      </w:r>
      <w:proofErr w:type="spellEnd"/>
      <w:r w:rsidRPr="00B71152">
        <w:rPr>
          <w:szCs w:val="20"/>
          <w:lang w:val="es-CR"/>
        </w:rPr>
        <w:t xml:space="preserve"> en que se encuentre, como la extrema pobreza o </w:t>
      </w:r>
      <w:proofErr w:type="spellStart"/>
      <w:r w:rsidRPr="00B71152">
        <w:rPr>
          <w:szCs w:val="20"/>
          <w:lang w:val="es-CR"/>
        </w:rPr>
        <w:t>marginación</w:t>
      </w:r>
      <w:proofErr w:type="spellEnd"/>
      <w:r w:rsidRPr="00B71152">
        <w:rPr>
          <w:szCs w:val="20"/>
          <w:lang w:val="es-CR"/>
        </w:rPr>
        <w:t>.</w:t>
      </w:r>
    </w:p>
    <w:p w14:paraId="5AF4107D" w14:textId="475F4AFA" w:rsidR="007269CF" w:rsidRPr="00B71152" w:rsidRDefault="007269CF" w:rsidP="00B71152">
      <w:pPr>
        <w:rPr>
          <w:szCs w:val="20"/>
          <w:lang w:val="es-CR"/>
        </w:rPr>
      </w:pPr>
      <w:r w:rsidRPr="00B71152">
        <w:rPr>
          <w:szCs w:val="20"/>
          <w:lang w:val="es-CR"/>
        </w:rPr>
        <w:t xml:space="preserve">104. En </w:t>
      </w:r>
      <w:proofErr w:type="spellStart"/>
      <w:r w:rsidRPr="00B71152">
        <w:rPr>
          <w:szCs w:val="20"/>
          <w:lang w:val="es-CR"/>
        </w:rPr>
        <w:t>relación</w:t>
      </w:r>
      <w:proofErr w:type="spellEnd"/>
      <w:r w:rsidRPr="00B71152">
        <w:rPr>
          <w:szCs w:val="20"/>
          <w:lang w:val="es-CR"/>
        </w:rPr>
        <w:t xml:space="preserve"> con lo anterior, el Tribunal advierte que las </w:t>
      </w:r>
      <w:proofErr w:type="spellStart"/>
      <w:r w:rsidRPr="00B71152">
        <w:rPr>
          <w:szCs w:val="20"/>
          <w:lang w:val="es-CR"/>
        </w:rPr>
        <w:t>víctimas</w:t>
      </w:r>
      <w:proofErr w:type="spellEnd"/>
      <w:r w:rsidRPr="00B71152">
        <w:rPr>
          <w:szCs w:val="20"/>
          <w:lang w:val="es-CR"/>
        </w:rPr>
        <w:t xml:space="preserve"> del presente caso son personas pertenecientes a un pueblo </w:t>
      </w:r>
      <w:proofErr w:type="spellStart"/>
      <w:r w:rsidRPr="00B71152">
        <w:rPr>
          <w:szCs w:val="20"/>
          <w:lang w:val="es-CR"/>
        </w:rPr>
        <w:t>indígena</w:t>
      </w:r>
      <w:proofErr w:type="spellEnd"/>
      <w:r w:rsidRPr="00B71152">
        <w:rPr>
          <w:szCs w:val="20"/>
          <w:lang w:val="es-CR"/>
        </w:rPr>
        <w:t xml:space="preserve"> que no </w:t>
      </w:r>
      <w:proofErr w:type="spellStart"/>
      <w:r w:rsidRPr="00B71152">
        <w:rPr>
          <w:szCs w:val="20"/>
          <w:lang w:val="es-CR"/>
        </w:rPr>
        <w:t>podían</w:t>
      </w:r>
      <w:proofErr w:type="spellEnd"/>
      <w:r w:rsidRPr="00B71152">
        <w:rPr>
          <w:szCs w:val="20"/>
          <w:lang w:val="es-CR"/>
        </w:rPr>
        <w:t xml:space="preserve"> acceder a otra de fuente de ingresos y </w:t>
      </w:r>
      <w:proofErr w:type="spellStart"/>
      <w:r w:rsidRPr="00B71152">
        <w:rPr>
          <w:szCs w:val="20"/>
          <w:lang w:val="es-CR"/>
        </w:rPr>
        <w:t>debían</w:t>
      </w:r>
      <w:proofErr w:type="spellEnd"/>
      <w:r w:rsidRPr="00B71152">
        <w:rPr>
          <w:szCs w:val="20"/>
          <w:lang w:val="es-CR"/>
        </w:rPr>
        <w:t xml:space="preserve"> exponerse a aceptar el trabajo de pesca submarina en condiciones de vulnerabilidad, lo cual los expuso a los hechos </w:t>
      </w:r>
      <w:proofErr w:type="spellStart"/>
      <w:r w:rsidRPr="00B71152">
        <w:rPr>
          <w:szCs w:val="20"/>
          <w:lang w:val="es-CR"/>
        </w:rPr>
        <w:t>victimizantes</w:t>
      </w:r>
      <w:proofErr w:type="spellEnd"/>
      <w:r w:rsidRPr="00B71152">
        <w:rPr>
          <w:szCs w:val="20"/>
          <w:lang w:val="es-CR"/>
        </w:rPr>
        <w:t xml:space="preserve"> que han sido referidos en la presente sentencia. Para las personas que habitan en el Departamento de Gracias a Dios, y en particular la </w:t>
      </w:r>
      <w:proofErr w:type="spellStart"/>
      <w:r w:rsidRPr="00B71152">
        <w:rPr>
          <w:szCs w:val="20"/>
          <w:lang w:val="es-CR"/>
        </w:rPr>
        <w:t>región</w:t>
      </w:r>
      <w:proofErr w:type="spellEnd"/>
      <w:r w:rsidRPr="00B71152">
        <w:rPr>
          <w:szCs w:val="20"/>
          <w:lang w:val="es-CR"/>
        </w:rPr>
        <w:t xml:space="preserve"> de la </w:t>
      </w:r>
      <w:proofErr w:type="spellStart"/>
      <w:r w:rsidRPr="00B71152">
        <w:rPr>
          <w:szCs w:val="20"/>
          <w:lang w:val="es-CR"/>
        </w:rPr>
        <w:t>Moskitia</w:t>
      </w:r>
      <w:proofErr w:type="spellEnd"/>
      <w:r w:rsidRPr="00B71152">
        <w:rPr>
          <w:szCs w:val="20"/>
          <w:lang w:val="es-CR"/>
        </w:rPr>
        <w:t xml:space="preserve">, el trabajo de buceo que les </w:t>
      </w:r>
      <w:proofErr w:type="spellStart"/>
      <w:r w:rsidRPr="00B71152">
        <w:rPr>
          <w:szCs w:val="20"/>
          <w:lang w:val="es-CR"/>
        </w:rPr>
        <w:t>ofrecían</w:t>
      </w:r>
      <w:proofErr w:type="spellEnd"/>
      <w:r w:rsidRPr="00B71152">
        <w:rPr>
          <w:szCs w:val="20"/>
          <w:lang w:val="es-CR"/>
        </w:rPr>
        <w:t xml:space="preserve"> era la principal, sino la </w:t>
      </w:r>
      <w:proofErr w:type="spellStart"/>
      <w:r w:rsidRPr="00B71152">
        <w:rPr>
          <w:szCs w:val="20"/>
          <w:lang w:val="es-CR"/>
        </w:rPr>
        <w:t>única</w:t>
      </w:r>
      <w:proofErr w:type="spellEnd"/>
      <w:r w:rsidRPr="00B71152">
        <w:rPr>
          <w:szCs w:val="20"/>
          <w:lang w:val="es-CR"/>
        </w:rPr>
        <w:t xml:space="preserve"> </w:t>
      </w:r>
      <w:proofErr w:type="spellStart"/>
      <w:r w:rsidRPr="00B71152">
        <w:rPr>
          <w:szCs w:val="20"/>
          <w:lang w:val="es-CR"/>
        </w:rPr>
        <w:t>opción</w:t>
      </w:r>
      <w:proofErr w:type="spellEnd"/>
      <w:r w:rsidRPr="00B71152">
        <w:rPr>
          <w:szCs w:val="20"/>
          <w:lang w:val="es-CR"/>
        </w:rPr>
        <w:t xml:space="preserve"> laboral, pues dicha </w:t>
      </w:r>
      <w:r w:rsidRPr="00B71152">
        <w:rPr>
          <w:szCs w:val="20"/>
          <w:lang w:val="es-CR"/>
        </w:rPr>
        <w:lastRenderedPageBreak/>
        <w:t xml:space="preserve">zona es conocida por la falta de opciones laborales. El Estado </w:t>
      </w:r>
      <w:proofErr w:type="spellStart"/>
      <w:r w:rsidRPr="00B71152">
        <w:rPr>
          <w:szCs w:val="20"/>
          <w:lang w:val="es-CR"/>
        </w:rPr>
        <w:t>reconocio</w:t>
      </w:r>
      <w:proofErr w:type="spellEnd"/>
      <w:r w:rsidRPr="00B71152">
        <w:rPr>
          <w:szCs w:val="20"/>
          <w:lang w:val="es-CR"/>
        </w:rPr>
        <w:t xml:space="preserve">́ que las </w:t>
      </w:r>
      <w:proofErr w:type="spellStart"/>
      <w:r w:rsidRPr="00B71152">
        <w:rPr>
          <w:szCs w:val="20"/>
          <w:lang w:val="es-CR"/>
        </w:rPr>
        <w:t>víctimas</w:t>
      </w:r>
      <w:proofErr w:type="spellEnd"/>
      <w:r w:rsidRPr="00B71152">
        <w:rPr>
          <w:szCs w:val="20"/>
          <w:lang w:val="es-CR"/>
        </w:rPr>
        <w:t xml:space="preserve"> </w:t>
      </w:r>
      <w:proofErr w:type="spellStart"/>
      <w:r w:rsidRPr="00B71152">
        <w:rPr>
          <w:szCs w:val="20"/>
          <w:lang w:val="es-CR"/>
        </w:rPr>
        <w:t>vivían</w:t>
      </w:r>
      <w:proofErr w:type="spellEnd"/>
      <w:r w:rsidRPr="00B71152">
        <w:rPr>
          <w:szCs w:val="20"/>
          <w:lang w:val="es-CR"/>
        </w:rPr>
        <w:t xml:space="preserve"> en una situación general de abandono, indiferencia y falta de presencia por parte del Estado, y que </w:t>
      </w:r>
      <w:proofErr w:type="spellStart"/>
      <w:r w:rsidRPr="00B71152">
        <w:rPr>
          <w:szCs w:val="20"/>
          <w:lang w:val="es-CR"/>
        </w:rPr>
        <w:t>tenía</w:t>
      </w:r>
      <w:proofErr w:type="spellEnd"/>
      <w:r w:rsidRPr="00B71152">
        <w:rPr>
          <w:szCs w:val="20"/>
          <w:lang w:val="es-CR"/>
        </w:rPr>
        <w:t xml:space="preserve"> conocimiento de la situación del pueblo</w:t>
      </w:r>
      <w:r>
        <w:rPr>
          <w:szCs w:val="20"/>
          <w:lang w:val="es-CR"/>
        </w:rPr>
        <w:t xml:space="preserve"> </w:t>
      </w:r>
      <w:proofErr w:type="spellStart"/>
      <w:r w:rsidRPr="00B71152">
        <w:rPr>
          <w:szCs w:val="20"/>
          <w:lang w:val="es-CR"/>
        </w:rPr>
        <w:t>indígena</w:t>
      </w:r>
      <w:proofErr w:type="spellEnd"/>
      <w:r w:rsidRPr="00B71152">
        <w:rPr>
          <w:szCs w:val="20"/>
          <w:lang w:val="es-CR"/>
        </w:rPr>
        <w:t xml:space="preserve"> </w:t>
      </w:r>
      <w:proofErr w:type="spellStart"/>
      <w:r w:rsidRPr="00B71152">
        <w:rPr>
          <w:szCs w:val="20"/>
          <w:lang w:val="es-CR"/>
        </w:rPr>
        <w:t>miskito</w:t>
      </w:r>
      <w:proofErr w:type="spellEnd"/>
      <w:r w:rsidRPr="00B71152">
        <w:rPr>
          <w:szCs w:val="20"/>
          <w:lang w:val="es-CR"/>
        </w:rPr>
        <w:t xml:space="preserve"> y de abusos realizados por las empresas que desarrollan actividades de pesca en la zona. En este contexto, la omisión estatal de adoptar medidas dirigidas a cambiar las situaciones que </w:t>
      </w:r>
      <w:proofErr w:type="spellStart"/>
      <w:r w:rsidRPr="00B71152">
        <w:rPr>
          <w:szCs w:val="20"/>
          <w:lang w:val="es-CR"/>
        </w:rPr>
        <w:t>constituían</w:t>
      </w:r>
      <w:proofErr w:type="spellEnd"/>
      <w:r w:rsidRPr="00B71152">
        <w:rPr>
          <w:szCs w:val="20"/>
          <w:lang w:val="es-CR"/>
        </w:rPr>
        <w:t xml:space="preserve"> violaciones a los derechos humanos de las </w:t>
      </w:r>
      <w:proofErr w:type="spellStart"/>
      <w:r w:rsidRPr="00B71152">
        <w:rPr>
          <w:szCs w:val="20"/>
          <w:lang w:val="es-CR"/>
        </w:rPr>
        <w:t>víctimas</w:t>
      </w:r>
      <w:proofErr w:type="spellEnd"/>
      <w:r w:rsidRPr="00B71152">
        <w:rPr>
          <w:szCs w:val="20"/>
          <w:lang w:val="es-CR"/>
        </w:rPr>
        <w:t xml:space="preserve">, las cuales pertenecen a un grupo vulnerable, en tanto miembros de un pueblo </w:t>
      </w:r>
      <w:proofErr w:type="spellStart"/>
      <w:r w:rsidRPr="00B71152">
        <w:rPr>
          <w:szCs w:val="20"/>
          <w:lang w:val="es-CR"/>
        </w:rPr>
        <w:t>indígena</w:t>
      </w:r>
      <w:proofErr w:type="spellEnd"/>
      <w:r w:rsidRPr="00B71152">
        <w:rPr>
          <w:szCs w:val="20"/>
          <w:lang w:val="es-CR"/>
        </w:rPr>
        <w:t>, constituyó un acto de discriminación.</w:t>
      </w:r>
    </w:p>
    <w:p w14:paraId="6029726F" w14:textId="375FAEAD" w:rsidR="007269CF" w:rsidRPr="00B71152" w:rsidRDefault="007269CF" w:rsidP="00B71152">
      <w:pPr>
        <w:rPr>
          <w:szCs w:val="20"/>
          <w:lang w:val="es-CR"/>
        </w:rPr>
      </w:pPr>
      <w:r w:rsidRPr="00B71152">
        <w:rPr>
          <w:szCs w:val="20"/>
          <w:lang w:val="es-CR"/>
        </w:rPr>
        <w:t xml:space="preserve">105. En </w:t>
      </w:r>
      <w:proofErr w:type="spellStart"/>
      <w:r w:rsidRPr="00B71152">
        <w:rPr>
          <w:szCs w:val="20"/>
          <w:lang w:val="es-CR"/>
        </w:rPr>
        <w:t>relación</w:t>
      </w:r>
      <w:proofErr w:type="spellEnd"/>
      <w:r w:rsidRPr="00B71152">
        <w:rPr>
          <w:szCs w:val="20"/>
          <w:lang w:val="es-CR"/>
        </w:rPr>
        <w:t xml:space="preserve"> con lo anterior, la Oficina de la Alta Comisionada de las Naciones Unidas para los Derechos Humanos, en su informe de 2019 sobre la situación de los derechos humanos en Honduras, </w:t>
      </w:r>
      <w:proofErr w:type="spellStart"/>
      <w:r w:rsidRPr="00B71152">
        <w:rPr>
          <w:szCs w:val="20"/>
          <w:lang w:val="es-CR"/>
        </w:rPr>
        <w:t>señalo</w:t>
      </w:r>
      <w:proofErr w:type="spellEnd"/>
      <w:r w:rsidRPr="00B71152">
        <w:rPr>
          <w:szCs w:val="20"/>
          <w:lang w:val="es-CR"/>
        </w:rPr>
        <w:t xml:space="preserve">́ </w:t>
      </w:r>
      <w:proofErr w:type="spellStart"/>
      <w:r w:rsidRPr="00B71152">
        <w:rPr>
          <w:szCs w:val="20"/>
          <w:lang w:val="es-CR"/>
        </w:rPr>
        <w:t>cómo</w:t>
      </w:r>
      <w:proofErr w:type="spellEnd"/>
      <w:r w:rsidRPr="00B71152">
        <w:rPr>
          <w:szCs w:val="20"/>
          <w:lang w:val="es-CR"/>
        </w:rPr>
        <w:t xml:space="preserve"> los proyectos de desarrollo e </w:t>
      </w:r>
      <w:proofErr w:type="spellStart"/>
      <w:r w:rsidRPr="00B71152">
        <w:rPr>
          <w:szCs w:val="20"/>
          <w:lang w:val="es-CR"/>
        </w:rPr>
        <w:t>inversión</w:t>
      </w:r>
      <w:proofErr w:type="spellEnd"/>
      <w:r w:rsidRPr="00B71152">
        <w:rPr>
          <w:szCs w:val="20"/>
          <w:lang w:val="es-CR"/>
        </w:rPr>
        <w:t xml:space="preserve"> en tierras y territorios </w:t>
      </w:r>
      <w:proofErr w:type="spellStart"/>
      <w:r w:rsidRPr="00B71152">
        <w:rPr>
          <w:szCs w:val="20"/>
          <w:lang w:val="es-CR"/>
        </w:rPr>
        <w:t>indígenas</w:t>
      </w:r>
      <w:proofErr w:type="spellEnd"/>
      <w:r w:rsidRPr="00B71152">
        <w:rPr>
          <w:szCs w:val="20"/>
          <w:lang w:val="es-CR"/>
        </w:rPr>
        <w:t xml:space="preserve"> </w:t>
      </w:r>
      <w:proofErr w:type="spellStart"/>
      <w:r w:rsidRPr="00B71152">
        <w:rPr>
          <w:szCs w:val="20"/>
          <w:lang w:val="es-CR"/>
        </w:rPr>
        <w:t>miskito</w:t>
      </w:r>
      <w:proofErr w:type="spellEnd"/>
      <w:r w:rsidRPr="00B71152">
        <w:rPr>
          <w:szCs w:val="20"/>
          <w:lang w:val="es-CR"/>
        </w:rPr>
        <w:t xml:space="preserve"> tienen lugar en contextos de profunda </w:t>
      </w:r>
      <w:proofErr w:type="spellStart"/>
      <w:r w:rsidRPr="00B71152">
        <w:rPr>
          <w:szCs w:val="20"/>
          <w:lang w:val="es-CR"/>
        </w:rPr>
        <w:t>marginación</w:t>
      </w:r>
      <w:proofErr w:type="spellEnd"/>
      <w:r w:rsidRPr="00B71152">
        <w:rPr>
          <w:szCs w:val="20"/>
          <w:lang w:val="es-CR"/>
        </w:rPr>
        <w:t xml:space="preserve"> y pobreza. En ese sentido, expresó que “en el departamento de Gracias a Dios, el 78 % de los hogares son </w:t>
      </w:r>
      <w:proofErr w:type="spellStart"/>
      <w:r w:rsidRPr="00B71152">
        <w:rPr>
          <w:szCs w:val="20"/>
          <w:lang w:val="es-CR"/>
        </w:rPr>
        <w:t>indígenas</w:t>
      </w:r>
      <w:proofErr w:type="spellEnd"/>
      <w:r w:rsidRPr="00B71152">
        <w:rPr>
          <w:szCs w:val="20"/>
          <w:lang w:val="es-CR"/>
        </w:rPr>
        <w:t xml:space="preserve">, y alrededor del 90 % viven en situación de pobreza multidimensional. Las graves brechas en el disfrute de derechos humanos fundamentales tienden a producir una </w:t>
      </w:r>
      <w:proofErr w:type="spellStart"/>
      <w:r w:rsidRPr="00B71152">
        <w:rPr>
          <w:szCs w:val="20"/>
          <w:lang w:val="es-CR"/>
        </w:rPr>
        <w:t>presión</w:t>
      </w:r>
      <w:proofErr w:type="spellEnd"/>
      <w:r w:rsidRPr="00B71152">
        <w:rPr>
          <w:szCs w:val="20"/>
          <w:lang w:val="es-CR"/>
        </w:rPr>
        <w:t xml:space="preserve"> indebida sobre las comunidades </w:t>
      </w:r>
      <w:proofErr w:type="spellStart"/>
      <w:r w:rsidRPr="00B71152">
        <w:rPr>
          <w:szCs w:val="20"/>
          <w:lang w:val="es-CR"/>
        </w:rPr>
        <w:t>indígenas</w:t>
      </w:r>
      <w:proofErr w:type="spellEnd"/>
      <w:r w:rsidRPr="00B71152">
        <w:rPr>
          <w:szCs w:val="20"/>
          <w:lang w:val="es-CR"/>
        </w:rPr>
        <w:t xml:space="preserve"> para que acepten proyectos a cambio de promesas de empresas privadas de proporcionar servicios tales como salud y </w:t>
      </w:r>
      <w:proofErr w:type="spellStart"/>
      <w:r w:rsidRPr="00B71152">
        <w:rPr>
          <w:szCs w:val="20"/>
          <w:lang w:val="es-CR"/>
        </w:rPr>
        <w:t>educación</w:t>
      </w:r>
      <w:proofErr w:type="spellEnd"/>
      <w:r w:rsidRPr="00B71152">
        <w:rPr>
          <w:szCs w:val="20"/>
          <w:lang w:val="es-CR"/>
        </w:rPr>
        <w:t xml:space="preserve">”. En esa </w:t>
      </w:r>
      <w:proofErr w:type="spellStart"/>
      <w:r w:rsidRPr="00B71152">
        <w:rPr>
          <w:szCs w:val="20"/>
          <w:lang w:val="es-CR"/>
        </w:rPr>
        <w:t>línea</w:t>
      </w:r>
      <w:proofErr w:type="spellEnd"/>
      <w:r w:rsidRPr="00B71152">
        <w:rPr>
          <w:szCs w:val="20"/>
          <w:lang w:val="es-CR"/>
        </w:rPr>
        <w:t xml:space="preserve">, </w:t>
      </w:r>
      <w:proofErr w:type="spellStart"/>
      <w:r w:rsidRPr="00B71152">
        <w:rPr>
          <w:szCs w:val="20"/>
          <w:lang w:val="es-CR"/>
        </w:rPr>
        <w:t>recomendo</w:t>
      </w:r>
      <w:proofErr w:type="spellEnd"/>
      <w:r w:rsidRPr="00B71152">
        <w:rPr>
          <w:szCs w:val="20"/>
          <w:lang w:val="es-CR"/>
        </w:rPr>
        <w:t>́ al gobierno “[a]</w:t>
      </w:r>
      <w:proofErr w:type="spellStart"/>
      <w:r w:rsidRPr="00B71152">
        <w:rPr>
          <w:szCs w:val="20"/>
          <w:lang w:val="es-CR"/>
        </w:rPr>
        <w:t>doptar</w:t>
      </w:r>
      <w:proofErr w:type="spellEnd"/>
      <w:r w:rsidRPr="00B71152">
        <w:rPr>
          <w:szCs w:val="20"/>
          <w:lang w:val="es-CR"/>
        </w:rPr>
        <w:t xml:space="preserve"> una </w:t>
      </w:r>
      <w:proofErr w:type="spellStart"/>
      <w:r w:rsidRPr="00B71152">
        <w:rPr>
          <w:szCs w:val="20"/>
          <w:lang w:val="es-CR"/>
        </w:rPr>
        <w:t>política</w:t>
      </w:r>
      <w:proofErr w:type="spellEnd"/>
      <w:r w:rsidRPr="00B71152">
        <w:rPr>
          <w:szCs w:val="20"/>
          <w:lang w:val="es-CR"/>
        </w:rPr>
        <w:t xml:space="preserve"> o plan para guiar a las empresas respecto de sus responsabilidades en materia de derechos humanos, para garantizar que el sector privado ejerza la diligencia debida y </w:t>
      </w:r>
      <w:proofErr w:type="spellStart"/>
      <w:r w:rsidRPr="00B71152">
        <w:rPr>
          <w:szCs w:val="20"/>
          <w:lang w:val="es-CR"/>
        </w:rPr>
        <w:t>evalúe</w:t>
      </w:r>
      <w:proofErr w:type="spellEnd"/>
      <w:r w:rsidRPr="00B71152">
        <w:rPr>
          <w:szCs w:val="20"/>
          <w:lang w:val="es-CR"/>
        </w:rPr>
        <w:t xml:space="preserve"> el impacto de las actividades empresariales en los derechos humanos, y que se </w:t>
      </w:r>
      <w:proofErr w:type="spellStart"/>
      <w:r w:rsidRPr="00B71152">
        <w:rPr>
          <w:szCs w:val="20"/>
          <w:lang w:val="es-CR"/>
        </w:rPr>
        <w:t>diseñen</w:t>
      </w:r>
      <w:proofErr w:type="spellEnd"/>
      <w:r w:rsidRPr="00B71152">
        <w:rPr>
          <w:szCs w:val="20"/>
          <w:lang w:val="es-CR"/>
        </w:rPr>
        <w:t xml:space="preserve"> remedios para mitigar cualquier impacto en los derechos humanos generado por dichas actividades”.</w:t>
      </w:r>
    </w:p>
    <w:p w14:paraId="31180329" w14:textId="4812B4B4" w:rsidR="007269CF" w:rsidRPr="00B71152" w:rsidRDefault="007269CF" w:rsidP="00B71152">
      <w:pPr>
        <w:rPr>
          <w:szCs w:val="20"/>
          <w:lang w:val="es-CR"/>
        </w:rPr>
      </w:pPr>
      <w:r w:rsidRPr="00B71152">
        <w:rPr>
          <w:szCs w:val="20"/>
          <w:lang w:val="es-CR"/>
        </w:rPr>
        <w:t xml:space="preserve">106. De igual forma, este Tribunal constata que, en un estudio del Banco Mundial del </w:t>
      </w:r>
      <w:proofErr w:type="spellStart"/>
      <w:r w:rsidRPr="00B71152">
        <w:rPr>
          <w:szCs w:val="20"/>
          <w:lang w:val="es-CR"/>
        </w:rPr>
        <w:t>año</w:t>
      </w:r>
      <w:proofErr w:type="spellEnd"/>
      <w:r w:rsidRPr="00B71152">
        <w:rPr>
          <w:szCs w:val="20"/>
          <w:lang w:val="es-CR"/>
        </w:rPr>
        <w:t xml:space="preserve"> 2001, se </w:t>
      </w:r>
      <w:proofErr w:type="spellStart"/>
      <w:r w:rsidRPr="00B71152">
        <w:rPr>
          <w:szCs w:val="20"/>
          <w:lang w:val="es-CR"/>
        </w:rPr>
        <w:t>reconocio</w:t>
      </w:r>
      <w:proofErr w:type="spellEnd"/>
      <w:r w:rsidRPr="00B71152">
        <w:rPr>
          <w:szCs w:val="20"/>
          <w:lang w:val="es-CR"/>
        </w:rPr>
        <w:t xml:space="preserve">́ la falta de infraestructura y la negligencia de los gobiernos respecto de la zona de la </w:t>
      </w:r>
      <w:proofErr w:type="spellStart"/>
      <w:r w:rsidRPr="00B71152">
        <w:rPr>
          <w:szCs w:val="20"/>
          <w:lang w:val="es-CR"/>
        </w:rPr>
        <w:t>Moskitia</w:t>
      </w:r>
      <w:proofErr w:type="spellEnd"/>
      <w:r w:rsidRPr="00B71152">
        <w:rPr>
          <w:szCs w:val="20"/>
          <w:lang w:val="es-CR"/>
        </w:rPr>
        <w:t xml:space="preserve">. Se </w:t>
      </w:r>
      <w:proofErr w:type="spellStart"/>
      <w:r w:rsidRPr="00B71152">
        <w:rPr>
          <w:szCs w:val="20"/>
          <w:lang w:val="es-CR"/>
        </w:rPr>
        <w:t>advirtio</w:t>
      </w:r>
      <w:proofErr w:type="spellEnd"/>
      <w:r w:rsidRPr="00B71152">
        <w:rPr>
          <w:szCs w:val="20"/>
          <w:lang w:val="es-CR"/>
        </w:rPr>
        <w:t xml:space="preserve">́ la necesidad imperante de lograr el desarrollo rural y el alivio de la pobreza a través del fortalecimiento de la </w:t>
      </w:r>
      <w:proofErr w:type="spellStart"/>
      <w:r w:rsidRPr="00B71152">
        <w:rPr>
          <w:szCs w:val="20"/>
          <w:lang w:val="es-CR"/>
        </w:rPr>
        <w:t>economía</w:t>
      </w:r>
      <w:proofErr w:type="spellEnd"/>
      <w:r w:rsidRPr="00B71152">
        <w:rPr>
          <w:szCs w:val="20"/>
          <w:lang w:val="es-CR"/>
        </w:rPr>
        <w:t xml:space="preserve"> local, de crear nuevas fuentes de empleo, y de reducir la dependencia de la pesca de langosta y tortugas. Dicha </w:t>
      </w:r>
      <w:proofErr w:type="spellStart"/>
      <w:r w:rsidRPr="00B71152">
        <w:rPr>
          <w:szCs w:val="20"/>
          <w:lang w:val="es-CR"/>
        </w:rPr>
        <w:t>institución</w:t>
      </w:r>
      <w:proofErr w:type="spellEnd"/>
      <w:r w:rsidRPr="00B71152">
        <w:rPr>
          <w:szCs w:val="20"/>
          <w:lang w:val="es-CR"/>
        </w:rPr>
        <w:t xml:space="preserve"> </w:t>
      </w:r>
      <w:proofErr w:type="spellStart"/>
      <w:r w:rsidRPr="00B71152">
        <w:rPr>
          <w:szCs w:val="20"/>
          <w:lang w:val="es-CR"/>
        </w:rPr>
        <w:t>señalo</w:t>
      </w:r>
      <w:proofErr w:type="spellEnd"/>
      <w:r w:rsidRPr="00B71152">
        <w:rPr>
          <w:szCs w:val="20"/>
          <w:lang w:val="es-CR"/>
        </w:rPr>
        <w:t xml:space="preserve">́ que el desarrollo de fuentes de empleo alternativas </w:t>
      </w:r>
      <w:proofErr w:type="spellStart"/>
      <w:r w:rsidRPr="00B71152">
        <w:rPr>
          <w:szCs w:val="20"/>
          <w:lang w:val="es-CR"/>
        </w:rPr>
        <w:t>contribuiría</w:t>
      </w:r>
      <w:proofErr w:type="spellEnd"/>
      <w:r w:rsidRPr="00B71152">
        <w:rPr>
          <w:szCs w:val="20"/>
          <w:lang w:val="es-CR"/>
        </w:rPr>
        <w:t xml:space="preserve"> a la </w:t>
      </w:r>
      <w:proofErr w:type="spellStart"/>
      <w:r w:rsidRPr="00B71152">
        <w:rPr>
          <w:szCs w:val="20"/>
          <w:lang w:val="es-CR"/>
        </w:rPr>
        <w:t>reducción</w:t>
      </w:r>
      <w:proofErr w:type="spellEnd"/>
      <w:r w:rsidRPr="00B71152">
        <w:rPr>
          <w:szCs w:val="20"/>
          <w:lang w:val="es-CR"/>
        </w:rPr>
        <w:t xml:space="preserve"> de los accidentes de los buzos, pues la </w:t>
      </w:r>
      <w:proofErr w:type="spellStart"/>
      <w:r w:rsidRPr="00B71152">
        <w:rPr>
          <w:szCs w:val="20"/>
          <w:lang w:val="es-CR"/>
        </w:rPr>
        <w:t>población</w:t>
      </w:r>
      <w:proofErr w:type="spellEnd"/>
      <w:r w:rsidRPr="00B71152">
        <w:rPr>
          <w:szCs w:val="20"/>
          <w:lang w:val="es-CR"/>
        </w:rPr>
        <w:t xml:space="preserve"> </w:t>
      </w:r>
      <w:proofErr w:type="spellStart"/>
      <w:r w:rsidRPr="00B71152">
        <w:rPr>
          <w:szCs w:val="20"/>
          <w:lang w:val="es-CR"/>
        </w:rPr>
        <w:t>miskito</w:t>
      </w:r>
      <w:proofErr w:type="spellEnd"/>
      <w:r w:rsidRPr="00B71152">
        <w:rPr>
          <w:szCs w:val="20"/>
          <w:lang w:val="es-CR"/>
        </w:rPr>
        <w:t xml:space="preserve"> no se </w:t>
      </w:r>
      <w:proofErr w:type="spellStart"/>
      <w:r w:rsidRPr="00B71152">
        <w:rPr>
          <w:szCs w:val="20"/>
          <w:lang w:val="es-CR"/>
        </w:rPr>
        <w:t>vería</w:t>
      </w:r>
      <w:proofErr w:type="spellEnd"/>
      <w:r w:rsidRPr="00B71152">
        <w:rPr>
          <w:szCs w:val="20"/>
          <w:lang w:val="es-CR"/>
        </w:rPr>
        <w:t xml:space="preserve"> obligada a realizar continuas inmersiones para obtener ingresos para su subsistencia.</w:t>
      </w:r>
    </w:p>
    <w:p w14:paraId="013E18E2" w14:textId="6D1A6980" w:rsidR="007269CF" w:rsidRPr="00B71152" w:rsidRDefault="007269CF" w:rsidP="00B71152">
      <w:pPr>
        <w:rPr>
          <w:szCs w:val="20"/>
          <w:lang w:val="es-CR"/>
        </w:rPr>
      </w:pPr>
      <w:r w:rsidRPr="00B71152">
        <w:rPr>
          <w:szCs w:val="20"/>
          <w:lang w:val="es-CR"/>
        </w:rPr>
        <w:t xml:space="preserve">107. En este sentido, el Tribunal advierte que las </w:t>
      </w:r>
      <w:proofErr w:type="spellStart"/>
      <w:r w:rsidRPr="00B71152">
        <w:rPr>
          <w:szCs w:val="20"/>
          <w:lang w:val="es-CR"/>
        </w:rPr>
        <w:t>víctimas</w:t>
      </w:r>
      <w:proofErr w:type="spellEnd"/>
      <w:r w:rsidRPr="00B71152">
        <w:rPr>
          <w:szCs w:val="20"/>
          <w:lang w:val="es-CR"/>
        </w:rPr>
        <w:t xml:space="preserve"> se encontraban inmersas en patrones de discriminación estructural e interseccional, pues eran personas pertenecientes a un pueblo </w:t>
      </w:r>
      <w:proofErr w:type="spellStart"/>
      <w:r w:rsidRPr="00B71152">
        <w:rPr>
          <w:szCs w:val="20"/>
          <w:lang w:val="es-CR"/>
        </w:rPr>
        <w:t>indígena</w:t>
      </w:r>
      <w:proofErr w:type="spellEnd"/>
      <w:r w:rsidRPr="00B71152">
        <w:rPr>
          <w:szCs w:val="20"/>
          <w:lang w:val="es-CR"/>
        </w:rPr>
        <w:t xml:space="preserve"> y se encontraban en una situación de pobreza, una de ellas era un </w:t>
      </w:r>
      <w:proofErr w:type="spellStart"/>
      <w:r w:rsidRPr="00B71152">
        <w:rPr>
          <w:szCs w:val="20"/>
          <w:lang w:val="es-CR"/>
        </w:rPr>
        <w:t>niño</w:t>
      </w:r>
      <w:proofErr w:type="spellEnd"/>
      <w:r w:rsidRPr="00B71152">
        <w:rPr>
          <w:szCs w:val="20"/>
          <w:lang w:val="es-CR"/>
        </w:rPr>
        <w:t xml:space="preserve">, algunas de ellas adquirieron discapacidades y no recibieron tratamiento </w:t>
      </w:r>
      <w:proofErr w:type="spellStart"/>
      <w:r w:rsidRPr="00B71152">
        <w:rPr>
          <w:szCs w:val="20"/>
          <w:lang w:val="es-CR"/>
        </w:rPr>
        <w:t>médico</w:t>
      </w:r>
      <w:proofErr w:type="spellEnd"/>
      <w:r w:rsidRPr="00B71152">
        <w:rPr>
          <w:szCs w:val="20"/>
          <w:lang w:val="es-CR"/>
        </w:rPr>
        <w:t xml:space="preserve">, y no contaban con ninguna otra alternativa </w:t>
      </w:r>
      <w:proofErr w:type="spellStart"/>
      <w:r w:rsidRPr="00B71152">
        <w:rPr>
          <w:szCs w:val="20"/>
          <w:lang w:val="es-CR"/>
        </w:rPr>
        <w:t>económica</w:t>
      </w:r>
      <w:proofErr w:type="spellEnd"/>
      <w:r w:rsidRPr="00B71152">
        <w:rPr>
          <w:szCs w:val="20"/>
          <w:lang w:val="es-CR"/>
        </w:rPr>
        <w:t xml:space="preserve"> </w:t>
      </w:r>
      <w:proofErr w:type="spellStart"/>
      <w:r w:rsidRPr="00B71152">
        <w:rPr>
          <w:szCs w:val="20"/>
          <w:lang w:val="es-CR"/>
        </w:rPr>
        <w:t>más</w:t>
      </w:r>
      <w:proofErr w:type="spellEnd"/>
      <w:r w:rsidRPr="00B71152">
        <w:rPr>
          <w:szCs w:val="20"/>
          <w:lang w:val="es-CR"/>
        </w:rPr>
        <w:t xml:space="preserve"> que aceptar un trabajo peligroso que </w:t>
      </w:r>
      <w:proofErr w:type="spellStart"/>
      <w:r w:rsidRPr="00B71152">
        <w:rPr>
          <w:szCs w:val="20"/>
          <w:lang w:val="es-CR"/>
        </w:rPr>
        <w:t>ponía</w:t>
      </w:r>
      <w:proofErr w:type="spellEnd"/>
      <w:r w:rsidRPr="00B71152">
        <w:rPr>
          <w:szCs w:val="20"/>
          <w:lang w:val="es-CR"/>
        </w:rPr>
        <w:t xml:space="preserve"> en riesgo su salud, su integridad personal y su vida. La confluencia de estos factores hizo posible que una actividad riesgosa, como lo es la pesca submarina que implica grandes riesgos </w:t>
      </w:r>
      <w:r w:rsidR="005B7B62">
        <w:rPr>
          <w:szCs w:val="20"/>
          <w:lang w:val="es-CR"/>
        </w:rPr>
        <w:t>[...]</w:t>
      </w:r>
      <w:r w:rsidRPr="00B71152">
        <w:rPr>
          <w:szCs w:val="20"/>
          <w:lang w:val="es-CR"/>
        </w:rPr>
        <w:t xml:space="preserve">, haya podido realizarse sin una efectiva </w:t>
      </w:r>
      <w:proofErr w:type="spellStart"/>
      <w:r w:rsidRPr="00B71152">
        <w:rPr>
          <w:szCs w:val="20"/>
          <w:lang w:val="es-CR"/>
        </w:rPr>
        <w:t>implementación</w:t>
      </w:r>
      <w:proofErr w:type="spellEnd"/>
      <w:r w:rsidRPr="00B71152">
        <w:rPr>
          <w:szCs w:val="20"/>
          <w:lang w:val="es-CR"/>
        </w:rPr>
        <w:t xml:space="preserve"> de la regulación en la zona de la </w:t>
      </w:r>
      <w:proofErr w:type="spellStart"/>
      <w:r w:rsidRPr="00B71152">
        <w:rPr>
          <w:szCs w:val="20"/>
          <w:lang w:val="es-CR"/>
        </w:rPr>
        <w:t>Moskitia</w:t>
      </w:r>
      <w:proofErr w:type="spellEnd"/>
      <w:r w:rsidRPr="00B71152">
        <w:rPr>
          <w:szCs w:val="20"/>
          <w:lang w:val="es-CR"/>
        </w:rPr>
        <w:t xml:space="preserve">, y que las </w:t>
      </w:r>
      <w:proofErr w:type="spellStart"/>
      <w:r w:rsidRPr="00B71152">
        <w:rPr>
          <w:szCs w:val="20"/>
          <w:lang w:val="es-CR"/>
        </w:rPr>
        <w:t>víctimas</w:t>
      </w:r>
      <w:proofErr w:type="spellEnd"/>
      <w:r w:rsidRPr="00B71152">
        <w:rPr>
          <w:szCs w:val="20"/>
          <w:lang w:val="es-CR"/>
        </w:rPr>
        <w:t xml:space="preserve"> del caso se hayan visto compelidos a trabajar </w:t>
      </w:r>
      <w:proofErr w:type="spellStart"/>
      <w:r w:rsidRPr="00B71152">
        <w:rPr>
          <w:szCs w:val="20"/>
          <w:lang w:val="es-CR"/>
        </w:rPr>
        <w:t>alli</w:t>
      </w:r>
      <w:proofErr w:type="spellEnd"/>
      <w:r w:rsidRPr="00B71152">
        <w:rPr>
          <w:szCs w:val="20"/>
          <w:lang w:val="es-CR"/>
        </w:rPr>
        <w:t xml:space="preserve">́ en condiciones insalubres, y sin protección de seguridad social. En ese sentido, es necesario destacar que el hecho de que las </w:t>
      </w:r>
      <w:proofErr w:type="spellStart"/>
      <w:r w:rsidRPr="00B71152">
        <w:rPr>
          <w:szCs w:val="20"/>
          <w:lang w:val="es-CR"/>
        </w:rPr>
        <w:t>víctimas</w:t>
      </w:r>
      <w:proofErr w:type="spellEnd"/>
      <w:r w:rsidRPr="00B71152">
        <w:rPr>
          <w:szCs w:val="20"/>
          <w:lang w:val="es-CR"/>
        </w:rPr>
        <w:t xml:space="preserve"> pertenecieran a un grupo en especial situación de vulnerabilidad acentuaba los deberes de respeto y </w:t>
      </w:r>
      <w:proofErr w:type="spellStart"/>
      <w:r w:rsidRPr="00B71152">
        <w:rPr>
          <w:szCs w:val="20"/>
          <w:lang w:val="es-CR"/>
        </w:rPr>
        <w:t>garantía</w:t>
      </w:r>
      <w:proofErr w:type="spellEnd"/>
      <w:r w:rsidRPr="00B71152">
        <w:rPr>
          <w:szCs w:val="20"/>
          <w:lang w:val="es-CR"/>
        </w:rPr>
        <w:t xml:space="preserve"> a cargo del Estado. Sin embargo, el Estado no adoptó medidas orientadas a garantizar el ejercicio de sus derechos sin discriminación, y la </w:t>
      </w:r>
      <w:proofErr w:type="spellStart"/>
      <w:r w:rsidRPr="00B71152">
        <w:rPr>
          <w:szCs w:val="20"/>
          <w:lang w:val="es-CR"/>
        </w:rPr>
        <w:t>intersección</w:t>
      </w:r>
      <w:proofErr w:type="spellEnd"/>
      <w:r w:rsidRPr="00B71152">
        <w:rPr>
          <w:szCs w:val="20"/>
          <w:lang w:val="es-CR"/>
        </w:rPr>
        <w:t xml:space="preserve"> de desventajas comparativas hizo que la experiencia de </w:t>
      </w:r>
      <w:proofErr w:type="spellStart"/>
      <w:r w:rsidRPr="00B71152">
        <w:rPr>
          <w:szCs w:val="20"/>
          <w:lang w:val="es-CR"/>
        </w:rPr>
        <w:t>victimización</w:t>
      </w:r>
      <w:proofErr w:type="spellEnd"/>
      <w:r w:rsidRPr="00B71152">
        <w:rPr>
          <w:szCs w:val="20"/>
          <w:lang w:val="es-CR"/>
        </w:rPr>
        <w:t xml:space="preserve"> en este caso fuese agravada.</w:t>
      </w:r>
    </w:p>
    <w:p w14:paraId="332D50BD" w14:textId="03F6CF63" w:rsidR="007269CF" w:rsidRPr="00B71152" w:rsidRDefault="007269CF" w:rsidP="00B71152">
      <w:pPr>
        <w:rPr>
          <w:szCs w:val="20"/>
          <w:lang w:val="es-CR"/>
        </w:rPr>
      </w:pPr>
      <w:r w:rsidRPr="00B71152">
        <w:rPr>
          <w:szCs w:val="20"/>
          <w:lang w:val="es-CR"/>
        </w:rPr>
        <w:t xml:space="preserve">108. Por otra parte, la Corte recuerda que del artículo 24 de la Convención se desprende un mandato orientado a garantizar la igualdad material, lo que no </w:t>
      </w:r>
      <w:proofErr w:type="spellStart"/>
      <w:r w:rsidRPr="00B71152">
        <w:rPr>
          <w:szCs w:val="20"/>
          <w:lang w:val="es-CR"/>
        </w:rPr>
        <w:t>sucedio</w:t>
      </w:r>
      <w:proofErr w:type="spellEnd"/>
      <w:r w:rsidRPr="00B71152">
        <w:rPr>
          <w:szCs w:val="20"/>
          <w:lang w:val="es-CR"/>
        </w:rPr>
        <w:t>́ en el presente caso.</w:t>
      </w:r>
      <w:r>
        <w:rPr>
          <w:szCs w:val="20"/>
          <w:lang w:val="es-CR"/>
        </w:rPr>
        <w:t xml:space="preserve"> </w:t>
      </w:r>
      <w:r w:rsidRPr="00B71152">
        <w:rPr>
          <w:szCs w:val="20"/>
          <w:lang w:val="es-CR"/>
        </w:rPr>
        <w:t xml:space="preserve">En ese sentido, la Corte recuerda que el derecho a la igualdad garantizado por el artículo 24 convencional tiene dos dimensiones, la primera una </w:t>
      </w:r>
      <w:proofErr w:type="spellStart"/>
      <w:r w:rsidRPr="00B71152">
        <w:rPr>
          <w:szCs w:val="20"/>
          <w:lang w:val="es-CR"/>
        </w:rPr>
        <w:t>dimensión</w:t>
      </w:r>
      <w:proofErr w:type="spellEnd"/>
      <w:r w:rsidRPr="00B71152">
        <w:rPr>
          <w:szCs w:val="20"/>
          <w:lang w:val="es-CR"/>
        </w:rPr>
        <w:t xml:space="preserve"> formal, que establece la igualdad ante la ley. La segunda, una </w:t>
      </w:r>
      <w:proofErr w:type="spellStart"/>
      <w:r w:rsidRPr="00B71152">
        <w:rPr>
          <w:szCs w:val="20"/>
          <w:lang w:val="es-CR"/>
        </w:rPr>
        <w:t>dimensión</w:t>
      </w:r>
      <w:proofErr w:type="spellEnd"/>
      <w:r w:rsidRPr="00B71152">
        <w:rPr>
          <w:szCs w:val="20"/>
          <w:lang w:val="es-CR"/>
        </w:rPr>
        <w:t xml:space="preserve"> </w:t>
      </w:r>
      <w:r w:rsidRPr="00B71152">
        <w:rPr>
          <w:szCs w:val="20"/>
          <w:lang w:val="es-CR"/>
        </w:rPr>
        <w:lastRenderedPageBreak/>
        <w:t xml:space="preserve">material o sustancial, que ordena la </w:t>
      </w:r>
      <w:proofErr w:type="spellStart"/>
      <w:r w:rsidRPr="00B71152">
        <w:rPr>
          <w:szCs w:val="20"/>
          <w:lang w:val="es-CR"/>
        </w:rPr>
        <w:t>adopción</w:t>
      </w:r>
      <w:proofErr w:type="spellEnd"/>
      <w:r w:rsidRPr="00B71152">
        <w:rPr>
          <w:szCs w:val="20"/>
          <w:lang w:val="es-CR"/>
        </w:rPr>
        <w:t xml:space="preserve"> de medidas positivas de </w:t>
      </w:r>
      <w:proofErr w:type="spellStart"/>
      <w:r w:rsidRPr="00B71152">
        <w:rPr>
          <w:szCs w:val="20"/>
          <w:lang w:val="es-CR"/>
        </w:rPr>
        <w:t>promoción</w:t>
      </w:r>
      <w:proofErr w:type="spellEnd"/>
      <w:r w:rsidRPr="00B71152">
        <w:rPr>
          <w:szCs w:val="20"/>
          <w:lang w:val="es-CR"/>
        </w:rPr>
        <w:t xml:space="preserve"> a favor de grupos </w:t>
      </w:r>
      <w:proofErr w:type="spellStart"/>
      <w:r w:rsidRPr="00B71152">
        <w:rPr>
          <w:szCs w:val="20"/>
          <w:lang w:val="es-CR"/>
        </w:rPr>
        <w:t>históricamente</w:t>
      </w:r>
      <w:proofErr w:type="spellEnd"/>
      <w:r w:rsidRPr="00B71152">
        <w:rPr>
          <w:szCs w:val="20"/>
          <w:lang w:val="es-CR"/>
        </w:rPr>
        <w:t xml:space="preserve"> discriminados o marginados en </w:t>
      </w:r>
      <w:proofErr w:type="spellStart"/>
      <w:r w:rsidRPr="00B71152">
        <w:rPr>
          <w:szCs w:val="20"/>
          <w:lang w:val="es-CR"/>
        </w:rPr>
        <w:t>razón</w:t>
      </w:r>
      <w:proofErr w:type="spellEnd"/>
      <w:r w:rsidRPr="00B71152">
        <w:rPr>
          <w:szCs w:val="20"/>
          <w:lang w:val="es-CR"/>
        </w:rPr>
        <w:t xml:space="preserve"> de los factores a los que hace referencia el artículo 1.1 de la Convención Americana. Lo anterior quiere decir que el derecho a la igualdad implica la obligación de adoptar medidas para garantizar que la igualdad sea real y efectiva, esto es, corregir las desigualdades existentes, promover la </w:t>
      </w:r>
      <w:proofErr w:type="spellStart"/>
      <w:r w:rsidRPr="00B71152">
        <w:rPr>
          <w:szCs w:val="20"/>
          <w:lang w:val="es-CR"/>
        </w:rPr>
        <w:t>inclusión</w:t>
      </w:r>
      <w:proofErr w:type="spellEnd"/>
      <w:r w:rsidRPr="00B71152">
        <w:rPr>
          <w:szCs w:val="20"/>
          <w:lang w:val="es-CR"/>
        </w:rPr>
        <w:t xml:space="preserve"> y la </w:t>
      </w:r>
      <w:proofErr w:type="spellStart"/>
      <w:r w:rsidRPr="00B71152">
        <w:rPr>
          <w:szCs w:val="20"/>
          <w:lang w:val="es-CR"/>
        </w:rPr>
        <w:t>participación</w:t>
      </w:r>
      <w:proofErr w:type="spellEnd"/>
      <w:r w:rsidRPr="00B71152">
        <w:rPr>
          <w:szCs w:val="20"/>
          <w:lang w:val="es-CR"/>
        </w:rPr>
        <w:t xml:space="preserve"> de los grupos </w:t>
      </w:r>
      <w:proofErr w:type="spellStart"/>
      <w:r w:rsidRPr="00B71152">
        <w:rPr>
          <w:szCs w:val="20"/>
          <w:lang w:val="es-CR"/>
        </w:rPr>
        <w:t>históricamente</w:t>
      </w:r>
      <w:proofErr w:type="spellEnd"/>
      <w:r w:rsidRPr="00B71152">
        <w:rPr>
          <w:szCs w:val="20"/>
          <w:lang w:val="es-CR"/>
        </w:rPr>
        <w:t xml:space="preserve"> marginados, garantizar a las personas o grupos en desventaja el goce efectivo de sus derechos, en suma, brindar a las personas posibilidades concretas de ver realizada, en sus propios casos, la igualdad material. Para ello, los Estados deben enfrentar activamente situaciones de </w:t>
      </w:r>
      <w:proofErr w:type="spellStart"/>
      <w:r w:rsidRPr="00B71152">
        <w:rPr>
          <w:szCs w:val="20"/>
          <w:lang w:val="es-CR"/>
        </w:rPr>
        <w:t>exclusión</w:t>
      </w:r>
      <w:proofErr w:type="spellEnd"/>
      <w:r w:rsidRPr="00B71152">
        <w:rPr>
          <w:szCs w:val="20"/>
          <w:lang w:val="es-CR"/>
        </w:rPr>
        <w:t xml:space="preserve"> y marginación149.</w:t>
      </w:r>
    </w:p>
    <w:p w14:paraId="6C7F4005" w14:textId="00F79497" w:rsidR="007269CF" w:rsidRPr="00B71152" w:rsidRDefault="007269CF" w:rsidP="00B71152">
      <w:pPr>
        <w:rPr>
          <w:szCs w:val="20"/>
          <w:lang w:val="es-CR"/>
        </w:rPr>
      </w:pPr>
      <w:r w:rsidRPr="00B71152">
        <w:rPr>
          <w:szCs w:val="20"/>
          <w:lang w:val="es-CR"/>
        </w:rPr>
        <w:t xml:space="preserve">109. En el caso concreto, este Tribunal advierte que el Estado no adoptó ninguna medida que pueda ser valorada por la Corte como una forma efectiva de enfrentar o de buscar revertir la situación de pobreza y </w:t>
      </w:r>
      <w:proofErr w:type="spellStart"/>
      <w:r w:rsidRPr="00B71152">
        <w:rPr>
          <w:szCs w:val="20"/>
          <w:lang w:val="es-CR"/>
        </w:rPr>
        <w:t>marginación</w:t>
      </w:r>
      <w:proofErr w:type="spellEnd"/>
      <w:r w:rsidRPr="00B71152">
        <w:rPr>
          <w:szCs w:val="20"/>
          <w:lang w:val="es-CR"/>
        </w:rPr>
        <w:t xml:space="preserve"> estructural de las </w:t>
      </w:r>
      <w:proofErr w:type="spellStart"/>
      <w:r w:rsidRPr="00B71152">
        <w:rPr>
          <w:szCs w:val="20"/>
          <w:lang w:val="es-CR"/>
        </w:rPr>
        <w:t>víctimas</w:t>
      </w:r>
      <w:proofErr w:type="spellEnd"/>
      <w:r w:rsidRPr="00B71152">
        <w:rPr>
          <w:szCs w:val="20"/>
          <w:lang w:val="es-CR"/>
        </w:rPr>
        <w:t xml:space="preserve">, con atención a los factores de discriminación que </w:t>
      </w:r>
      <w:proofErr w:type="spellStart"/>
      <w:r w:rsidRPr="00B71152">
        <w:rPr>
          <w:szCs w:val="20"/>
          <w:lang w:val="es-CR"/>
        </w:rPr>
        <w:t>confluían</w:t>
      </w:r>
      <w:proofErr w:type="spellEnd"/>
      <w:r w:rsidRPr="00B71152">
        <w:rPr>
          <w:szCs w:val="20"/>
          <w:lang w:val="es-CR"/>
        </w:rPr>
        <w:t xml:space="preserve">. </w:t>
      </w:r>
      <w:proofErr w:type="spellStart"/>
      <w:r w:rsidRPr="00B71152">
        <w:rPr>
          <w:szCs w:val="20"/>
          <w:lang w:val="es-CR"/>
        </w:rPr>
        <w:t>Además</w:t>
      </w:r>
      <w:proofErr w:type="spellEnd"/>
      <w:r w:rsidRPr="00B71152">
        <w:rPr>
          <w:szCs w:val="20"/>
          <w:lang w:val="es-CR"/>
        </w:rPr>
        <w:t xml:space="preserve">, el Estado </w:t>
      </w:r>
      <w:proofErr w:type="spellStart"/>
      <w:r w:rsidRPr="00B71152">
        <w:rPr>
          <w:szCs w:val="20"/>
          <w:lang w:val="es-CR"/>
        </w:rPr>
        <w:t>tenía</w:t>
      </w:r>
      <w:proofErr w:type="spellEnd"/>
      <w:r w:rsidRPr="00B71152">
        <w:rPr>
          <w:szCs w:val="20"/>
          <w:lang w:val="es-CR"/>
        </w:rPr>
        <w:t xml:space="preserve"> conocimiento de la situación de especial vulnerabilidad de las </w:t>
      </w:r>
      <w:proofErr w:type="spellStart"/>
      <w:r w:rsidRPr="00B71152">
        <w:rPr>
          <w:szCs w:val="20"/>
          <w:lang w:val="es-CR"/>
        </w:rPr>
        <w:t>víctimas</w:t>
      </w:r>
      <w:proofErr w:type="spellEnd"/>
      <w:r w:rsidRPr="00B71152">
        <w:rPr>
          <w:szCs w:val="20"/>
          <w:lang w:val="es-CR"/>
        </w:rPr>
        <w:t xml:space="preserve">, pues tal como fue reconocido por el Estado, en agosto de 2002 la </w:t>
      </w:r>
      <w:proofErr w:type="spellStart"/>
      <w:r w:rsidRPr="00B71152">
        <w:rPr>
          <w:szCs w:val="20"/>
          <w:lang w:val="es-CR"/>
        </w:rPr>
        <w:t>Secretaría</w:t>
      </w:r>
      <w:proofErr w:type="spellEnd"/>
      <w:r w:rsidRPr="00B71152">
        <w:rPr>
          <w:szCs w:val="20"/>
          <w:lang w:val="es-CR"/>
        </w:rPr>
        <w:t xml:space="preserve"> del Trabajo, de </w:t>
      </w:r>
      <w:proofErr w:type="spellStart"/>
      <w:r w:rsidRPr="00B71152">
        <w:rPr>
          <w:szCs w:val="20"/>
          <w:lang w:val="es-CR"/>
        </w:rPr>
        <w:t>Gobernación</w:t>
      </w:r>
      <w:proofErr w:type="spellEnd"/>
      <w:r w:rsidRPr="00B71152">
        <w:rPr>
          <w:szCs w:val="20"/>
          <w:lang w:val="es-CR"/>
        </w:rPr>
        <w:t xml:space="preserve"> y Justicia se </w:t>
      </w:r>
      <w:proofErr w:type="spellStart"/>
      <w:r w:rsidRPr="00B71152">
        <w:rPr>
          <w:szCs w:val="20"/>
          <w:lang w:val="es-CR"/>
        </w:rPr>
        <w:t>reunio</w:t>
      </w:r>
      <w:proofErr w:type="spellEnd"/>
      <w:r w:rsidRPr="00B71152">
        <w:rPr>
          <w:szCs w:val="20"/>
          <w:lang w:val="es-CR"/>
        </w:rPr>
        <w:t xml:space="preserve">́ con la </w:t>
      </w:r>
      <w:proofErr w:type="spellStart"/>
      <w:r w:rsidRPr="00B71152">
        <w:rPr>
          <w:szCs w:val="20"/>
          <w:lang w:val="es-CR"/>
        </w:rPr>
        <w:t>organización</w:t>
      </w:r>
      <w:proofErr w:type="spellEnd"/>
      <w:r w:rsidRPr="00B71152">
        <w:rPr>
          <w:szCs w:val="20"/>
          <w:lang w:val="es-CR"/>
        </w:rPr>
        <w:t xml:space="preserve"> </w:t>
      </w:r>
      <w:proofErr w:type="spellStart"/>
      <w:r w:rsidRPr="00B71152">
        <w:rPr>
          <w:szCs w:val="20"/>
          <w:lang w:val="es-CR"/>
        </w:rPr>
        <w:t>Handicap</w:t>
      </w:r>
      <w:proofErr w:type="spellEnd"/>
      <w:r w:rsidRPr="00B71152">
        <w:rPr>
          <w:szCs w:val="20"/>
          <w:lang w:val="es-CR"/>
        </w:rPr>
        <w:t xml:space="preserve"> International y la AMHBLI para acordar compromisos respecto de la </w:t>
      </w:r>
      <w:proofErr w:type="spellStart"/>
      <w:r w:rsidRPr="00B71152">
        <w:rPr>
          <w:szCs w:val="20"/>
          <w:lang w:val="es-CR"/>
        </w:rPr>
        <w:t>solución</w:t>
      </w:r>
      <w:proofErr w:type="spellEnd"/>
      <w:r w:rsidRPr="00B71152">
        <w:rPr>
          <w:szCs w:val="20"/>
          <w:lang w:val="es-CR"/>
        </w:rPr>
        <w:t xml:space="preserve"> “al problema de los buzos lisiados de la </w:t>
      </w:r>
      <w:proofErr w:type="spellStart"/>
      <w:r w:rsidRPr="00B71152">
        <w:rPr>
          <w:szCs w:val="20"/>
          <w:lang w:val="es-CR"/>
        </w:rPr>
        <w:t>Moskitia</w:t>
      </w:r>
      <w:proofErr w:type="spellEnd"/>
      <w:r w:rsidRPr="00B71152">
        <w:rPr>
          <w:szCs w:val="20"/>
          <w:lang w:val="es-CR"/>
        </w:rPr>
        <w:t xml:space="preserve">” Asimismo, </w:t>
      </w:r>
      <w:proofErr w:type="spellStart"/>
      <w:r w:rsidRPr="00B71152">
        <w:rPr>
          <w:szCs w:val="20"/>
          <w:lang w:val="es-CR"/>
        </w:rPr>
        <w:t>según</w:t>
      </w:r>
      <w:proofErr w:type="spellEnd"/>
      <w:r w:rsidRPr="00B71152">
        <w:rPr>
          <w:szCs w:val="20"/>
          <w:lang w:val="es-CR"/>
        </w:rPr>
        <w:t xml:space="preserve"> informes del Banco Mundial y del Programa de Naciones Unidas para el Desarrollo, para el </w:t>
      </w:r>
      <w:proofErr w:type="spellStart"/>
      <w:r w:rsidRPr="00B71152">
        <w:rPr>
          <w:szCs w:val="20"/>
          <w:lang w:val="es-CR"/>
        </w:rPr>
        <w:t>año</w:t>
      </w:r>
      <w:proofErr w:type="spellEnd"/>
      <w:r w:rsidRPr="00B71152">
        <w:rPr>
          <w:szCs w:val="20"/>
          <w:lang w:val="es-CR"/>
        </w:rPr>
        <w:t xml:space="preserve"> 2003, el departamento de Gracias a Dios presentaba altos </w:t>
      </w:r>
      <w:proofErr w:type="spellStart"/>
      <w:r w:rsidRPr="00B71152">
        <w:rPr>
          <w:szCs w:val="20"/>
          <w:lang w:val="es-CR"/>
        </w:rPr>
        <w:t>índices</w:t>
      </w:r>
      <w:proofErr w:type="spellEnd"/>
      <w:r w:rsidRPr="00B71152">
        <w:rPr>
          <w:szCs w:val="20"/>
          <w:lang w:val="es-CR"/>
        </w:rPr>
        <w:t xml:space="preserve"> de pobreza, analfabetismo, desempleo, y </w:t>
      </w:r>
      <w:proofErr w:type="spellStart"/>
      <w:r w:rsidRPr="00B71152">
        <w:rPr>
          <w:szCs w:val="20"/>
          <w:lang w:val="es-CR"/>
        </w:rPr>
        <w:t>desnutrición</w:t>
      </w:r>
      <w:proofErr w:type="spellEnd"/>
      <w:r w:rsidRPr="00B71152">
        <w:rPr>
          <w:szCs w:val="20"/>
          <w:lang w:val="es-CR"/>
        </w:rPr>
        <w:t xml:space="preserve"> </w:t>
      </w:r>
      <w:proofErr w:type="spellStart"/>
      <w:r w:rsidRPr="00B71152">
        <w:rPr>
          <w:szCs w:val="20"/>
          <w:lang w:val="es-CR"/>
        </w:rPr>
        <w:t>crónica</w:t>
      </w:r>
      <w:proofErr w:type="spellEnd"/>
      <w:r w:rsidRPr="00B71152">
        <w:rPr>
          <w:szCs w:val="20"/>
          <w:lang w:val="es-CR"/>
        </w:rPr>
        <w:t xml:space="preserve">, entre otros aspectos. En este sentido, al permitir la </w:t>
      </w:r>
      <w:proofErr w:type="spellStart"/>
      <w:r w:rsidRPr="00B71152">
        <w:rPr>
          <w:szCs w:val="20"/>
          <w:lang w:val="es-CR"/>
        </w:rPr>
        <w:t>operación</w:t>
      </w:r>
      <w:proofErr w:type="spellEnd"/>
      <w:r w:rsidRPr="00B71152">
        <w:rPr>
          <w:szCs w:val="20"/>
          <w:lang w:val="es-CR"/>
        </w:rPr>
        <w:t xml:space="preserve"> de empresas privadas sin una adecuada </w:t>
      </w:r>
      <w:proofErr w:type="spellStart"/>
      <w:r w:rsidRPr="00B71152">
        <w:rPr>
          <w:szCs w:val="20"/>
          <w:lang w:val="es-CR"/>
        </w:rPr>
        <w:t>fiscalización</w:t>
      </w:r>
      <w:proofErr w:type="spellEnd"/>
      <w:r w:rsidRPr="00B71152">
        <w:rPr>
          <w:szCs w:val="20"/>
          <w:lang w:val="es-CR"/>
        </w:rPr>
        <w:t xml:space="preserve"> y </w:t>
      </w:r>
      <w:proofErr w:type="spellStart"/>
      <w:r w:rsidRPr="00B71152">
        <w:rPr>
          <w:szCs w:val="20"/>
          <w:lang w:val="es-CR"/>
        </w:rPr>
        <w:t>supervisión</w:t>
      </w:r>
      <w:proofErr w:type="spellEnd"/>
      <w:r w:rsidRPr="00B71152">
        <w:rPr>
          <w:szCs w:val="20"/>
          <w:lang w:val="es-CR"/>
        </w:rPr>
        <w:t xml:space="preserve">, en una zona en la que una parte sustancial de la </w:t>
      </w:r>
      <w:proofErr w:type="spellStart"/>
      <w:r w:rsidRPr="00B71152">
        <w:rPr>
          <w:szCs w:val="20"/>
          <w:lang w:val="es-CR"/>
        </w:rPr>
        <w:t>población</w:t>
      </w:r>
      <w:proofErr w:type="spellEnd"/>
      <w:r w:rsidRPr="00B71152">
        <w:rPr>
          <w:szCs w:val="20"/>
          <w:lang w:val="es-CR"/>
        </w:rPr>
        <w:t xml:space="preserve"> es vulnerable, el Estado </w:t>
      </w:r>
      <w:proofErr w:type="spellStart"/>
      <w:r w:rsidRPr="00B71152">
        <w:rPr>
          <w:szCs w:val="20"/>
          <w:lang w:val="es-CR"/>
        </w:rPr>
        <w:t>incumplio</w:t>
      </w:r>
      <w:proofErr w:type="spellEnd"/>
      <w:r w:rsidRPr="00B71152">
        <w:rPr>
          <w:szCs w:val="20"/>
          <w:lang w:val="es-CR"/>
        </w:rPr>
        <w:t>́ con su obligación de garantizar que efectivamente se adoptaran medidas para la protección de la vida y la salud de los buzos y para garantizar su derecho a la igualdad material.</w:t>
      </w:r>
    </w:p>
    <w:p w14:paraId="1AB03909" w14:textId="68C7E617" w:rsidR="007269CF" w:rsidRDefault="007269CF" w:rsidP="00B71152">
      <w:pPr>
        <w:rPr>
          <w:szCs w:val="20"/>
          <w:lang w:val="es-CR"/>
        </w:rPr>
      </w:pPr>
      <w:r w:rsidRPr="00B71152">
        <w:rPr>
          <w:szCs w:val="20"/>
          <w:lang w:val="es-CR"/>
        </w:rPr>
        <w:t xml:space="preserve">110. En suma, la Corte encuentra que el origen </w:t>
      </w:r>
      <w:proofErr w:type="spellStart"/>
      <w:r w:rsidRPr="00B71152">
        <w:rPr>
          <w:szCs w:val="20"/>
          <w:lang w:val="es-CR"/>
        </w:rPr>
        <w:t>étnico</w:t>
      </w:r>
      <w:proofErr w:type="spellEnd"/>
      <w:r w:rsidRPr="00B71152">
        <w:rPr>
          <w:szCs w:val="20"/>
          <w:lang w:val="es-CR"/>
        </w:rPr>
        <w:t xml:space="preserve"> de las </w:t>
      </w:r>
      <w:proofErr w:type="spellStart"/>
      <w:r w:rsidRPr="00B71152">
        <w:rPr>
          <w:szCs w:val="20"/>
          <w:lang w:val="es-CR"/>
        </w:rPr>
        <w:t>víctimas</w:t>
      </w:r>
      <w:proofErr w:type="spellEnd"/>
      <w:r w:rsidRPr="00B71152">
        <w:rPr>
          <w:szCs w:val="20"/>
          <w:lang w:val="es-CR"/>
        </w:rPr>
        <w:t xml:space="preserve"> del caso y los factores </w:t>
      </w:r>
      <w:proofErr w:type="spellStart"/>
      <w:r w:rsidRPr="00B71152">
        <w:rPr>
          <w:szCs w:val="20"/>
          <w:lang w:val="es-CR"/>
        </w:rPr>
        <w:t>interseccionales</w:t>
      </w:r>
      <w:proofErr w:type="spellEnd"/>
      <w:r w:rsidRPr="00B71152">
        <w:rPr>
          <w:szCs w:val="20"/>
          <w:lang w:val="es-CR"/>
        </w:rPr>
        <w:t xml:space="preserve"> de discriminación ya mencionados agravaron la condición de vulnerabilidad de las </w:t>
      </w:r>
      <w:proofErr w:type="spellStart"/>
      <w:r w:rsidRPr="00B71152">
        <w:rPr>
          <w:szCs w:val="20"/>
          <w:lang w:val="es-CR"/>
        </w:rPr>
        <w:t>víctimas</w:t>
      </w:r>
      <w:proofErr w:type="spellEnd"/>
      <w:r w:rsidRPr="00B71152">
        <w:rPr>
          <w:szCs w:val="20"/>
          <w:lang w:val="es-CR"/>
        </w:rPr>
        <w:t xml:space="preserve">, lo que: a) facilitó la </w:t>
      </w:r>
      <w:proofErr w:type="spellStart"/>
      <w:r w:rsidRPr="00B71152">
        <w:rPr>
          <w:szCs w:val="20"/>
          <w:lang w:val="es-CR"/>
        </w:rPr>
        <w:t>operación</w:t>
      </w:r>
      <w:proofErr w:type="spellEnd"/>
      <w:r w:rsidRPr="00B71152">
        <w:rPr>
          <w:szCs w:val="20"/>
          <w:lang w:val="es-CR"/>
        </w:rPr>
        <w:t xml:space="preserve"> de la de pesca submarina sin </w:t>
      </w:r>
      <w:proofErr w:type="spellStart"/>
      <w:r w:rsidRPr="00B71152">
        <w:rPr>
          <w:szCs w:val="20"/>
          <w:lang w:val="es-CR"/>
        </w:rPr>
        <w:t>fiscalización</w:t>
      </w:r>
      <w:proofErr w:type="spellEnd"/>
      <w:r w:rsidRPr="00B71152">
        <w:rPr>
          <w:szCs w:val="20"/>
          <w:lang w:val="es-CR"/>
        </w:rPr>
        <w:t xml:space="preserve"> de la actividad peligrosa, de las condiciones de higiene y seguridad en el trabajo, o de la seguridad social, por parte del Estado; b) llevó a las </w:t>
      </w:r>
      <w:proofErr w:type="spellStart"/>
      <w:r w:rsidRPr="00B71152">
        <w:rPr>
          <w:szCs w:val="20"/>
          <w:lang w:val="es-CR"/>
        </w:rPr>
        <w:t>víctimas</w:t>
      </w:r>
      <w:proofErr w:type="spellEnd"/>
      <w:r w:rsidRPr="00B71152">
        <w:rPr>
          <w:szCs w:val="20"/>
          <w:lang w:val="es-CR"/>
        </w:rPr>
        <w:t xml:space="preserve"> a aceptar un trabajo que </w:t>
      </w:r>
      <w:proofErr w:type="spellStart"/>
      <w:r w:rsidRPr="00B71152">
        <w:rPr>
          <w:szCs w:val="20"/>
          <w:lang w:val="es-CR"/>
        </w:rPr>
        <w:t>ponía</w:t>
      </w:r>
      <w:proofErr w:type="spellEnd"/>
      <w:r w:rsidRPr="00B71152">
        <w:rPr>
          <w:szCs w:val="20"/>
          <w:lang w:val="es-CR"/>
        </w:rPr>
        <w:t xml:space="preserve"> en riesgo su vida e integridad personal; c) no les </w:t>
      </w:r>
      <w:proofErr w:type="spellStart"/>
      <w:r w:rsidRPr="00B71152">
        <w:rPr>
          <w:szCs w:val="20"/>
          <w:lang w:val="es-CR"/>
        </w:rPr>
        <w:t>permitio</w:t>
      </w:r>
      <w:proofErr w:type="spellEnd"/>
      <w:r w:rsidRPr="00B71152">
        <w:rPr>
          <w:szCs w:val="20"/>
          <w:lang w:val="es-CR"/>
        </w:rPr>
        <w:t xml:space="preserve">́ el acceso a servicios de salud para la atención inmediata o para el tratamiento de </w:t>
      </w:r>
      <w:proofErr w:type="spellStart"/>
      <w:r w:rsidRPr="00B71152">
        <w:rPr>
          <w:szCs w:val="20"/>
          <w:lang w:val="es-CR"/>
        </w:rPr>
        <w:t>rehabilitación</w:t>
      </w:r>
      <w:proofErr w:type="spellEnd"/>
      <w:r w:rsidRPr="00B71152">
        <w:rPr>
          <w:szCs w:val="20"/>
          <w:lang w:val="es-CR"/>
        </w:rPr>
        <w:t xml:space="preserve">. </w:t>
      </w:r>
      <w:proofErr w:type="spellStart"/>
      <w:r w:rsidRPr="00B71152">
        <w:rPr>
          <w:szCs w:val="20"/>
          <w:lang w:val="es-CR"/>
        </w:rPr>
        <w:t>Además</w:t>
      </w:r>
      <w:proofErr w:type="spellEnd"/>
      <w:r w:rsidRPr="00B71152">
        <w:rPr>
          <w:szCs w:val="20"/>
          <w:lang w:val="es-CR"/>
        </w:rPr>
        <w:t xml:space="preserve">, el Estado no adoptó medidas dirigidas a garantizar la igualdad material en el derecho al trabajo respecto de un grupo de personas en situación de </w:t>
      </w:r>
      <w:proofErr w:type="spellStart"/>
      <w:r w:rsidRPr="00B71152">
        <w:rPr>
          <w:szCs w:val="20"/>
          <w:lang w:val="es-CR"/>
        </w:rPr>
        <w:t>marginación</w:t>
      </w:r>
      <w:proofErr w:type="spellEnd"/>
      <w:r w:rsidRPr="00B71152">
        <w:rPr>
          <w:szCs w:val="20"/>
          <w:lang w:val="es-CR"/>
        </w:rPr>
        <w:t xml:space="preserve"> y discriminación. Esta situación implica que no se garantizaron los derechos analizados en el presente caso sin discriminación, </w:t>
      </w:r>
      <w:proofErr w:type="spellStart"/>
      <w:r w:rsidRPr="00B71152">
        <w:rPr>
          <w:szCs w:val="20"/>
          <w:lang w:val="es-CR"/>
        </w:rPr>
        <w:t>asi</w:t>
      </w:r>
      <w:proofErr w:type="spellEnd"/>
      <w:r w:rsidRPr="00B71152">
        <w:rPr>
          <w:szCs w:val="20"/>
          <w:lang w:val="es-CR"/>
        </w:rPr>
        <w:t>́ como el derecho a la igualdad previsto en el artículo 24 de la Convención.</w:t>
      </w:r>
    </w:p>
    <w:p w14:paraId="5BCFEB7B" w14:textId="77777777" w:rsidR="007269CF" w:rsidRDefault="007269CF" w:rsidP="00634A49">
      <w:pPr>
        <w:rPr>
          <w:szCs w:val="20"/>
          <w:lang w:val="es-CR"/>
        </w:rPr>
      </w:pPr>
    </w:p>
    <w:p w14:paraId="42005B16" w14:textId="7A8B7464" w:rsidR="007269CF" w:rsidRPr="00BB63D0" w:rsidRDefault="007269CF" w:rsidP="00326300">
      <w:pPr>
        <w:pStyle w:val="Ttulo2"/>
      </w:pPr>
      <w:bookmarkStart w:id="20" w:name="_Toc89017876"/>
      <w:proofErr w:type="spellStart"/>
      <w:r w:rsidRPr="00BB63D0">
        <w:t>Séxo</w:t>
      </w:r>
      <w:proofErr w:type="spellEnd"/>
      <w:r w:rsidRPr="00BB63D0">
        <w:t xml:space="preserve"> y </w:t>
      </w:r>
      <w:r w:rsidRPr="00326300">
        <w:t>género</w:t>
      </w:r>
      <w:bookmarkEnd w:id="20"/>
    </w:p>
    <w:p w14:paraId="4CE544BF" w14:textId="77777777" w:rsidR="007269CF" w:rsidRPr="00BB63D0" w:rsidRDefault="007269CF" w:rsidP="00BB63D0">
      <w:pPr>
        <w:rPr>
          <w:b/>
          <w:szCs w:val="20"/>
        </w:rPr>
      </w:pPr>
      <w:r w:rsidRPr="00BB63D0">
        <w:rPr>
          <w:b/>
          <w:szCs w:val="20"/>
        </w:rPr>
        <w:t>Corte IDH. Caso I.V. Vs. Bolivia. Excepciones Preliminares, Fondo, Reparaciones y Costas. Sentencia de 30 de noviembre de 2016. Serie C No. 329</w:t>
      </w:r>
    </w:p>
    <w:p w14:paraId="128B1F4B" w14:textId="77777777" w:rsidR="007269CF" w:rsidRPr="00BB63D0" w:rsidRDefault="007269CF" w:rsidP="00BB63D0">
      <w:pPr>
        <w:rPr>
          <w:szCs w:val="20"/>
        </w:rPr>
      </w:pPr>
      <w:r w:rsidRPr="00BB63D0">
        <w:rPr>
          <w:szCs w:val="20"/>
        </w:rPr>
        <w:t>242.</w:t>
      </w:r>
      <w:r w:rsidRPr="00BB63D0">
        <w:rPr>
          <w:szCs w:val="20"/>
        </w:rPr>
        <w:tab/>
        <w:t>La Comisión sostuvo que “el presente caso es un ejemplo de las múltiples formas de discriminación que afectan el goce y ejercicio de derechos humanos por parte de algunos grupos de mujeres, como I.V., en base a la intersección de diversos factores como su sexo, condición de migrantes y posición económica”. Por su parte, la representante de la señora I.V. alegó ante esta Corte que, al ser sometida a una esterilización sin su consentimiento, fue discriminada con base en su condición de i) mujer, ii) pobre, iii) peruana y iv) refugiada.</w:t>
      </w:r>
    </w:p>
    <w:p w14:paraId="7E3C33CB" w14:textId="77777777" w:rsidR="007269CF" w:rsidRPr="00BB63D0" w:rsidRDefault="007269CF" w:rsidP="00BB63D0">
      <w:pPr>
        <w:rPr>
          <w:szCs w:val="20"/>
        </w:rPr>
      </w:pPr>
      <w:r w:rsidRPr="00BB63D0">
        <w:rPr>
          <w:szCs w:val="20"/>
        </w:rPr>
        <w:lastRenderedPageBreak/>
        <w:t>243.</w:t>
      </w:r>
      <w:r w:rsidRPr="00BB63D0">
        <w:rPr>
          <w:szCs w:val="20"/>
        </w:rPr>
        <w:tab/>
        <w:t>La Corte reconoce que la libertad y autonomía de las mujeres en materia de salud sexual y reproductiva ha sido históricamente limitada, restringida o anulada con base en estereotipos de género negativos y perjudiciales, tal como lo describió el propio médico durante la audiencia. Ello se ha debido a que se ha asignado social y culturalmente a los hombres un rol preponderante en la adopción de decisiones sobre el cuerpo de las mujeres y a que las mujeres son vistas como el ente reproductivo por excelencia. En particular, la Corte advierte que el fenómeno de la esterilización no consentida está marcado por estas secuelas de las relaciones históricamente desiguales entre las mujeres y los hombres. Aunque la esterilización es un método utilizado como anticonceptivo tanto por mujeres como hombres, las esterilizaciones no consentidas afectan de forma desproporcionada a las mujeres exclusivamente por esta condición en razón que se les asigna socialmente la función reproductora y de planificación familiar. Por otra parte, el hecho de que las mujeres son el sexo con la capacidad biológica de embarazo y parto, las expone a que durante una cesárea sea frecuente la ocurrencia de esterilizaciones sin consentimiento al excluirlas del proceso de adopción de decisiones informadas sobre su cuerpo y salud reproductiva bajo el estereotipo perjudicial de que son incapaces de tomar tales decisiones de forma responsable. En razón de lo anterior, la Corte considera que opera la protección estricta del artículo 1.1 de la Convención por motivos de sexo y género, pues las mujeres tradicionalmente han sido marginadas y discriminadas en esta materia. Por lo anterior, la Corte examinará el caso bajo un escrutinio estricto.</w:t>
      </w:r>
    </w:p>
    <w:p w14:paraId="669BF1BF" w14:textId="29BB708C" w:rsidR="007269CF" w:rsidRPr="00BB63D0" w:rsidRDefault="007269CF" w:rsidP="00BB63D0">
      <w:pPr>
        <w:rPr>
          <w:szCs w:val="20"/>
        </w:rPr>
      </w:pPr>
      <w:r w:rsidRPr="00BB63D0">
        <w:rPr>
          <w:szCs w:val="20"/>
        </w:rPr>
        <w:t>244.</w:t>
      </w:r>
      <w:r w:rsidRPr="00BB63D0">
        <w:rPr>
          <w:szCs w:val="20"/>
        </w:rPr>
        <w:tab/>
        <w:t>En este marco, la Corte resalta que “tratándose de la prohibición de discriminación por una de las categorías protegidas contempladas en el artículo 1.1 de la Convención, la eventual restricción de un derecho exige una fundamentación rigurosa y de mucho peso, lo cual implica que las razones utilizadas por el Estado para realizar la diferenciación de trato deben ser particularmente serias y estar sustentadas en una argumentación exhaustiva. Además, se invierte la carga de la prueba, lo que significa que corresponde a la autoridad demostrar que su decisión no tenía un propósito ni un efecto discriminatorio”.</w:t>
      </w:r>
    </w:p>
    <w:p w14:paraId="07962819" w14:textId="77777777" w:rsidR="007269CF" w:rsidRPr="00BB63D0" w:rsidRDefault="007269CF" w:rsidP="00326300">
      <w:pPr>
        <w:pStyle w:val="Caso"/>
        <w:rPr>
          <w:lang w:val="es-CR"/>
        </w:rPr>
      </w:pPr>
      <w:r w:rsidRPr="00BB63D0">
        <w:rPr>
          <w:lang w:val="es-CR"/>
        </w:rPr>
        <w:t>Corte IDH. Caso Ramírez Escobar y otros Vs. Guatemala. Fondo, Reparaciones y Costas. Sentencia de 9 de marzo de 2018. Serie C No. 351</w:t>
      </w:r>
    </w:p>
    <w:p w14:paraId="268CF64A" w14:textId="77777777" w:rsidR="007269CF" w:rsidRPr="00BB63D0" w:rsidRDefault="007269CF" w:rsidP="00BB63D0">
      <w:pPr>
        <w:rPr>
          <w:szCs w:val="20"/>
          <w:lang w:val="es-CR"/>
        </w:rPr>
      </w:pPr>
      <w:r w:rsidRPr="00BB63D0">
        <w:rPr>
          <w:szCs w:val="20"/>
          <w:lang w:val="es-CR"/>
        </w:rPr>
        <w:t>294.</w:t>
      </w:r>
      <w:r w:rsidRPr="00BB63D0">
        <w:rPr>
          <w:szCs w:val="20"/>
          <w:lang w:val="es-CR"/>
        </w:rPr>
        <w:tab/>
        <w:t xml:space="preserve">La Corte ha destacado que los estereotipos de género se refieren a una pre-concepción de atributos, conductas o características poseídas o papeles que son o deberían ser ejecutados por hombres y mujeres respectivamente, cuya creación y uso es particularmente grave cuando se reflejan, implícita o explícitamente, en políticas y prácticas, particularmente en el razonamiento y el lenguaje de las autoridades estatales. </w:t>
      </w:r>
    </w:p>
    <w:p w14:paraId="08D138FF" w14:textId="77777777" w:rsidR="007269CF" w:rsidRPr="00BB63D0" w:rsidRDefault="007269CF" w:rsidP="00BB63D0">
      <w:pPr>
        <w:rPr>
          <w:szCs w:val="20"/>
          <w:lang w:val="es-CR"/>
        </w:rPr>
      </w:pPr>
      <w:r w:rsidRPr="00BB63D0">
        <w:rPr>
          <w:szCs w:val="20"/>
          <w:lang w:val="es-CR"/>
        </w:rPr>
        <w:t>295.</w:t>
      </w:r>
      <w:r w:rsidRPr="00BB63D0">
        <w:rPr>
          <w:szCs w:val="20"/>
          <w:lang w:val="es-CR"/>
        </w:rPr>
        <w:tab/>
        <w:t xml:space="preserve">La Corte ha identificado, reconocido, visibilizado y rechazado estereotipos de género que son incompatibles con el derecho internacional de los derechos humanos y respecto de los </w:t>
      </w:r>
      <w:r w:rsidRPr="00326300">
        <w:rPr>
          <w:szCs w:val="20"/>
          <w:lang w:val="es-CR"/>
        </w:rPr>
        <w:t>cuales los Estados deben tomar medidas para erradicarlos, en circunstancias en las que</w:t>
      </w:r>
      <w:r w:rsidRPr="00BB63D0">
        <w:rPr>
          <w:szCs w:val="20"/>
          <w:lang w:val="es-CR"/>
        </w:rPr>
        <w:t xml:space="preserve"> han sido utilizados para justificar la violencia contra la mujer o su impunidad, la violación de sus garantías judiciales, o la afectación diferenciada de acciones o decisiones del Estado. </w:t>
      </w:r>
    </w:p>
    <w:p w14:paraId="5D844662" w14:textId="3A1992BA" w:rsidR="007269CF" w:rsidRPr="00BB63D0" w:rsidRDefault="007269CF" w:rsidP="00BB63D0">
      <w:pPr>
        <w:rPr>
          <w:szCs w:val="20"/>
          <w:lang w:val="es-CR"/>
        </w:rPr>
      </w:pPr>
      <w:r w:rsidRPr="00BB63D0">
        <w:rPr>
          <w:szCs w:val="20"/>
          <w:lang w:val="es-CR"/>
        </w:rPr>
        <w:t>296.</w:t>
      </w:r>
      <w:r w:rsidRPr="00BB63D0">
        <w:rPr>
          <w:szCs w:val="20"/>
          <w:lang w:val="es-CR"/>
        </w:rPr>
        <w:tab/>
        <w:t>En el presente caso, la Corte constata que, en distintos informes, así como en las propias decisiones de las autoridades judiciales, se evidencia el uso de estereotipos en cuanto a los roles de género asignados a la madre y padre de los niños. En este sentido, por un lado, distintos informes estudiaron si la señora Ramírez Escobar podía o no asumir su “rol maternal” o “rol de madre”, sin que quede claro qué características le atribuyen a ese rol; analizaron si “aceptaba su rol femenino” y “el modelo sexual” que atribuyen a dicho rol ; basaron sus consideraciones en testimonios según los cuales la señora Ramírez Escobar era una madre irresponsable porque, inter alia, “abandona[</w:t>
      </w:r>
      <w:proofErr w:type="spellStart"/>
      <w:r w:rsidRPr="00BB63D0">
        <w:rPr>
          <w:szCs w:val="20"/>
          <w:lang w:val="es-CR"/>
        </w:rPr>
        <w:t>ba</w:t>
      </w:r>
      <w:proofErr w:type="spellEnd"/>
      <w:r w:rsidRPr="00BB63D0">
        <w:rPr>
          <w:szCs w:val="20"/>
          <w:lang w:val="es-CR"/>
        </w:rPr>
        <w:t xml:space="preserve">] a [sus hijos] cuando se va a trabajar”, y que por estas razones, entre otras, “observaba una conducta irregular” </w:t>
      </w:r>
      <w:r w:rsidR="005B7B62">
        <w:rPr>
          <w:szCs w:val="20"/>
          <w:lang w:val="es-CR"/>
        </w:rPr>
        <w:t>[...]</w:t>
      </w:r>
      <w:r w:rsidRPr="00BB63D0">
        <w:rPr>
          <w:szCs w:val="20"/>
          <w:lang w:val="es-CR"/>
        </w:rPr>
        <w:t xml:space="preserve">. </w:t>
      </w:r>
    </w:p>
    <w:p w14:paraId="368CFCD6" w14:textId="77777777" w:rsidR="007269CF" w:rsidRPr="00BB63D0" w:rsidRDefault="007269CF" w:rsidP="00BB63D0">
      <w:pPr>
        <w:rPr>
          <w:szCs w:val="20"/>
          <w:lang w:val="es-CR"/>
        </w:rPr>
      </w:pPr>
      <w:r w:rsidRPr="00BB63D0">
        <w:rPr>
          <w:szCs w:val="20"/>
          <w:lang w:val="es-CR"/>
        </w:rPr>
        <w:lastRenderedPageBreak/>
        <w:t>297.</w:t>
      </w:r>
      <w:r w:rsidRPr="00BB63D0">
        <w:rPr>
          <w:szCs w:val="20"/>
          <w:lang w:val="es-CR"/>
        </w:rPr>
        <w:tab/>
        <w:t xml:space="preserve">Por otra parte, a lo largo de todo el proceso de declaratoria de abandono en ningún momento se trató de localizar al señor Gustavo Tobar Fajardo, padre de </w:t>
      </w:r>
      <w:proofErr w:type="spellStart"/>
      <w:r w:rsidRPr="00BB63D0">
        <w:rPr>
          <w:szCs w:val="20"/>
          <w:lang w:val="es-CR"/>
        </w:rPr>
        <w:t>Osmín</w:t>
      </w:r>
      <w:proofErr w:type="spellEnd"/>
      <w:r w:rsidRPr="00BB63D0">
        <w:rPr>
          <w:szCs w:val="20"/>
          <w:lang w:val="es-CR"/>
        </w:rPr>
        <w:t>, o a la persona que aparecía como padre de J.R. en su partida de nacimiento. Toda la averiguación realizada por los juzgados de menores y los informes y dictámenes de la Procuraduría General de la Nación se referían al alegado abandono de la madre, reflejando una idea preconcebida del reparto de roles entre padres, por los cuales solo la madre era responsable del cuidado de sus hijos. Este tipo de estereotipos en cuanto al rol de una madre implica utilizar una concepción “tradicional” sobre el rol social de las mujeres como madres, según la cual socialmente se espera que lleven la responsabilidad principal en la crianza de sus hijas e hijos.</w:t>
      </w:r>
    </w:p>
    <w:p w14:paraId="59CC7269" w14:textId="48CAC2E9" w:rsidR="007269CF" w:rsidRPr="00BB63D0" w:rsidRDefault="007269CF" w:rsidP="00BB63D0">
      <w:pPr>
        <w:rPr>
          <w:szCs w:val="20"/>
          <w:lang w:val="es-CR"/>
        </w:rPr>
      </w:pPr>
      <w:r w:rsidRPr="00BB63D0">
        <w:rPr>
          <w:szCs w:val="20"/>
          <w:lang w:val="es-CR"/>
        </w:rPr>
        <w:t>298.</w:t>
      </w:r>
      <w:r w:rsidRPr="00BB63D0">
        <w:rPr>
          <w:szCs w:val="20"/>
          <w:lang w:val="es-CR"/>
        </w:rPr>
        <w:tab/>
        <w:t xml:space="preserve">Ahora bien, esta asignación de roles no solo actuó en perjuicio de la señora Ramírez Escobar sino también del señor Tobar Fajardo. Nunca se intentó ni consideró ubicar a Gustavo Tobar Fajardo, padre de </w:t>
      </w:r>
      <w:proofErr w:type="spellStart"/>
      <w:r w:rsidRPr="00BB63D0">
        <w:rPr>
          <w:szCs w:val="20"/>
          <w:lang w:val="es-CR"/>
        </w:rPr>
        <w:t>Osmín</w:t>
      </w:r>
      <w:proofErr w:type="spellEnd"/>
      <w:r w:rsidRPr="00BB63D0">
        <w:rPr>
          <w:szCs w:val="20"/>
          <w:lang w:val="es-CR"/>
        </w:rPr>
        <w:t xml:space="preserve"> Tobar Ramírez, para investigar la posibilidad de concederle el cuidado de su hijo. Como mencionó el señor Tobar Fajardo, si bien vivía en otro país, él mantenía una relación familiar con su hijo y no había desatendido sus responsabilidades con respecto a </w:t>
      </w:r>
      <w:proofErr w:type="spellStart"/>
      <w:r w:rsidRPr="00BB63D0">
        <w:rPr>
          <w:szCs w:val="20"/>
          <w:lang w:val="es-CR"/>
        </w:rPr>
        <w:t>Osmín</w:t>
      </w:r>
      <w:proofErr w:type="spellEnd"/>
      <w:r w:rsidRPr="00BB63D0">
        <w:rPr>
          <w:szCs w:val="20"/>
          <w:lang w:val="es-CR"/>
        </w:rPr>
        <w:t xml:space="preserve"> Tobar Ramírez. Una vez enterado de lo sucedido, el señor Tobar Fajardo se apersonó en el expediente y presentó un recurso de revisión contra la declaratoria de abandono, posteriormente unió su recurso al de la señora Ramírez Escobar y en últimas, asumió la representación de ambos padres en el proceso. Gustavo Tobar Fajardo intentó por todos los medios legales a su alcance recuperar a su hijo y al hermano de éste, a pesar de que las diferentes autoridades estatales que intervinieron en el caso jamás lo consideraron al separar a su hijo de su familia, entregarlo en adopción internacional y removerlo del país. Por </w:t>
      </w:r>
      <w:r w:rsidRPr="00326300">
        <w:rPr>
          <w:szCs w:val="20"/>
          <w:lang w:val="es-CR"/>
        </w:rPr>
        <w:t xml:space="preserve">tanto, en este caso los estereotipos sobre la distribución de roles parentales no solo se basaron en una idea preconcebida sobre el rol de la madre, sino también en un estereotipo machista sobre el rol del padre que asignó nulo valor al afecto y cuidado que el señor Tobar Fajardo podía ofrecer a </w:t>
      </w:r>
      <w:proofErr w:type="spellStart"/>
      <w:r w:rsidRPr="00326300">
        <w:rPr>
          <w:szCs w:val="20"/>
          <w:lang w:val="es-CR"/>
        </w:rPr>
        <w:t>Osmín</w:t>
      </w:r>
      <w:proofErr w:type="spellEnd"/>
      <w:r w:rsidRPr="00326300">
        <w:rPr>
          <w:szCs w:val="20"/>
          <w:lang w:val="es-CR"/>
        </w:rPr>
        <w:t xml:space="preserve"> Tobar Ramírez como su padre. De esta ma</w:t>
      </w:r>
      <w:r w:rsidRPr="00BB63D0">
        <w:rPr>
          <w:szCs w:val="20"/>
          <w:lang w:val="es-CR"/>
        </w:rPr>
        <w:t xml:space="preserve">nera, se privó al señor Tobar Fajardo de sus derechos parentales, en cierta medida presumiendo e insinuando que un padre no tiene las mismas obligaciones o derechos que una madre, ni el mismo interés, amor y capacidad para bridar cuidado y protección a sus hijos. </w:t>
      </w:r>
    </w:p>
    <w:p w14:paraId="134E09BA" w14:textId="77777777" w:rsidR="007269CF" w:rsidRPr="00BB63D0" w:rsidRDefault="007269CF" w:rsidP="00BB63D0">
      <w:pPr>
        <w:rPr>
          <w:szCs w:val="20"/>
          <w:lang w:val="es-CR"/>
        </w:rPr>
      </w:pPr>
      <w:r w:rsidRPr="00BB63D0">
        <w:rPr>
          <w:szCs w:val="20"/>
          <w:lang w:val="es-CR"/>
        </w:rPr>
        <w:t>299.</w:t>
      </w:r>
      <w:r w:rsidRPr="00BB63D0">
        <w:rPr>
          <w:szCs w:val="20"/>
          <w:lang w:val="es-CR"/>
        </w:rPr>
        <w:tab/>
        <w:t xml:space="preserve">Por tanto, en el presente caso se encuentra demostrado que las actuaciones y decisiones de las autoridades que intervinieron en el proceso de abandono de los hermanos Ramírez se basaron en estereotipos de género sobre la distribución de responsabilidades parentales e ideas preconcebidas sobre la conducta de una madre o de un padre en relación con el cuidado de sus hijos. La Corte considera que esto constituyó una forma de discriminación basada en el género, en perjuicio de Flor de María Ramírez Escobar, Gustavo Tobar Fajardo y </w:t>
      </w:r>
      <w:proofErr w:type="spellStart"/>
      <w:r w:rsidRPr="00BB63D0">
        <w:rPr>
          <w:szCs w:val="20"/>
          <w:lang w:val="es-CR"/>
        </w:rPr>
        <w:t>Osmín</w:t>
      </w:r>
      <w:proofErr w:type="spellEnd"/>
      <w:r w:rsidRPr="00BB63D0">
        <w:rPr>
          <w:szCs w:val="20"/>
          <w:lang w:val="es-CR"/>
        </w:rPr>
        <w:t xml:space="preserve"> Tobar Ramírez.</w:t>
      </w:r>
    </w:p>
    <w:p w14:paraId="33D7E768" w14:textId="77777777" w:rsidR="007269CF" w:rsidRPr="00BB63D0" w:rsidRDefault="007269CF" w:rsidP="00326300">
      <w:pPr>
        <w:pStyle w:val="Caso"/>
      </w:pPr>
      <w:r w:rsidRPr="00BB63D0">
        <w:t>Corte IDH. Caso López Soto y otros Vs. Venezuela. Fondo, Reparaciones y Costas. Sentencia de 26 de septiembre de 2018. Serie C No. 362</w:t>
      </w:r>
      <w:r w:rsidRPr="004F007D">
        <w:rPr>
          <w:rStyle w:val="Refdenotaalpie"/>
          <w:bCs/>
        </w:rPr>
        <w:footnoteReference w:id="38"/>
      </w:r>
    </w:p>
    <w:p w14:paraId="7CD55B84" w14:textId="729CF4E8" w:rsidR="007269CF" w:rsidRPr="00BB63D0" w:rsidRDefault="007269CF" w:rsidP="00BB63D0">
      <w:pPr>
        <w:rPr>
          <w:szCs w:val="20"/>
        </w:rPr>
      </w:pPr>
      <w:r w:rsidRPr="00BB63D0">
        <w:rPr>
          <w:szCs w:val="20"/>
        </w:rPr>
        <w:t>127.</w:t>
      </w:r>
      <w:r w:rsidRPr="00BB63D0">
        <w:rPr>
          <w:szCs w:val="20"/>
        </w:rPr>
        <w:tab/>
        <w:t xml:space="preserve">Los atroces y ultrajantes actos de violencia física, verbal, psicológica y sexual sufridos por Linda Loaiza López Soto, los cuales provocaron afectaciones a sus </w:t>
      </w:r>
      <w:r w:rsidRPr="00BB63D0">
        <w:rPr>
          <w:szCs w:val="20"/>
        </w:rPr>
        <w:lastRenderedPageBreak/>
        <w:t xml:space="preserve">derechos a la integridad personal, a la libertad personal, a la dignidad, autonomía y vida privada, así como a vivir una vida libre de violencia, no fueron puestos en duda en este proceso. Tampoco se cuestionó que estos hechos configuran actos de violencia contra la mujer, así como una manifestación de las relaciones de poder históricamente desiguales entre mujeres y hombres en los términos dispuestos en la Convención de Belém do Pará. En efecto, el Estado expresamente se refirió durante la audiencia pública a “los terribles hechos de violencia contra la mujer de los que [Linda Loaiza] fue víctima” </w:t>
      </w:r>
      <w:r w:rsidR="005B7B62">
        <w:rPr>
          <w:szCs w:val="20"/>
        </w:rPr>
        <w:t>[...]</w:t>
      </w:r>
      <w:r w:rsidRPr="00BB63D0">
        <w:rPr>
          <w:szCs w:val="20"/>
        </w:rPr>
        <w:t>. El derecho de la mujer a vivir una vida libre de violencia se encuentra íntimamente relacionado con el derecho a la no discriminación.</w:t>
      </w:r>
    </w:p>
    <w:p w14:paraId="2024D5E2" w14:textId="77777777" w:rsidR="007269CF" w:rsidRPr="00BB63D0" w:rsidRDefault="007269CF" w:rsidP="00BB63D0">
      <w:pPr>
        <w:rPr>
          <w:szCs w:val="20"/>
        </w:rPr>
      </w:pPr>
      <w:r w:rsidRPr="00BB63D0">
        <w:rPr>
          <w:szCs w:val="20"/>
        </w:rPr>
        <w:t>134.</w:t>
      </w:r>
      <w:r w:rsidRPr="00BB63D0">
        <w:rPr>
          <w:szCs w:val="20"/>
        </w:rPr>
        <w:tab/>
        <w:t>La Convención de Belém do Pará define la violencia contra la mujer y en su artículo 7 instituye deberes estatales para prevenir, sancionar y erradicar la violencia contra la mujer, que especifican y complementan las obligaciones que tiene el Estado respecto al cumplimiento de los derechos reconocidos en la Convención Americana, tales como los previstos en los artículos 4 y 5. Al respecto, el Tribunal ha establecido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Adicionalmente, la Corte ha señalado que los Estados tienen la obligación de adoptar normas o implementar las medidas necesarias, conforme al artículo 2 de la Convención Americana y al artículo 7.c) de la Convención de Belém do Pará, que permitan a las autoridades ofrecer una investigación con debida diligencia en casos de violencia contra la mujer. Todo esto debe tomar en cuenta que, en casos de violencia contra la mujer, los Estados tienen, además de las obligaciones genéricas contenidas en la Convención Americana, obligaciones específicas a partir de la Convención de Belém do Pará, las cuales irradian sobre esferas tradicionalmente consideradas privadas o en que el Estado no intervenía. En este sentido, la Corte nota que, al momento de los hechos, Venezuela era parte de la Convención de Belém do Pará y que la Ley sobre la Violencia contra la Mujer y la Familia fue un primer acercamiento para receptar a nivel nacional los derechos consagrados en dicho instrumento internacional, aunque la misma era más restrictiva en tanto solo abarcaba conductas de violencia ocurridas en la esfera familiar.</w:t>
      </w:r>
    </w:p>
    <w:p w14:paraId="402E0D8D" w14:textId="77777777" w:rsidR="007269CF" w:rsidRPr="00BB63D0" w:rsidRDefault="007269CF" w:rsidP="00BB63D0">
      <w:pPr>
        <w:rPr>
          <w:szCs w:val="20"/>
        </w:rPr>
      </w:pPr>
      <w:r w:rsidRPr="00BB63D0">
        <w:rPr>
          <w:szCs w:val="20"/>
        </w:rPr>
        <w:t>135.</w:t>
      </w:r>
      <w:r w:rsidRPr="00BB63D0">
        <w:rPr>
          <w:szCs w:val="20"/>
        </w:rPr>
        <w:tab/>
        <w:t>El deber de debida diligencia para prevenir en casos de violencia contra las mujeres ha sido desarrollado también mediante instrumentos distintos a la Convención de Belém do Pará desde antes de 2001. Asimismo, la Corte se ha referido a los lineamientos desarrollados por la Relatoría Especial sobre la violencia contra la mujer de las Naciones Unidas, en los cuales se enlista una serie de medidas conducentes a cumplir con sus obligaciones internacionales de debida diligencia en cuanto a prevención, a saber: ratificación de los instrumentos internacionales de derechos humanos; garantías constitucionales sobre la igualdad de la mujer; existencia de leyes nacionales y sanciones administrativas que proporcionen reparación adecuada a las mujeres víctimas de la violencia; políticas o planes de acción que se ocupen de la cuestión de la violencia contra la mujer; sensibilización del sistema de justicia penal y la policía en cuanto a cuestiones de género, accesibilidad y disponibilidad de servicios de apoyo; existencia de medidas para aumentar la sensibilización y modificar las políticas discriminatorias en la esfera de la educación y en los medios de información, y reunión de datos y elaboración de estadísticas sobre la violencia contra la mujer.</w:t>
      </w:r>
    </w:p>
    <w:p w14:paraId="41CABAE1" w14:textId="77777777" w:rsidR="007269CF" w:rsidRPr="00BB63D0" w:rsidRDefault="007269CF" w:rsidP="00BB63D0">
      <w:pPr>
        <w:rPr>
          <w:szCs w:val="20"/>
        </w:rPr>
      </w:pPr>
      <w:r w:rsidRPr="00BB63D0">
        <w:rPr>
          <w:szCs w:val="20"/>
        </w:rPr>
        <w:lastRenderedPageBreak/>
        <w:t>139.</w:t>
      </w:r>
      <w:r w:rsidRPr="00BB63D0">
        <w:rPr>
          <w:szCs w:val="20"/>
        </w:rPr>
        <w:tab/>
        <w:t>En suma, al evaluar el cumplimiento de la obligación estatal de debida diligencia para prevenir, la Corte tendrá en cuenta que los hechos se refieren a un supuesto de violencia contra la mujer, circunstancia que exige una debida diligencia reforzada que trasciende el contexto particular en que se inscribe el caso, lo que conlleva a la adopción de una gama de medidas de diversa índole que procuren, además de prevenir hechos de violencia concretos, erradicar a futuro toda práctica de violencia basada en el género. Para ello, la Corte ya ha resaltado la importancia de reconocer, visibilizar y rechazar los estereotipos de género negativos, que son una de las causas y consecuencias de la violencia de género en contra de la mujer, a fin de modificar las condiciones socio-culturales que permiten y perpetúan la subordinación de la mujer.</w:t>
      </w:r>
    </w:p>
    <w:p w14:paraId="19702FB8" w14:textId="77777777" w:rsidR="007269CF" w:rsidRPr="00BB63D0" w:rsidRDefault="007269CF" w:rsidP="00BB63D0">
      <w:pPr>
        <w:rPr>
          <w:szCs w:val="20"/>
        </w:rPr>
      </w:pPr>
      <w:r w:rsidRPr="00BB63D0">
        <w:rPr>
          <w:szCs w:val="20"/>
        </w:rPr>
        <w:t>146.</w:t>
      </w:r>
      <w:r w:rsidRPr="00BB63D0">
        <w:rPr>
          <w:szCs w:val="20"/>
        </w:rPr>
        <w:tab/>
        <w:t xml:space="preserve">Para determinar si el Estado tuvo o debió haber tenido conocimiento del riesgo para una persona o grupo de personas determinado, la Corte ha tenido en cuenta distintos elementos e indicios, de acuerdo a las circunstancias del caso y el contexto en que éste se inscribía. En lo que se refiere a los casos de violencia contra la mujer, la Corte analizó las circunstancias particulares de cada asunto, en cuanto al modo en que el Estado tuvo noticia de los hechos, incluyendo el contexto relevante y centrándose en las denuncias hechas o en la posibilidad de interponer denuncias por parte de personas </w:t>
      </w:r>
      <w:r w:rsidRPr="00326300">
        <w:rPr>
          <w:szCs w:val="20"/>
        </w:rPr>
        <w:t>vinculadas con las víctimas. Así, en el Caso González y Otras (“Campo Algodonero”), la Corte entendió que el Estado había conocido el riesgo específico para las víctimas a partir de las denuncias de su desaparición ante las autoridades estatales, a lo que se sumaba el contexto conocido por el Estado de violencia y discriminación contra la mujer. En el Caso</w:t>
      </w:r>
      <w:r w:rsidRPr="00BB63D0">
        <w:rPr>
          <w:szCs w:val="20"/>
        </w:rPr>
        <w:t xml:space="preserve"> Véliz Franco, la Corte estableció el conocimiento estatal desde la interposición de la denuncia formalizada por parte de la madre, en la cual si bien no indicaba explícitamente que María Isabel había sido víctima de un acto ilícito, </w:t>
      </w:r>
      <w:r w:rsidRPr="00326300">
        <w:rPr>
          <w:szCs w:val="20"/>
        </w:rPr>
        <w:t>resultaba razonable desprender que se encontraba en riesgo. La Corte señaló que un elemento adicional que reforzaba el conocimiento estatal estaba constituido por la impunidad generalizada existente en el país. Finalmente, en el Caso Velázquez Paiz</w:t>
      </w:r>
      <w:r w:rsidRPr="00BB63D0">
        <w:rPr>
          <w:szCs w:val="20"/>
        </w:rPr>
        <w:t xml:space="preserve">, la Corte consideró suficiente prueba la llamada telefónica realizada por los padres de Claudina a la Policía Nacional Civil y la información proporcionada a la patrulla que se acercó en respuesta. Aunado a ello, la Corte tuvo en cuenta el contexto de aumento de la violencia homicida contra las mujeres en Guatemala y agravamiento del grado de violencia y ensañamiento ejercidos contra los cuerpos de muchas de las víctimas. </w:t>
      </w:r>
    </w:p>
    <w:p w14:paraId="7FE3617C" w14:textId="77777777" w:rsidR="007269CF" w:rsidRPr="00BB63D0" w:rsidRDefault="007269CF" w:rsidP="00BB63D0">
      <w:pPr>
        <w:rPr>
          <w:szCs w:val="20"/>
        </w:rPr>
      </w:pPr>
      <w:r w:rsidRPr="00BB63D0">
        <w:rPr>
          <w:szCs w:val="20"/>
        </w:rPr>
        <w:t>154.</w:t>
      </w:r>
      <w:r w:rsidRPr="00BB63D0">
        <w:rPr>
          <w:szCs w:val="20"/>
        </w:rPr>
        <w:tab/>
        <w:t xml:space="preserve">Como fue establecido anteriormente, el derecho internacional de los derechos humanos impone una obligación de debida diligencia estricta en la prevención de la violencia contra la mujer. Esta obligación implica, por un lado, la adopción de medidas de carácter general, en el plano normativo e institucional; y por el otro, la debida diligencia en la respuesta estatal ante la noticia de una desaparición o secuestro de una mujer. La Corte advierte que, en el presente caso, se verifica el incumplimiento de estas dos facetas de la obligación de prevención por parte del Estado. </w:t>
      </w:r>
    </w:p>
    <w:p w14:paraId="511FC25D" w14:textId="77777777" w:rsidR="007269CF" w:rsidRPr="00BB63D0" w:rsidRDefault="007269CF" w:rsidP="00BB63D0">
      <w:pPr>
        <w:rPr>
          <w:szCs w:val="20"/>
        </w:rPr>
      </w:pPr>
      <w:r w:rsidRPr="00BB63D0">
        <w:rPr>
          <w:szCs w:val="20"/>
        </w:rPr>
        <w:t>168.</w:t>
      </w:r>
      <w:r w:rsidRPr="00BB63D0">
        <w:rPr>
          <w:szCs w:val="20"/>
        </w:rPr>
        <w:tab/>
        <w:t xml:space="preserve">Así, la Corte considera que, debido al conocimiento del riesgo por parte del Estado a partir de que Ana </w:t>
      </w:r>
      <w:proofErr w:type="spellStart"/>
      <w:r w:rsidRPr="00BB63D0">
        <w:rPr>
          <w:szCs w:val="20"/>
        </w:rPr>
        <w:t>Secilia</w:t>
      </w:r>
      <w:proofErr w:type="spellEnd"/>
      <w:r w:rsidRPr="00BB63D0">
        <w:rPr>
          <w:szCs w:val="20"/>
        </w:rPr>
        <w:t xml:space="preserve"> denunciara la situación de su hermana, se generó para Venezuela una obligación de actuar con la debida diligencia, en el entendido de que, como ya fue expuesto, se trataba de la desaparición o el secuestro de una mujer, lo que podía conllevar a la comisión de actos de todo tipo de violencia y, en particular, de naturaleza sexual. Ello se ve, además, corroborado en el caso concreto con la existencia de otros elementos, como por ejemplo que su hermana estaba denunciando amenazas de muerte por parte de la misma persona que se individualizó como el autor de la desaparición o el secuestro, lo que podía demostrar que se encontraba frente a una persona con un perfil violento. </w:t>
      </w:r>
    </w:p>
    <w:p w14:paraId="4A704E6A" w14:textId="77777777" w:rsidR="007269CF" w:rsidRPr="00BB63D0" w:rsidRDefault="007269CF" w:rsidP="00BB63D0">
      <w:pPr>
        <w:rPr>
          <w:szCs w:val="20"/>
        </w:rPr>
      </w:pPr>
      <w:r w:rsidRPr="00BB63D0">
        <w:rPr>
          <w:szCs w:val="20"/>
        </w:rPr>
        <w:t>170.</w:t>
      </w:r>
      <w:r w:rsidRPr="00BB63D0">
        <w:rPr>
          <w:szCs w:val="20"/>
        </w:rPr>
        <w:tab/>
        <w:t xml:space="preserve">En el caso en concreto, la Corte considera que la falla en el deber de debida diligencia fue manifiesta, dado que el Estado conocía la identidad del agresor y pudo </w:t>
      </w:r>
      <w:r w:rsidRPr="00BB63D0">
        <w:rPr>
          <w:szCs w:val="20"/>
        </w:rPr>
        <w:lastRenderedPageBreak/>
        <w:t xml:space="preserve">tomar medidas concretas y direccionadas para desactivar el riesgo. Así, los agentes policiales debieron haber efectuado medidas investigativas tendientes a confirmar con los registros públicos los datos personales del denunciado, determinar su domicilio, corroborar la titularidad del abonado telefónico aportado al momento de la denuncia y el domicilio de facturación, así como obtener listados de llamadas entrantes y salientes, todo ello con el propósito de identificar la residencia de la persona denunciada y proceder a realizar averiguaciones discretas sobre los hechos denunciados. </w:t>
      </w:r>
    </w:p>
    <w:p w14:paraId="517D102C" w14:textId="77777777" w:rsidR="007269CF" w:rsidRPr="00BB63D0" w:rsidRDefault="007269CF" w:rsidP="00BB63D0">
      <w:pPr>
        <w:rPr>
          <w:szCs w:val="20"/>
        </w:rPr>
      </w:pPr>
      <w:r w:rsidRPr="00BB63D0">
        <w:rPr>
          <w:szCs w:val="20"/>
        </w:rPr>
        <w:t>172.</w:t>
      </w:r>
      <w:r w:rsidRPr="00BB63D0">
        <w:rPr>
          <w:szCs w:val="20"/>
        </w:rPr>
        <w:tab/>
        <w:t xml:space="preserve">De acuerdo a todo lo analizado previamente, la Corte estima que no es posible considerar al Estado como responsable directo de los actos sufridos por Linda Loaiza, sino que su responsabilidad se deriva de la reacción insuficiente y negligente de los funcionarios públicos que, al tomar conocimiento del riesgo, no adoptaron las medidas que razonablemente era de esperarse por lo que no cumplieron con la debida diligencia para prevenir e interrumpir el curso de causalidad de los acontecimientos, sino que además su accionar causó alerta en el agresor. Ello, sumado a la posterior omisión total para prevenir adecuadamente las agresiones físicas, verbales, psicológicas y sexuales sufridas por Linda Loaiza, pese a conocer la identidad de la persona denunciada, demuestra una actitud tolerante frente a situaciones que por sus características constituyen un riesgo de violencia contra la mujer. </w:t>
      </w:r>
    </w:p>
    <w:p w14:paraId="45E255C1" w14:textId="77777777" w:rsidR="007269CF" w:rsidRPr="00BB63D0" w:rsidRDefault="007269CF" w:rsidP="00BB63D0">
      <w:pPr>
        <w:rPr>
          <w:szCs w:val="20"/>
        </w:rPr>
      </w:pPr>
      <w:r w:rsidRPr="00BB63D0">
        <w:rPr>
          <w:szCs w:val="20"/>
        </w:rPr>
        <w:t>[...]</w:t>
      </w:r>
    </w:p>
    <w:p w14:paraId="1700AAED" w14:textId="77777777" w:rsidR="007269CF" w:rsidRPr="00BB63D0" w:rsidRDefault="007269CF" w:rsidP="00BB63D0">
      <w:pPr>
        <w:rPr>
          <w:szCs w:val="20"/>
        </w:rPr>
      </w:pPr>
      <w:r w:rsidRPr="00BB63D0">
        <w:rPr>
          <w:szCs w:val="20"/>
        </w:rPr>
        <w:t>183.</w:t>
      </w:r>
      <w:r w:rsidRPr="00BB63D0">
        <w:rPr>
          <w:szCs w:val="20"/>
        </w:rPr>
        <w:tab/>
        <w:t>La Corte comprueba que en el presente caso, desde el momento en que el agresor privó de libertad a Linda Loaiza hasta su rescate, existió un control total de su parte sobre los movimientos y la autonomía de ella. En particular, ha quedado establecido que la mantuvo amarrada o esposada y encerrada en los diversos lugares a los que la fue trasladando. Tanto es así que, al momento de su rescate, el personal policial y de los bomberos debieron entrar escalando hasta el apartamento; luego fue necesario pedir la llave al dueño para poder ingresar, y se encontraron esposas en el lugar. Además del control físico, la Corte constata que el agresor constantemente la amenazaba y resaltaba su poder relativo tanto por su posición social como política. El ejercicio del dominio por parte del agresor se tradujo no sólo en un control sobre su movimiento, sino sobre cada aspecto de su vida, incluida su alimentación, ida al baño para hacer sus necesidades fisiológicas y sexualidad, lo que la condujo a un estado de indefensión absoluto. Asimismo, la utilización de una violencia extrema y, en particular, de actos de violencia de carácter sexual de forma reiterada denota un especial ensañamiento del agresor, lo que provocó la anulación de la autonomía de la víctima, tanto en el aspecto general como en el de la sexualidad. La violencia de carácter sexual abarcó agresiones físicas, verbales y psicológicas dirigidas a las características sexuales de Linda Loaiza, tales como obligarla a que estuviera desnuda o quemar sus pezones, así como actos de grave humillación dirigidos a que mirara pornografía y recreara las escenas junto al agresor.</w:t>
      </w:r>
    </w:p>
    <w:p w14:paraId="0FAA0976" w14:textId="77777777" w:rsidR="007269CF" w:rsidRPr="00BB63D0" w:rsidRDefault="007269CF" w:rsidP="00BB63D0">
      <w:pPr>
        <w:rPr>
          <w:szCs w:val="20"/>
        </w:rPr>
      </w:pPr>
      <w:r w:rsidRPr="00BB63D0">
        <w:rPr>
          <w:szCs w:val="20"/>
        </w:rPr>
        <w:t>184.</w:t>
      </w:r>
      <w:r w:rsidRPr="00BB63D0">
        <w:rPr>
          <w:szCs w:val="20"/>
        </w:rPr>
        <w:tab/>
        <w:t>En conclusión, en el presente caso se dan los dos elementos expuestos, lo que lleva a la Corte a la convicción de que, efectivamente, el agresor no solo ejerció los atributos del derecho de propiedad sobre Linda Loaiza, sino que ello se combinó con la ejecución de diversos actos de violencia sexual constantes y de dimensiones pavorosas. De acuerdo a lo expuesto, este Tribunal considera necesario visibilizar el carácter “sexual” de la esclavitud ejercida en este caso, y así reconocer esta modalidad más específica que afecta desproporcionadamente a las mujeres, en tanto exacerba las relaciones de subordinación y dominación históricamente persistentes entre hombres y mujeres. Es por ello que constituye una manifestación de la discriminación contra la mujer, en contravención de la protección estricta que opera en virtud del artículo 1.1 de la Convención por motivos de sexo y género.</w:t>
      </w:r>
    </w:p>
    <w:p w14:paraId="0939B2A9" w14:textId="77777777" w:rsidR="007269CF" w:rsidRPr="00BB63D0" w:rsidRDefault="007269CF" w:rsidP="00BB63D0">
      <w:pPr>
        <w:rPr>
          <w:szCs w:val="20"/>
        </w:rPr>
      </w:pPr>
      <w:r w:rsidRPr="00BB63D0">
        <w:rPr>
          <w:szCs w:val="20"/>
        </w:rPr>
        <w:t>[...]</w:t>
      </w:r>
    </w:p>
    <w:p w14:paraId="0587B91E" w14:textId="77777777" w:rsidR="007269CF" w:rsidRPr="00BB63D0" w:rsidRDefault="007269CF" w:rsidP="00BB63D0">
      <w:pPr>
        <w:rPr>
          <w:szCs w:val="20"/>
        </w:rPr>
      </w:pPr>
      <w:r w:rsidRPr="00BB63D0">
        <w:rPr>
          <w:szCs w:val="20"/>
        </w:rPr>
        <w:lastRenderedPageBreak/>
        <w:t>191.</w:t>
      </w:r>
      <w:r w:rsidRPr="00BB63D0">
        <w:rPr>
          <w:szCs w:val="20"/>
        </w:rPr>
        <w:tab/>
        <w:t>Por otra parte, de la prueba recibida se desprende que el propósito del agresor era intimidarla, anular su personalidad y subyugarla. En definitiva, afirmar una posición de subordinación de la mujer, así como su relación de poder y dominio patriarcal sobre la víctima, lo cual evidencia el propósito discriminatorio. En esta línea, la Corte ha resaltado el rol trascendental que ocupa la discriminación al analizar las violaciones de los derechos humanos de las mujeres y su adecuación a la figura de la tortura y los malos tratos desde una perspectiva de género. Por ende, la Corte determina que Linda Loaiza fue sometida a actos de tortura física, sexual y psicológica, de conformidad con los tres elementos que esta Corte ha enlistado y en los términos del artículo 5.2 de la Convención Americana.</w:t>
      </w:r>
    </w:p>
    <w:p w14:paraId="42D55E75" w14:textId="77777777" w:rsidR="007269CF" w:rsidRPr="00BB63D0" w:rsidRDefault="007269CF" w:rsidP="00BB63D0">
      <w:pPr>
        <w:rPr>
          <w:szCs w:val="20"/>
        </w:rPr>
      </w:pPr>
      <w:r w:rsidRPr="00BB63D0">
        <w:rPr>
          <w:szCs w:val="20"/>
        </w:rPr>
        <w:t>[...]</w:t>
      </w:r>
    </w:p>
    <w:p w14:paraId="0E958EF1" w14:textId="77777777" w:rsidR="007269CF" w:rsidRPr="00BB63D0" w:rsidRDefault="007269CF" w:rsidP="00BB63D0">
      <w:pPr>
        <w:rPr>
          <w:szCs w:val="20"/>
        </w:rPr>
      </w:pPr>
      <w:r w:rsidRPr="00BB63D0">
        <w:rPr>
          <w:szCs w:val="20"/>
        </w:rPr>
        <w:t>241.</w:t>
      </w:r>
      <w:r w:rsidRPr="00BB63D0">
        <w:rPr>
          <w:szCs w:val="20"/>
        </w:rPr>
        <w:tab/>
        <w:t>En casos de violencia sexual, la Corte ha destacado que la investigación debe intentar evitar en lo posible la revictimización o re-experimentación de la profunda experiencia traumática a la víctima. A tal fin, en casos de violencia contra la mujer, resulta necesario que durante las investigaciones y la sustanciación de los procesos de enjuiciamiento, se tomen ciertos resguardos al momento de las declaraciones de las víctimas, como así también en ocasión de realizarse experticias médicas o psicológicas, especialmente cuando se tratan de víctimas de violencia sexual.</w:t>
      </w:r>
    </w:p>
    <w:p w14:paraId="1A995E43" w14:textId="77777777" w:rsidR="007269CF" w:rsidRPr="00BB63D0" w:rsidRDefault="007269CF" w:rsidP="00BB63D0">
      <w:pPr>
        <w:rPr>
          <w:szCs w:val="20"/>
        </w:rPr>
      </w:pPr>
      <w:r w:rsidRPr="00BB63D0">
        <w:rPr>
          <w:szCs w:val="20"/>
        </w:rPr>
        <w:t>245.</w:t>
      </w:r>
      <w:r w:rsidRPr="00BB63D0">
        <w:rPr>
          <w:szCs w:val="20"/>
        </w:rPr>
        <w:tab/>
        <w:t>La Corte concluye que las circunstancias que rodearon las distintas declaraciones prestadas por Linda Loaiza en el proceso interno, especialmente la primera de ellas, y el hecho de que las autoridades encargadas de la investigación tampoco garantizaran la intervención y acompañamiento de profesionales de sexo femenino en las experticias médicas realizadas a Linda Loaiza, constituyeron actos de revictimización que lesionaron su integridad personal.</w:t>
      </w:r>
    </w:p>
    <w:p w14:paraId="08C1F85A" w14:textId="5D6932D7" w:rsidR="007269CF" w:rsidRPr="00326300" w:rsidRDefault="007269CF" w:rsidP="00326300">
      <w:pPr>
        <w:pStyle w:val="Ttulo2"/>
      </w:pPr>
      <w:bookmarkStart w:id="21" w:name="_Toc89017877"/>
      <w:r w:rsidRPr="00326300">
        <w:t>Personas Mayores</w:t>
      </w:r>
      <w:bookmarkEnd w:id="21"/>
    </w:p>
    <w:p w14:paraId="708E0F03" w14:textId="77777777" w:rsidR="007269CF" w:rsidRPr="00BB63D0" w:rsidRDefault="007269CF" w:rsidP="00326300">
      <w:pPr>
        <w:pStyle w:val="Caso"/>
      </w:pPr>
      <w:r w:rsidRPr="00BB63D0">
        <w:t>Corte IDH. Caso Poblete Vilches y otros Vs. Chile. Fondo, Reparaciones y Costas. Sentencia de 8 de marzo de 2018. Serie C No. 349</w:t>
      </w:r>
      <w:r w:rsidRPr="004F007D">
        <w:rPr>
          <w:rStyle w:val="Refdenotaalpie"/>
          <w:bCs/>
        </w:rPr>
        <w:footnoteReference w:id="39"/>
      </w:r>
    </w:p>
    <w:p w14:paraId="14E2CE3E" w14:textId="1F49322A" w:rsidR="007269CF" w:rsidRPr="00BB63D0" w:rsidRDefault="007269CF" w:rsidP="00BB63D0">
      <w:pPr>
        <w:tabs>
          <w:tab w:val="left" w:pos="567"/>
        </w:tabs>
        <w:spacing w:after="0"/>
        <w:rPr>
          <w:rFonts w:eastAsia="Calibri"/>
          <w:szCs w:val="20"/>
          <w:lang w:val="es-ES_tradnl"/>
        </w:rPr>
      </w:pPr>
      <w:r w:rsidRPr="00BB63D0">
        <w:rPr>
          <w:rFonts w:eastAsia="Calibri"/>
          <w:szCs w:val="20"/>
          <w:lang w:val="es-MX"/>
        </w:rPr>
        <w:t>122.</w:t>
      </w:r>
      <w:r w:rsidRPr="00BB63D0">
        <w:rPr>
          <w:rFonts w:eastAsia="Calibri"/>
          <w:szCs w:val="20"/>
          <w:lang w:val="es-MX"/>
        </w:rPr>
        <w:tab/>
        <w:t xml:space="preserve">En tercer lugar, y como condición transversal de la accesibilidad, </w:t>
      </w:r>
      <w:r w:rsidRPr="00BB63D0">
        <w:rPr>
          <w:rFonts w:eastAsia="Calibri"/>
          <w:szCs w:val="20"/>
          <w:lang w:val="es-ES_tradnl"/>
        </w:rPr>
        <w:t xml:space="preserve">la Corte recuerda que </w:t>
      </w:r>
      <w:r w:rsidRPr="00BB63D0">
        <w:rPr>
          <w:rFonts w:eastAsia="Calibri"/>
          <w:szCs w:val="20"/>
          <w:lang w:val="es-HN"/>
        </w:rPr>
        <w:t xml:space="preserve">el Estado está obligado a garantizar un trato igualitario a todas las personas que accedan a los servicios de salud, por lo que de conformidad con el artículo 1.1 de la Convención Americana no son permitidos tratos discriminatorios, “por motivos de raza, color, sexo, […] posición económica, nacimiento o cualquier otra condición social”. </w:t>
      </w:r>
      <w:r w:rsidRPr="00BB63D0">
        <w:rPr>
          <w:rFonts w:eastAsia="Calibri"/>
          <w:szCs w:val="20"/>
          <w:lang w:val="es-ES_tradnl"/>
        </w:rPr>
        <w:t xml:space="preserve">Al respecto, </w:t>
      </w:r>
      <w:r w:rsidRPr="00BB63D0">
        <w:rPr>
          <w:szCs w:val="20"/>
          <w:lang w:val="es-AR"/>
        </w:rPr>
        <w:t xml:space="preserve">los criterios específicos 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hubiesen sido </w:t>
      </w:r>
      <w:r w:rsidRPr="00BB63D0">
        <w:rPr>
          <w:szCs w:val="20"/>
          <w:lang w:val="es-AR"/>
        </w:rPr>
        <w:lastRenderedPageBreak/>
        <w:t>explícitamente indicadas”.</w:t>
      </w:r>
      <w:r w:rsidRPr="00BB63D0">
        <w:rPr>
          <w:rFonts w:eastAsia="Calibri"/>
          <w:szCs w:val="20"/>
          <w:lang w:val="es-AR"/>
        </w:rPr>
        <w:t xml:space="preserve"> Así, </w:t>
      </w:r>
      <w:r w:rsidRPr="00BB63D0">
        <w:rPr>
          <w:rFonts w:eastAsia="Calibri"/>
          <w:szCs w:val="20"/>
          <w:lang w:val="es-HN"/>
        </w:rPr>
        <w:t>la Corte ha señalado que la edad, es también una categoría protegida por esta norm. En este sentido, la prohibición por discriminación relacionada con la edad cuando se trata de las personas mayores, se encuentra tutelada por la Convención Americana. Esto comporta, entre otras cosas, la aplicación de políticas inclusivas para la totalidad de la población y un fácil acceso a los servicios públicos.</w:t>
      </w:r>
      <w:r w:rsidRPr="00BB63D0">
        <w:rPr>
          <w:rFonts w:eastAsia="Calibri"/>
          <w:szCs w:val="20"/>
          <w:lang w:val="es-AR"/>
        </w:rPr>
        <w:t xml:space="preserve"> </w:t>
      </w:r>
    </w:p>
    <w:p w14:paraId="5C0EE694" w14:textId="77777777" w:rsidR="007269CF" w:rsidRPr="00BB63D0" w:rsidRDefault="007269CF" w:rsidP="00BB63D0">
      <w:pPr>
        <w:contextualSpacing/>
        <w:rPr>
          <w:rFonts w:eastAsia="Calibri"/>
          <w:szCs w:val="20"/>
          <w:lang w:val="es-ES_tradnl"/>
        </w:rPr>
      </w:pPr>
    </w:p>
    <w:p w14:paraId="42B0B599" w14:textId="57742F58" w:rsidR="007269CF" w:rsidRPr="00BB63D0" w:rsidRDefault="007269CF" w:rsidP="00BB63D0">
      <w:pPr>
        <w:tabs>
          <w:tab w:val="left" w:pos="567"/>
        </w:tabs>
        <w:spacing w:after="0"/>
        <w:rPr>
          <w:rFonts w:eastAsia="Calibri"/>
          <w:szCs w:val="20"/>
          <w:lang w:val="es-AR"/>
        </w:rPr>
      </w:pPr>
      <w:r w:rsidRPr="00BB63D0">
        <w:rPr>
          <w:rFonts w:eastAsia="Calibri"/>
          <w:szCs w:val="20"/>
          <w:lang w:val="es-AR"/>
        </w:rPr>
        <w:t>123.</w:t>
      </w:r>
      <w:r w:rsidRPr="00BB63D0">
        <w:rPr>
          <w:rFonts w:eastAsia="Calibri"/>
          <w:szCs w:val="20"/>
          <w:lang w:val="es-AR"/>
        </w:rPr>
        <w:tab/>
        <w:t>Al respecto, la Corte reitera que el derecho a la igualdad y no discriminación abarca dos concepciones: una negativa relacionada con la prohibición de diferencias de trato arbitrarias, y una positiva relacionada con la obligación de los Estados de crear condiciones de igualdad real frente a grupos que han sido históricamente excluidos o que se encuentran en mayor riesgo de ser discriminados.</w:t>
      </w:r>
      <w:r w:rsidRPr="00BB63D0">
        <w:rPr>
          <w:rFonts w:eastAsia="Calibri"/>
          <w:szCs w:val="20"/>
          <w:lang w:val="es-ES_tradnl"/>
        </w:rPr>
        <w:t xml:space="preserve"> En tal sentido, </w:t>
      </w:r>
      <w:r w:rsidRPr="00BB63D0">
        <w:rPr>
          <w:rFonts w:eastAsia="Calibri"/>
          <w:szCs w:val="20"/>
          <w:lang w:val="es-AR"/>
        </w:rPr>
        <w:t>la adopción de medidas positivas se acentúa en relación con la protección de personas en situación de vulnerabilidad o en situación de riesgo, quienes deben tener garantizado el acceso a los servicios médicos de salud en vía de igualdad.</w:t>
      </w:r>
    </w:p>
    <w:p w14:paraId="103395C3" w14:textId="77777777" w:rsidR="007269CF" w:rsidRPr="00BB63D0" w:rsidRDefault="007269CF" w:rsidP="00BB63D0">
      <w:pPr>
        <w:tabs>
          <w:tab w:val="left" w:pos="567"/>
        </w:tabs>
        <w:spacing w:after="0"/>
        <w:rPr>
          <w:rFonts w:eastAsia="Calibri"/>
          <w:szCs w:val="20"/>
          <w:lang w:val="es-MX"/>
        </w:rPr>
      </w:pPr>
    </w:p>
    <w:p w14:paraId="260511E3" w14:textId="56163E03" w:rsidR="007269CF" w:rsidRPr="00BB63D0" w:rsidRDefault="007269CF" w:rsidP="00BB63D0">
      <w:pPr>
        <w:tabs>
          <w:tab w:val="left" w:pos="567"/>
        </w:tabs>
        <w:spacing w:after="0"/>
        <w:rPr>
          <w:rFonts w:eastAsia="Calibri"/>
          <w:szCs w:val="20"/>
          <w:lang w:val="es-ES_tradnl"/>
        </w:rPr>
      </w:pPr>
      <w:r w:rsidRPr="00BB63D0">
        <w:rPr>
          <w:rFonts w:eastAsia="Calibri"/>
          <w:szCs w:val="20"/>
          <w:lang w:val="es-MX"/>
        </w:rPr>
        <w:t>125.</w:t>
      </w:r>
      <w:r w:rsidRPr="00BB63D0">
        <w:rPr>
          <w:rFonts w:eastAsia="Calibri"/>
          <w:szCs w:val="20"/>
          <w:lang w:val="es-MX"/>
        </w:rPr>
        <w:tab/>
        <w:t xml:space="preserve">La Corte destaca la oportunidad de pronunciarse por primera ocasión de manera específica sobre los derechos de las personas mayores en materia de salud. </w:t>
      </w:r>
    </w:p>
    <w:p w14:paraId="2B8C0636" w14:textId="77777777" w:rsidR="007269CF" w:rsidRPr="00BB63D0" w:rsidRDefault="007269CF" w:rsidP="00BB63D0">
      <w:pPr>
        <w:tabs>
          <w:tab w:val="left" w:pos="567"/>
        </w:tabs>
        <w:spacing w:after="0"/>
        <w:rPr>
          <w:rFonts w:eastAsia="Calibri"/>
          <w:szCs w:val="20"/>
          <w:lang w:val="es-ES_tradnl"/>
        </w:rPr>
      </w:pPr>
    </w:p>
    <w:p w14:paraId="35D709CE" w14:textId="645BC67D" w:rsidR="007269CF" w:rsidRPr="00BB63D0" w:rsidRDefault="007269CF" w:rsidP="00BB63D0">
      <w:pPr>
        <w:tabs>
          <w:tab w:val="left" w:pos="567"/>
        </w:tabs>
        <w:spacing w:after="0"/>
        <w:rPr>
          <w:rFonts w:eastAsia="Calibri"/>
          <w:szCs w:val="20"/>
          <w:lang w:val="es-ES_tradnl"/>
        </w:rPr>
      </w:pPr>
      <w:r w:rsidRPr="00BB63D0">
        <w:rPr>
          <w:rFonts w:eastAsia="Calibri"/>
          <w:szCs w:val="20"/>
          <w:lang w:val="es-ES_tradnl"/>
        </w:rPr>
        <w:t>126.</w:t>
      </w:r>
      <w:r w:rsidRPr="00BB63D0">
        <w:rPr>
          <w:rFonts w:eastAsia="Calibri"/>
          <w:szCs w:val="20"/>
          <w:lang w:val="es-ES_tradnl"/>
        </w:rPr>
        <w:tab/>
      </w:r>
      <w:r w:rsidRPr="00BB63D0">
        <w:rPr>
          <w:rFonts w:eastAsia="Calibri"/>
          <w:szCs w:val="20"/>
          <w:lang w:val="es-MX"/>
        </w:rPr>
        <w:t>Este Tribunal, verifica el importante desarrollo y consolidación de estándares internacionales en esta materia</w:t>
      </w:r>
      <w:r w:rsidRPr="00BB63D0">
        <w:rPr>
          <w:rFonts w:eastAsia="Calibri"/>
          <w:i/>
          <w:szCs w:val="20"/>
          <w:lang w:val="es-MX"/>
        </w:rPr>
        <w:t xml:space="preserve">. </w:t>
      </w:r>
      <w:r w:rsidRPr="00BB63D0">
        <w:rPr>
          <w:rFonts w:eastAsia="Calibri"/>
          <w:szCs w:val="20"/>
          <w:lang w:val="es-ES_tradnl"/>
        </w:rPr>
        <w:t>Así, e</w:t>
      </w:r>
      <w:r w:rsidRPr="00BB63D0">
        <w:rPr>
          <w:rFonts w:eastAsia="Calibri"/>
          <w:szCs w:val="20"/>
          <w:lang w:val="es-MX"/>
        </w:rPr>
        <w:t xml:space="preserve">l artículo 17 del Protocolo de San Salvador, contempla el derecho a la salud de las personas mayores; </w:t>
      </w:r>
      <w:r w:rsidRPr="00BB63D0">
        <w:rPr>
          <w:rFonts w:eastAsia="Calibri"/>
          <w:szCs w:val="20"/>
          <w:lang w:val="es-AR"/>
        </w:rPr>
        <w:t>el Protocolo de la Carta Africana de Derechos Humanos y de los Pueblos relativo a los Derechos de las Personas de Edad en África</w:t>
      </w:r>
      <w:r w:rsidRPr="00BB63D0">
        <w:rPr>
          <w:rFonts w:eastAsia="Calibri"/>
          <w:szCs w:val="20"/>
          <w:lang w:val="es-MX"/>
        </w:rPr>
        <w:t xml:space="preserve">, y la Carta Social Europea. Particular atención merece la reciente adopción de la Convención Interamericana sobre la Protección de los Derechos Humanos de las Personas Mayores, la cual reconoce que la persona mayor tiene derecho a su salud física y mental, sin ningún tipo de discriminación, entre otras. Asimismo, observa demás desarrollos en la materia, tales como: los Principios de las Naciones Unidas en Favor de las Personas de Edad, el Plan de Acción Internacional de Viena sobre Envejecimiento, la Proclamación sobre el Envejecimiento, la Declaración Política y el Plan de Acción Internacional de Madrid sobre el Envejecimiento, así como otros de carácter regional, tales como: la Estrategia Regional de Implementación para América Latina y el Caribe, la Declaración de Brasilia, el Plan de Acción de la Organización Panamericana de la Salud sobre la Salud de las Personas Mayores, incluido el Envejecimiento Activo y Saludable, la Declaración de Compromiso de Puerto España, la Carta de San José sobre los Derechos de las Personas Mayores de América Latina y el Caribe. </w:t>
      </w:r>
    </w:p>
    <w:p w14:paraId="159FE28E" w14:textId="77777777" w:rsidR="007269CF" w:rsidRPr="00BB63D0" w:rsidRDefault="007269CF" w:rsidP="00BB63D0">
      <w:pPr>
        <w:tabs>
          <w:tab w:val="left" w:pos="567"/>
        </w:tabs>
        <w:spacing w:after="0"/>
        <w:rPr>
          <w:rFonts w:eastAsia="Calibri"/>
          <w:szCs w:val="20"/>
          <w:lang w:val="es-ES_tradnl"/>
        </w:rPr>
      </w:pPr>
    </w:p>
    <w:p w14:paraId="31C31656" w14:textId="3D2F3BD1" w:rsidR="007269CF" w:rsidRPr="00BB63D0" w:rsidRDefault="007269CF" w:rsidP="00BB63D0">
      <w:pPr>
        <w:tabs>
          <w:tab w:val="left" w:pos="567"/>
        </w:tabs>
        <w:spacing w:after="0"/>
        <w:rPr>
          <w:rFonts w:eastAsia="Calibri"/>
          <w:szCs w:val="20"/>
          <w:lang w:val="es-HN"/>
        </w:rPr>
      </w:pPr>
      <w:r w:rsidRPr="00BB63D0">
        <w:rPr>
          <w:rFonts w:eastAsia="Calibri"/>
          <w:szCs w:val="20"/>
          <w:lang w:val="es-ES_tradnl"/>
        </w:rPr>
        <w:t>127.</w:t>
      </w:r>
      <w:r w:rsidRPr="00BB63D0">
        <w:rPr>
          <w:rFonts w:eastAsia="Calibri"/>
          <w:szCs w:val="20"/>
          <w:lang w:val="es-ES_tradnl"/>
        </w:rPr>
        <w:tab/>
        <w:t>T</w:t>
      </w:r>
      <w:r w:rsidRPr="00BB63D0">
        <w:rPr>
          <w:rFonts w:eastAsia="Calibri"/>
          <w:szCs w:val="20"/>
          <w:lang w:val="es-MX"/>
        </w:rPr>
        <w:t>ales instrumentos internacionales</w:t>
      </w:r>
      <w:r w:rsidRPr="00BB63D0">
        <w:rPr>
          <w:rFonts w:eastAsia="Calibri"/>
          <w:szCs w:val="20"/>
          <w:lang w:val="es-HN"/>
        </w:rPr>
        <w:t xml:space="preserve"> reconocen </w:t>
      </w:r>
      <w:r w:rsidRPr="00326300">
        <w:rPr>
          <w:rFonts w:eastAsia="Calibri"/>
          <w:szCs w:val="20"/>
          <w:lang w:val="es-HN"/>
        </w:rPr>
        <w:t>un catálogo mínimo de derechos humanos,</w:t>
      </w:r>
      <w:r w:rsidRPr="00326300">
        <w:rPr>
          <w:rFonts w:eastAsiaTheme="minorHAnsi" w:cstheme="minorBidi"/>
          <w:szCs w:val="20"/>
          <w:lang w:val="es-HN"/>
        </w:rPr>
        <w:t xml:space="preserve"> </w:t>
      </w:r>
      <w:r w:rsidRPr="00326300">
        <w:rPr>
          <w:rFonts w:eastAsia="Calibri"/>
          <w:szCs w:val="20"/>
          <w:lang w:val="es-HN"/>
        </w:rPr>
        <w:t>cuyo respeto es imprescindible para el más alto desarrollo de la persona mayor en todos los aspectos de su vida y en las mejores condiciones posibles, destacando en particular el derecho a la salud. Asimismo</w:t>
      </w:r>
      <w:r w:rsidRPr="00BB63D0">
        <w:rPr>
          <w:rFonts w:eastAsia="Calibri"/>
          <w:szCs w:val="20"/>
          <w:lang w:val="es-HN"/>
        </w:rPr>
        <w:t xml:space="preserve">, </w:t>
      </w:r>
      <w:r w:rsidRPr="00BB63D0">
        <w:rPr>
          <w:rFonts w:eastAsia="Calibri"/>
          <w:szCs w:val="20"/>
        </w:rPr>
        <w:t xml:space="preserve">las personas mayores, tienen derecho a </w:t>
      </w:r>
      <w:r w:rsidRPr="00326300">
        <w:rPr>
          <w:rFonts w:eastAsia="Calibri"/>
          <w:szCs w:val="20"/>
        </w:rPr>
        <w:t>una protección reforzada</w:t>
      </w:r>
      <w:r w:rsidRPr="00BB63D0">
        <w:rPr>
          <w:rFonts w:eastAsia="Calibri"/>
          <w:szCs w:val="20"/>
        </w:rPr>
        <w:t xml:space="preserve"> y, por ende, </w:t>
      </w:r>
      <w:r w:rsidRPr="00BB63D0">
        <w:rPr>
          <w:rFonts w:eastAsia="Calibri"/>
          <w:szCs w:val="20"/>
          <w:lang w:val="es-AR"/>
        </w:rPr>
        <w:t xml:space="preserve">exige la adopción de medidas diferenciadas. </w:t>
      </w:r>
      <w:r w:rsidRPr="00BB63D0">
        <w:rPr>
          <w:rFonts w:eastAsia="Calibri"/>
          <w:szCs w:val="20"/>
          <w:lang w:val="es-HN"/>
        </w:rPr>
        <w:t>Respecto al derecho a la salud, sea en la esfera privada como en la pública, el Estado tiene el deber de asegurar todas las medidas necesarias a su alcance, a fin de garantizar el mayor nivel de salud posible, sin discriminación.</w:t>
      </w:r>
      <w:r w:rsidRPr="00BB63D0">
        <w:rPr>
          <w:rFonts w:eastAsia="Calibri"/>
          <w:szCs w:val="20"/>
          <w:lang w:val="es-AR"/>
        </w:rPr>
        <w:t xml:space="preserve"> Se desprende también un avance en los estándares internacionales en materia de derechos de las personas mayores, al entender y reconocer la vejez de manera digna y por ende el trato frente a ella.</w:t>
      </w:r>
      <w:r w:rsidRPr="00BB63D0">
        <w:rPr>
          <w:rFonts w:eastAsia="Calibri"/>
          <w:szCs w:val="20"/>
          <w:lang w:val="es-MX"/>
        </w:rPr>
        <w:t xml:space="preserve"> Así, resalta en la región diversas agendas de mayor inclusión del adulto mayor en las políticas públicas, a través </w:t>
      </w:r>
      <w:r w:rsidRPr="00BB63D0">
        <w:rPr>
          <w:rFonts w:eastAsia="Calibri"/>
          <w:szCs w:val="20"/>
          <w:lang w:val="es-HN"/>
        </w:rPr>
        <w:t>programas de sensibilización y valorización del adulto mayor en la sociedad, la creación de planes nacionales para abordar el tema de la vejez de manera integral, así como también sus necesidades, la promulgación de leyes y la facilitación del acceso a sistemas de seguridad social.</w:t>
      </w:r>
    </w:p>
    <w:p w14:paraId="243CB64A" w14:textId="77777777" w:rsidR="007269CF" w:rsidRPr="00BB63D0" w:rsidRDefault="007269CF" w:rsidP="00BB63D0">
      <w:pPr>
        <w:ind w:right="-360"/>
        <w:contextualSpacing/>
        <w:rPr>
          <w:rFonts w:eastAsia="Calibri"/>
          <w:szCs w:val="20"/>
          <w:lang w:val="es-ES_tradnl"/>
        </w:rPr>
      </w:pPr>
    </w:p>
    <w:p w14:paraId="4829EE94" w14:textId="35EF896E" w:rsidR="007269CF" w:rsidRPr="00BB63D0" w:rsidRDefault="007269CF" w:rsidP="00BB63D0">
      <w:pPr>
        <w:tabs>
          <w:tab w:val="left" w:pos="567"/>
        </w:tabs>
        <w:spacing w:after="0"/>
        <w:rPr>
          <w:rFonts w:eastAsia="Calibri"/>
          <w:szCs w:val="20"/>
          <w:lang w:val="es-AR"/>
        </w:rPr>
      </w:pPr>
      <w:r w:rsidRPr="00BB63D0">
        <w:rPr>
          <w:rFonts w:eastAsia="Calibri"/>
          <w:szCs w:val="20"/>
          <w:lang w:val="es-MX"/>
        </w:rPr>
        <w:t>128.</w:t>
      </w:r>
      <w:r w:rsidRPr="00BB63D0">
        <w:rPr>
          <w:rFonts w:eastAsia="Calibri"/>
          <w:szCs w:val="20"/>
          <w:lang w:val="es-MX"/>
        </w:rPr>
        <w:tab/>
        <w:t>Por su parte</w:t>
      </w:r>
      <w:r w:rsidRPr="00BB63D0">
        <w:rPr>
          <w:rFonts w:eastAsia="Calibri"/>
          <w:szCs w:val="20"/>
          <w:lang w:val="es-HN"/>
        </w:rPr>
        <w:t>, la Observación General N°6</w:t>
      </w:r>
      <w:r w:rsidRPr="00BB63D0">
        <w:rPr>
          <w:rFonts w:eastAsia="Calibri"/>
          <w:szCs w:val="20"/>
        </w:rPr>
        <w:t xml:space="preserve"> del Comité de DESC de la ONU, resalta el deber de los Estados Partes del Pacto (PIDESC) de tener presente que mantener </w:t>
      </w:r>
      <w:r w:rsidRPr="00BB63D0">
        <w:rPr>
          <w:rFonts w:eastAsia="Calibri"/>
          <w:szCs w:val="20"/>
        </w:rPr>
        <w:lastRenderedPageBreak/>
        <w:t xml:space="preserve">medidas de prevención, mediante controles periódicos, adaptados a las necesidades de las mujeres y de los hombres de edad, cumple un papel decisivo; y también la rehabilitación, conservando la funcionalidad de las personas mayores, con la consiguiente disminución de costos en las inversiones dedicadas a la asistencia sanitaria y a los servicios sociales. Al respecto, en </w:t>
      </w:r>
      <w:r w:rsidRPr="00BB63D0">
        <w:rPr>
          <w:rFonts w:eastAsia="Calibri"/>
          <w:szCs w:val="20"/>
          <w:lang w:val="es-AR"/>
        </w:rPr>
        <w:t>la Observación General Nº 14 del Comité DESC se detallan las cuestiones sustantivas que se derivan de la aplicación del derecho a la salud y se tratan cuestiones concretas relacionadas con las personas mayores, incluida “la prevención, la curación y la rehabilitación […] destinadas a mantener la funcionalidad y la autonomía de las personas mayores […] [y] la prestación de atenciones y cuidados a los enfermos crónicos y en fase terminal, ahorrándoles dolores evitables y permitiéndoles morir con dignidad”. Asimismo, el Tribunal Europeo de Derechos Humanos (en adelante TEDH) se ha referido también respecto a la protección de los derechos de las personas mayores.</w:t>
      </w:r>
    </w:p>
    <w:p w14:paraId="0BB2785D" w14:textId="77777777" w:rsidR="007269CF" w:rsidRPr="00BB63D0" w:rsidRDefault="007269CF" w:rsidP="00BB63D0">
      <w:pPr>
        <w:ind w:left="-90" w:right="-360"/>
        <w:contextualSpacing/>
        <w:rPr>
          <w:rFonts w:eastAsia="Calibri"/>
          <w:szCs w:val="20"/>
          <w:lang w:val="es-ES_tradnl"/>
        </w:rPr>
      </w:pPr>
    </w:p>
    <w:p w14:paraId="6218A63A" w14:textId="374D0049" w:rsidR="007269CF" w:rsidRDefault="007269CF" w:rsidP="00326300">
      <w:pPr>
        <w:tabs>
          <w:tab w:val="left" w:pos="567"/>
        </w:tabs>
        <w:spacing w:after="0"/>
        <w:rPr>
          <w:rFonts w:eastAsia="Calibri"/>
          <w:szCs w:val="20"/>
          <w:lang w:val="es-ES_tradnl"/>
        </w:rPr>
      </w:pPr>
      <w:r w:rsidRPr="00BB63D0">
        <w:rPr>
          <w:rFonts w:eastAsia="Calibri"/>
          <w:szCs w:val="20"/>
          <w:lang w:val="es-MX"/>
        </w:rPr>
        <w:t>129.</w:t>
      </w:r>
      <w:r w:rsidRPr="00BB63D0">
        <w:rPr>
          <w:rFonts w:eastAsia="Calibri"/>
          <w:szCs w:val="20"/>
          <w:lang w:val="es-MX"/>
        </w:rPr>
        <w:tab/>
        <w:t>En</w:t>
      </w:r>
      <w:r w:rsidRPr="00BB63D0">
        <w:rPr>
          <w:rFonts w:eastAsia="Calibri"/>
          <w:szCs w:val="20"/>
          <w:lang w:val="es-ES_tradnl"/>
        </w:rPr>
        <w:t xml:space="preserve"> cuanto a la jurisprudencia regional sobre</w:t>
      </w:r>
      <w:r w:rsidRPr="00BB63D0">
        <w:rPr>
          <w:rFonts w:eastAsia="Calibri"/>
          <w:szCs w:val="20"/>
          <w:lang w:val="es-MX"/>
        </w:rPr>
        <w:t xml:space="preserve"> el derecho a la salud de las personas mayores, las decisiones de altas cortes de </w:t>
      </w:r>
      <w:r w:rsidRPr="00BB63D0">
        <w:rPr>
          <w:rFonts w:eastAsia="Calibri"/>
          <w:szCs w:val="20"/>
          <w:lang w:val="es-AR"/>
        </w:rPr>
        <w:t xml:space="preserve">algunos </w:t>
      </w:r>
      <w:r w:rsidRPr="00BB63D0" w:rsidDel="00C20994">
        <w:rPr>
          <w:rFonts w:eastAsia="Calibri"/>
          <w:szCs w:val="20"/>
          <w:lang w:val="es-AR"/>
        </w:rPr>
        <w:t xml:space="preserve">Estados </w:t>
      </w:r>
      <w:r w:rsidRPr="00BB63D0">
        <w:rPr>
          <w:rFonts w:eastAsia="Calibri"/>
          <w:szCs w:val="20"/>
          <w:lang w:val="es-AR"/>
        </w:rPr>
        <w:t>de la región han desarrollado la tutela de los derechos de las personas mayores en materia interna, destacando la necesidad de brindar una protección especial para el adulto mayor.</w:t>
      </w:r>
    </w:p>
    <w:p w14:paraId="2010B455" w14:textId="77777777" w:rsidR="007269CF" w:rsidRPr="00326300" w:rsidRDefault="007269CF" w:rsidP="00326300">
      <w:pPr>
        <w:tabs>
          <w:tab w:val="left" w:pos="567"/>
        </w:tabs>
        <w:spacing w:after="0"/>
        <w:rPr>
          <w:rFonts w:eastAsia="Calibri"/>
          <w:szCs w:val="20"/>
          <w:lang w:val="es-ES_tradnl"/>
        </w:rPr>
      </w:pPr>
    </w:p>
    <w:p w14:paraId="66ADD96F" w14:textId="0A2FBF42" w:rsidR="007269CF" w:rsidRPr="00BB63D0" w:rsidRDefault="007269CF" w:rsidP="00BB63D0">
      <w:pPr>
        <w:tabs>
          <w:tab w:val="left" w:pos="567"/>
        </w:tabs>
        <w:spacing w:after="0"/>
        <w:rPr>
          <w:i/>
          <w:iCs/>
          <w:szCs w:val="20"/>
          <w:lang w:val="es-AR"/>
        </w:rPr>
      </w:pPr>
      <w:r w:rsidRPr="00BB63D0">
        <w:rPr>
          <w:szCs w:val="20"/>
          <w:lang w:val="es-AR"/>
        </w:rPr>
        <w:t>130.</w:t>
      </w:r>
      <w:r w:rsidRPr="00BB63D0">
        <w:rPr>
          <w:szCs w:val="20"/>
          <w:lang w:val="es-AR"/>
        </w:rPr>
        <w:tab/>
        <w:t>En este sentido, esta Corte destaca como un hecho ineludible que la población está envejeciendo de manera constante y considerable. El cambio vertiginoso del escenario demográfico en los países de la región presenta retos y desafíos, por lo cual este impacto en los derechos humanos hace necesario que los Estados se involucren para dar respuesta de manera integral, a fin de que las personas mayores sean reconocidas como sujetos de derechos especiales desde la prevención y promoción de salud.</w:t>
      </w:r>
      <w:r w:rsidRPr="00BB63D0">
        <w:rPr>
          <w:szCs w:val="20"/>
          <w:lang w:val="es-HN"/>
        </w:rPr>
        <w:t xml:space="preserve"> </w:t>
      </w:r>
      <w:r w:rsidRPr="00BB63D0">
        <w:rPr>
          <w:rFonts w:eastAsia="Calibri"/>
          <w:szCs w:val="20"/>
          <w:lang w:val="es-AR"/>
        </w:rPr>
        <w:t xml:space="preserve">Para ello, resulta necesario también el </w:t>
      </w:r>
      <w:r w:rsidRPr="00BB63D0">
        <w:rPr>
          <w:szCs w:val="20"/>
        </w:rPr>
        <w:t xml:space="preserve">involucramiento por parte de la sociedad a fin de brindar a las personas adultas mayores de calidad de vida. Al respecto, el perito Dr. Javier Santos, precisó en audiencia que: </w:t>
      </w:r>
    </w:p>
    <w:p w14:paraId="367B5369" w14:textId="77777777" w:rsidR="007269CF" w:rsidRPr="00BB63D0" w:rsidRDefault="007269CF" w:rsidP="00BB63D0">
      <w:pPr>
        <w:tabs>
          <w:tab w:val="left" w:pos="567"/>
        </w:tabs>
        <w:spacing w:after="0"/>
        <w:rPr>
          <w:i/>
          <w:iCs/>
          <w:szCs w:val="20"/>
          <w:lang w:val="es-AR"/>
        </w:rPr>
      </w:pPr>
    </w:p>
    <w:p w14:paraId="343BC60D" w14:textId="64C8F3C8" w:rsidR="007269CF" w:rsidRPr="00BB63D0" w:rsidRDefault="007269CF" w:rsidP="00326300">
      <w:pPr>
        <w:pStyle w:val="Citacuerpo"/>
        <w:rPr>
          <w:lang w:val="es-HN"/>
        </w:rPr>
      </w:pPr>
      <w:r w:rsidRPr="00BB63D0">
        <w:rPr>
          <w:lang w:val="es-HN"/>
        </w:rPr>
        <w:t xml:space="preserve">“[El] adulto mayor es un paciente vulnerable en general; es un paciente que va a necesitar no solamente del médico sino de la sociedad para llevarlo adelante. Ya no se habla más de expectativa de vida […] [s]e habla de años de vida libre de enfermedad […] por eso es que necesita el apoyo de todo el Estado. Nos tenemos que involucrar todos para que tengamos la mayor cantidad de años de vida [de calidad] […] </w:t>
      </w:r>
      <w:r w:rsidRPr="00BB63D0">
        <w:rPr>
          <w:lang w:val="es-MX"/>
        </w:rPr>
        <w:t>[t]odos vamos a envejecer si tenemos suerte […]. Lo que tenemos que hacer es formar gente y formar el medio, la sociedad para que tengamos el lugar correcto para ser tratados”.</w:t>
      </w:r>
    </w:p>
    <w:p w14:paraId="7429B191" w14:textId="7AA6B4AA" w:rsidR="007269CF" w:rsidRPr="00BB63D0" w:rsidRDefault="007269CF" w:rsidP="00BB63D0">
      <w:pPr>
        <w:tabs>
          <w:tab w:val="left" w:pos="567"/>
        </w:tabs>
        <w:spacing w:after="0"/>
        <w:rPr>
          <w:rFonts w:eastAsia="Calibri"/>
          <w:szCs w:val="20"/>
          <w:lang w:val="es-ES"/>
        </w:rPr>
      </w:pPr>
      <w:r w:rsidRPr="00BB63D0">
        <w:rPr>
          <w:rFonts w:eastAsia="Calibri"/>
          <w:szCs w:val="20"/>
          <w:lang w:val="es-ES"/>
        </w:rPr>
        <w:t>131.</w:t>
      </w:r>
      <w:r w:rsidRPr="00BB63D0">
        <w:rPr>
          <w:rFonts w:eastAsia="Calibri"/>
          <w:szCs w:val="20"/>
          <w:lang w:val="es-ES"/>
        </w:rPr>
        <w:tab/>
        <w:t xml:space="preserve">La Corte nota que, en muchas situaciones, se presenta </w:t>
      </w:r>
      <w:r w:rsidRPr="00326300">
        <w:rPr>
          <w:rFonts w:eastAsia="Calibri"/>
          <w:szCs w:val="20"/>
          <w:lang w:val="es-ES"/>
        </w:rPr>
        <w:t>una particular vulnerabilidad de las personas mayores frente al acceso a la salud. Sobre el particular, resalta la existencia de diversos factores como las limitaciones</w:t>
      </w:r>
      <w:r w:rsidRPr="00BB63D0">
        <w:rPr>
          <w:rFonts w:eastAsia="Calibri"/>
          <w:szCs w:val="20"/>
          <w:lang w:val="es-ES"/>
        </w:rPr>
        <w:t xml:space="preserve"> físicas, de movilidad, la condición económica o la gravedad de la enfermedad y posibilidades de recuperación. Asimismo, en determinadas situaciones, dicha vulnerabilidad se encuentra incrementada en razón del desequilibrio de poder que existe en la relación médico - paciente, por lo que resulta indispensable que se garantice al paciente, de manera clara y accesible, la información necesaria y el entendimiento de su diagnóstico o situación particular, así como de las medidas o tratamientos para enfrentar tal situación </w:t>
      </w:r>
      <w:r w:rsidR="005B7B62">
        <w:rPr>
          <w:rFonts w:eastAsia="Calibri"/>
          <w:szCs w:val="20"/>
          <w:lang w:val="es-ES"/>
        </w:rPr>
        <w:t>[...]</w:t>
      </w:r>
      <w:r w:rsidRPr="00BB63D0">
        <w:rPr>
          <w:rFonts w:eastAsia="Calibri"/>
          <w:szCs w:val="20"/>
          <w:lang w:val="es-ES"/>
        </w:rPr>
        <w:t xml:space="preserve">. </w:t>
      </w:r>
    </w:p>
    <w:p w14:paraId="7E8E0780" w14:textId="77777777" w:rsidR="007269CF" w:rsidRPr="00BB63D0" w:rsidRDefault="007269CF" w:rsidP="00BB63D0">
      <w:pPr>
        <w:ind w:left="-90" w:right="-360"/>
        <w:contextualSpacing/>
        <w:rPr>
          <w:rFonts w:eastAsia="Calibri"/>
          <w:szCs w:val="20"/>
          <w:lang w:val="es-ES"/>
        </w:rPr>
      </w:pPr>
    </w:p>
    <w:p w14:paraId="29C2B535" w14:textId="2F876902" w:rsidR="007269CF" w:rsidRPr="00BB63D0" w:rsidRDefault="007269CF" w:rsidP="00BB63D0">
      <w:pPr>
        <w:tabs>
          <w:tab w:val="left" w:pos="567"/>
        </w:tabs>
        <w:spacing w:after="0"/>
        <w:rPr>
          <w:rFonts w:eastAsia="Calibri"/>
          <w:szCs w:val="20"/>
          <w:lang w:val="es-ES"/>
        </w:rPr>
      </w:pPr>
      <w:r w:rsidRPr="00BB63D0">
        <w:rPr>
          <w:rFonts w:eastAsia="Calibri"/>
          <w:szCs w:val="20"/>
          <w:lang w:val="es-ES"/>
        </w:rPr>
        <w:t>132.</w:t>
      </w:r>
      <w:r w:rsidRPr="00BB63D0">
        <w:rPr>
          <w:rFonts w:eastAsia="Calibri"/>
          <w:szCs w:val="20"/>
          <w:lang w:val="es-ES"/>
        </w:rPr>
        <w:tab/>
        <w:t xml:space="preserve">En vista de lo </w:t>
      </w:r>
      <w:r w:rsidRPr="00326300">
        <w:rPr>
          <w:rFonts w:eastAsia="Calibri"/>
          <w:szCs w:val="20"/>
          <w:lang w:val="es-ES"/>
        </w:rPr>
        <w:t>anterior, la Corte resalta la importancia de visibilizar a las personas mayores como sujetos de derechos con especial protección y por ende de cuidado integral, con el respeto de su autonomía e independencia.</w:t>
      </w:r>
      <w:r w:rsidRPr="00BB63D0">
        <w:rPr>
          <w:rFonts w:eastAsia="Calibri"/>
          <w:szCs w:val="20"/>
          <w:lang w:val="es-ES"/>
        </w:rPr>
        <w:t xml:space="preserve"> El Tribunal ha sostenido que, al menos, estos “deben tener protegida su salud en caso de enfermedades crónicas y en fase terminal”. Por lo tanto, esta Corte considera que, respecto de las personas adultas mayores, como grupo en situación de vulnerabilidad, existe una obligación reforzada de respeto y garantía de su derecho a la salud. Lo anterior se traduce en la obligación de brindarles las prestaciones de </w:t>
      </w:r>
      <w:r w:rsidRPr="00BB63D0">
        <w:rPr>
          <w:rFonts w:eastAsia="Calibri"/>
          <w:szCs w:val="20"/>
          <w:lang w:val="es-ES"/>
        </w:rPr>
        <w:lastRenderedPageBreak/>
        <w:t xml:space="preserve">salud que sean necesarias de manera eficiente y continua. En consecuencia, el incumplimiento de dicha obligación surge cuando se </w:t>
      </w:r>
      <w:proofErr w:type="gramStart"/>
      <w:r w:rsidRPr="00BB63D0">
        <w:rPr>
          <w:rFonts w:eastAsia="Calibri"/>
          <w:szCs w:val="20"/>
          <w:lang w:val="es-ES"/>
        </w:rPr>
        <w:t>les</w:t>
      </w:r>
      <w:proofErr w:type="gramEnd"/>
      <w:r w:rsidRPr="00BB63D0">
        <w:rPr>
          <w:rFonts w:eastAsia="Calibri"/>
          <w:szCs w:val="20"/>
          <w:lang w:val="es-ES"/>
        </w:rPr>
        <w:t xml:space="preserve"> niega el acceso a la salud o no se garantiza su protección, pudiendo también ocasionar una vulneración de otros derechos.</w:t>
      </w:r>
    </w:p>
    <w:p w14:paraId="2DAE87E6" w14:textId="27D03A4C" w:rsidR="007269CF" w:rsidRDefault="007269CF" w:rsidP="00BB63D0">
      <w:pPr>
        <w:tabs>
          <w:tab w:val="left" w:pos="567"/>
        </w:tabs>
        <w:spacing w:after="0"/>
        <w:rPr>
          <w:rFonts w:eastAsia="Calibri"/>
          <w:szCs w:val="20"/>
          <w:lang w:val="es-ES"/>
        </w:rPr>
      </w:pPr>
    </w:p>
    <w:p w14:paraId="7A59476E" w14:textId="58475255" w:rsidR="007269CF" w:rsidRDefault="007269CF" w:rsidP="00FD29AB">
      <w:pPr>
        <w:pStyle w:val="Ttulo2"/>
        <w:rPr>
          <w:rFonts w:eastAsia="Calibri"/>
        </w:rPr>
      </w:pPr>
      <w:bookmarkStart w:id="22" w:name="_Toc89017878"/>
      <w:r>
        <w:rPr>
          <w:rFonts w:eastAsia="Calibri"/>
        </w:rPr>
        <w:t>Edad (Niños, Niñas y Adolescentes)</w:t>
      </w:r>
      <w:bookmarkEnd w:id="22"/>
    </w:p>
    <w:p w14:paraId="3079BD14" w14:textId="6E732625" w:rsidR="007269CF" w:rsidRDefault="007269CF" w:rsidP="00FD29AB">
      <w:pPr>
        <w:pStyle w:val="Caso"/>
      </w:pPr>
      <w:r w:rsidRPr="00FD29AB">
        <w:t>Corte IDH. Caso Guzmán Albarracín y otras Vs. Ecuador. Fondo, Reparaciones y Costas. Sentencia de 24 de junio de 2020. Serie C No. 405</w:t>
      </w:r>
    </w:p>
    <w:p w14:paraId="3C04C48B" w14:textId="5B8F852D" w:rsidR="007269CF" w:rsidRPr="00FD29AB" w:rsidRDefault="007269CF" w:rsidP="00BB63D0">
      <w:pPr>
        <w:tabs>
          <w:tab w:val="left" w:pos="567"/>
        </w:tabs>
        <w:spacing w:after="0"/>
        <w:rPr>
          <w:rFonts w:eastAsia="Calibri"/>
          <w:szCs w:val="20"/>
        </w:rPr>
      </w:pPr>
      <w:r w:rsidRPr="00FD29AB">
        <w:rPr>
          <w:rFonts w:eastAsia="Calibri"/>
          <w:szCs w:val="20"/>
        </w:rPr>
        <w:t xml:space="preserve">141. La violencia sufrida, </w:t>
      </w:r>
      <w:proofErr w:type="spellStart"/>
      <w:r w:rsidRPr="00FD29AB">
        <w:rPr>
          <w:rFonts w:eastAsia="Calibri"/>
          <w:szCs w:val="20"/>
        </w:rPr>
        <w:t>además</w:t>
      </w:r>
      <w:proofErr w:type="spellEnd"/>
      <w:r w:rsidRPr="00FD29AB">
        <w:rPr>
          <w:rFonts w:eastAsia="Calibri"/>
          <w:szCs w:val="20"/>
        </w:rPr>
        <w:t xml:space="preserve">, conllevó una forma de discriminación. Ya se ha indicado que la violencia de </w:t>
      </w:r>
      <w:proofErr w:type="spellStart"/>
      <w:r w:rsidRPr="00FD29AB">
        <w:rPr>
          <w:rFonts w:eastAsia="Calibri"/>
          <w:szCs w:val="20"/>
        </w:rPr>
        <w:t>género</w:t>
      </w:r>
      <w:proofErr w:type="spellEnd"/>
      <w:r w:rsidRPr="00FD29AB">
        <w:rPr>
          <w:rFonts w:eastAsia="Calibri"/>
          <w:szCs w:val="20"/>
        </w:rPr>
        <w:t xml:space="preserve"> y la violencia contra la mujer implican una forma de discriminación </w:t>
      </w:r>
      <w:r w:rsidR="005B7B62">
        <w:rPr>
          <w:rFonts w:eastAsia="Calibri"/>
          <w:szCs w:val="20"/>
        </w:rPr>
        <w:t>[...]</w:t>
      </w:r>
      <w:r w:rsidRPr="00FD29AB">
        <w:rPr>
          <w:rFonts w:eastAsia="Calibri"/>
          <w:szCs w:val="20"/>
        </w:rPr>
        <w:t xml:space="preserve">, prohibida por el artículo 1.1 de la Convención Americana. </w:t>
      </w:r>
      <w:proofErr w:type="spellStart"/>
      <w:r w:rsidRPr="00FD29AB">
        <w:rPr>
          <w:rFonts w:eastAsia="Calibri"/>
          <w:szCs w:val="20"/>
        </w:rPr>
        <w:t>Además</w:t>
      </w:r>
      <w:proofErr w:type="spellEnd"/>
      <w:r w:rsidRPr="00FD29AB">
        <w:rPr>
          <w:rFonts w:eastAsia="Calibri"/>
          <w:szCs w:val="20"/>
        </w:rPr>
        <w:t xml:space="preserve">, la violencia sexual contra </w:t>
      </w:r>
      <w:proofErr w:type="spellStart"/>
      <w:r w:rsidRPr="00FD29AB">
        <w:rPr>
          <w:rFonts w:eastAsia="Calibri"/>
          <w:szCs w:val="20"/>
        </w:rPr>
        <w:t>niñas</w:t>
      </w:r>
      <w:proofErr w:type="spellEnd"/>
      <w:r w:rsidRPr="00FD29AB">
        <w:rPr>
          <w:rFonts w:eastAsia="Calibri"/>
          <w:szCs w:val="20"/>
        </w:rPr>
        <w:t xml:space="preserve"> no </w:t>
      </w:r>
      <w:proofErr w:type="spellStart"/>
      <w:r w:rsidRPr="00FD29AB">
        <w:rPr>
          <w:rFonts w:eastAsia="Calibri"/>
          <w:szCs w:val="20"/>
        </w:rPr>
        <w:t>sólo</w:t>
      </w:r>
      <w:proofErr w:type="spellEnd"/>
      <w:r w:rsidRPr="00FD29AB">
        <w:rPr>
          <w:rFonts w:eastAsia="Calibri"/>
          <w:szCs w:val="20"/>
        </w:rPr>
        <w:t xml:space="preserve"> expresa una discriminación prohibida en </w:t>
      </w:r>
      <w:proofErr w:type="spellStart"/>
      <w:r w:rsidRPr="00FD29AB">
        <w:rPr>
          <w:rFonts w:eastAsia="Calibri"/>
          <w:szCs w:val="20"/>
        </w:rPr>
        <w:t>razón</w:t>
      </w:r>
      <w:proofErr w:type="spellEnd"/>
      <w:r w:rsidRPr="00FD29AB">
        <w:rPr>
          <w:rFonts w:eastAsia="Calibri"/>
          <w:szCs w:val="20"/>
        </w:rPr>
        <w:t xml:space="preserve"> del </w:t>
      </w:r>
      <w:proofErr w:type="spellStart"/>
      <w:r w:rsidRPr="00FD29AB">
        <w:rPr>
          <w:rFonts w:eastAsia="Calibri"/>
          <w:szCs w:val="20"/>
        </w:rPr>
        <w:t>género</w:t>
      </w:r>
      <w:proofErr w:type="spellEnd"/>
      <w:r w:rsidRPr="00FD29AB">
        <w:rPr>
          <w:rFonts w:eastAsia="Calibri"/>
          <w:szCs w:val="20"/>
        </w:rPr>
        <w:t xml:space="preserve">, sino que también puede resultar discriminatoria en </w:t>
      </w:r>
      <w:proofErr w:type="spellStart"/>
      <w:r w:rsidRPr="00FD29AB">
        <w:rPr>
          <w:rFonts w:eastAsia="Calibri"/>
          <w:szCs w:val="20"/>
        </w:rPr>
        <w:t>función</w:t>
      </w:r>
      <w:proofErr w:type="spellEnd"/>
      <w:r w:rsidRPr="00FD29AB">
        <w:rPr>
          <w:rFonts w:eastAsia="Calibri"/>
          <w:szCs w:val="20"/>
        </w:rPr>
        <w:t xml:space="preserve"> de la edad. Si bien este elemento no está comprendido en el artículo 1.1 de la Convención Americana en forma </w:t>
      </w:r>
      <w:proofErr w:type="spellStart"/>
      <w:r w:rsidRPr="00FD29AB">
        <w:rPr>
          <w:rFonts w:eastAsia="Calibri"/>
          <w:szCs w:val="20"/>
        </w:rPr>
        <w:t>explícita</w:t>
      </w:r>
      <w:proofErr w:type="spellEnd"/>
      <w:r w:rsidRPr="00FD29AB">
        <w:rPr>
          <w:rFonts w:eastAsia="Calibri"/>
          <w:szCs w:val="20"/>
        </w:rPr>
        <w:t xml:space="preserve">, dicha norma </w:t>
      </w:r>
      <w:proofErr w:type="spellStart"/>
      <w:r w:rsidRPr="00FD29AB">
        <w:rPr>
          <w:rFonts w:eastAsia="Calibri"/>
          <w:szCs w:val="20"/>
        </w:rPr>
        <w:t>señala</w:t>
      </w:r>
      <w:proofErr w:type="spellEnd"/>
      <w:r w:rsidRPr="00FD29AB">
        <w:rPr>
          <w:rFonts w:eastAsia="Calibri"/>
          <w:szCs w:val="20"/>
        </w:rPr>
        <w:t xml:space="preserve"> la </w:t>
      </w:r>
      <w:proofErr w:type="spellStart"/>
      <w:r w:rsidRPr="00FD29AB">
        <w:rPr>
          <w:rFonts w:eastAsia="Calibri"/>
          <w:szCs w:val="20"/>
        </w:rPr>
        <w:t>prohibición</w:t>
      </w:r>
      <w:proofErr w:type="spellEnd"/>
      <w:r w:rsidRPr="00FD29AB">
        <w:rPr>
          <w:rFonts w:eastAsia="Calibri"/>
          <w:szCs w:val="20"/>
        </w:rPr>
        <w:t xml:space="preserve"> de discriminación basada en “otra[s] </w:t>
      </w:r>
      <w:proofErr w:type="spellStart"/>
      <w:r w:rsidRPr="00FD29AB">
        <w:rPr>
          <w:rFonts w:eastAsia="Calibri"/>
          <w:szCs w:val="20"/>
        </w:rPr>
        <w:t>condici</w:t>
      </w:r>
      <w:proofErr w:type="spellEnd"/>
      <w:r w:rsidRPr="00FD29AB">
        <w:rPr>
          <w:rFonts w:eastAsia="Calibri"/>
          <w:szCs w:val="20"/>
        </w:rPr>
        <w:t>[</w:t>
      </w:r>
      <w:proofErr w:type="spellStart"/>
      <w:r w:rsidRPr="00FD29AB">
        <w:rPr>
          <w:rFonts w:eastAsia="Calibri"/>
          <w:szCs w:val="20"/>
        </w:rPr>
        <w:t>ones</w:t>
      </w:r>
      <w:proofErr w:type="spellEnd"/>
      <w:r w:rsidRPr="00FD29AB">
        <w:rPr>
          <w:rFonts w:eastAsia="Calibri"/>
          <w:szCs w:val="20"/>
        </w:rPr>
        <w:t xml:space="preserve">] social[es]” distintas de las que lista, las que, en forma general, se evidencian respecto a grupos que se encuentran en especiales situaciones de vulnerabilidad. Este es el caso de </w:t>
      </w:r>
      <w:proofErr w:type="spellStart"/>
      <w:r w:rsidRPr="00FD29AB">
        <w:rPr>
          <w:rFonts w:eastAsia="Calibri"/>
          <w:szCs w:val="20"/>
        </w:rPr>
        <w:t>niñas</w:t>
      </w:r>
      <w:proofErr w:type="spellEnd"/>
      <w:r w:rsidRPr="00FD29AB">
        <w:rPr>
          <w:rFonts w:eastAsia="Calibri"/>
          <w:szCs w:val="20"/>
        </w:rPr>
        <w:t xml:space="preserve"> y </w:t>
      </w:r>
      <w:proofErr w:type="spellStart"/>
      <w:r w:rsidRPr="00FD29AB">
        <w:rPr>
          <w:rFonts w:eastAsia="Calibri"/>
          <w:szCs w:val="20"/>
        </w:rPr>
        <w:t>niños</w:t>
      </w:r>
      <w:proofErr w:type="spellEnd"/>
      <w:r w:rsidRPr="00FD29AB">
        <w:rPr>
          <w:rFonts w:eastAsia="Calibri"/>
          <w:szCs w:val="20"/>
        </w:rPr>
        <w:t>, quienes pueden verse</w:t>
      </w:r>
      <w:r>
        <w:rPr>
          <w:rFonts w:eastAsia="Calibri"/>
          <w:szCs w:val="20"/>
        </w:rPr>
        <w:t xml:space="preserve"> </w:t>
      </w:r>
      <w:r w:rsidRPr="00FD29AB">
        <w:rPr>
          <w:rFonts w:eastAsia="Calibri"/>
          <w:szCs w:val="20"/>
        </w:rPr>
        <w:t xml:space="preserve">afectados en forma desproporcionada y particularmente grave por actos de discriminación y violencia de </w:t>
      </w:r>
      <w:proofErr w:type="spellStart"/>
      <w:r w:rsidRPr="00FD29AB">
        <w:rPr>
          <w:rFonts w:eastAsia="Calibri"/>
          <w:szCs w:val="20"/>
        </w:rPr>
        <w:t>género</w:t>
      </w:r>
      <w:proofErr w:type="spellEnd"/>
      <w:r w:rsidRPr="00FD29AB">
        <w:rPr>
          <w:rFonts w:eastAsia="Calibri"/>
          <w:szCs w:val="20"/>
        </w:rPr>
        <w:t>.</w:t>
      </w:r>
      <w:r>
        <w:rPr>
          <w:rFonts w:eastAsia="Calibri"/>
          <w:szCs w:val="20"/>
        </w:rPr>
        <w:t xml:space="preserve"> </w:t>
      </w:r>
      <w:r w:rsidRPr="00FD29AB">
        <w:rPr>
          <w:rFonts w:eastAsia="Calibri"/>
          <w:szCs w:val="20"/>
        </w:rPr>
        <w:t xml:space="preserve">Al respecto, el </w:t>
      </w:r>
      <w:proofErr w:type="spellStart"/>
      <w:r w:rsidRPr="00FD29AB">
        <w:rPr>
          <w:rFonts w:eastAsia="Calibri"/>
          <w:szCs w:val="20"/>
        </w:rPr>
        <w:t>Comite</w:t>
      </w:r>
      <w:proofErr w:type="spellEnd"/>
      <w:r w:rsidRPr="00FD29AB">
        <w:rPr>
          <w:rFonts w:eastAsia="Calibri"/>
          <w:szCs w:val="20"/>
        </w:rPr>
        <w:t xml:space="preserve">́ de los Derechos del </w:t>
      </w:r>
      <w:proofErr w:type="spellStart"/>
      <w:r w:rsidRPr="00FD29AB">
        <w:rPr>
          <w:rFonts w:eastAsia="Calibri"/>
          <w:szCs w:val="20"/>
        </w:rPr>
        <w:t>Niño</w:t>
      </w:r>
      <w:proofErr w:type="spellEnd"/>
      <w:r w:rsidRPr="00FD29AB">
        <w:rPr>
          <w:rFonts w:eastAsia="Calibri"/>
          <w:szCs w:val="20"/>
        </w:rPr>
        <w:t xml:space="preserve"> ha expresado que la discriminación basada en diversos motivos, incluso el “sexo”, “bien sea de forma manifiesta o larvada, atenta contra la dignidad humana del </w:t>
      </w:r>
      <w:proofErr w:type="spellStart"/>
      <w:r w:rsidRPr="00FD29AB">
        <w:rPr>
          <w:rFonts w:eastAsia="Calibri"/>
          <w:szCs w:val="20"/>
        </w:rPr>
        <w:t>niño</w:t>
      </w:r>
      <w:proofErr w:type="spellEnd"/>
      <w:r w:rsidRPr="00FD29AB">
        <w:rPr>
          <w:rFonts w:eastAsia="Calibri"/>
          <w:szCs w:val="20"/>
        </w:rPr>
        <w:t xml:space="preserve">”, y puede “debilitar”, e incluso destruir su capacidad “de beneficiarse de las oportunidades de la </w:t>
      </w:r>
      <w:proofErr w:type="spellStart"/>
      <w:r w:rsidRPr="00FD29AB">
        <w:rPr>
          <w:rFonts w:eastAsia="Calibri"/>
          <w:szCs w:val="20"/>
        </w:rPr>
        <w:t>educación</w:t>
      </w:r>
      <w:proofErr w:type="spellEnd"/>
      <w:r w:rsidRPr="00FD29AB">
        <w:rPr>
          <w:rFonts w:eastAsia="Calibri"/>
          <w:szCs w:val="20"/>
        </w:rPr>
        <w:t xml:space="preserve">”. En ese sentido, la Corte ha </w:t>
      </w:r>
      <w:proofErr w:type="spellStart"/>
      <w:r w:rsidRPr="00FD29AB">
        <w:rPr>
          <w:rFonts w:eastAsia="Calibri"/>
          <w:szCs w:val="20"/>
        </w:rPr>
        <w:t>señalado</w:t>
      </w:r>
      <w:proofErr w:type="spellEnd"/>
      <w:r w:rsidRPr="00FD29AB">
        <w:rPr>
          <w:rFonts w:eastAsia="Calibri"/>
          <w:szCs w:val="20"/>
        </w:rPr>
        <w:t xml:space="preserve"> que el “impacto” de la “violencia sexual” en “las </w:t>
      </w:r>
      <w:proofErr w:type="spellStart"/>
      <w:r w:rsidRPr="00FD29AB">
        <w:rPr>
          <w:rFonts w:eastAsia="Calibri"/>
          <w:szCs w:val="20"/>
        </w:rPr>
        <w:t>niñas</w:t>
      </w:r>
      <w:proofErr w:type="spellEnd"/>
      <w:r w:rsidRPr="00FD29AB">
        <w:rPr>
          <w:rFonts w:eastAsia="Calibri"/>
          <w:szCs w:val="20"/>
        </w:rPr>
        <w:t xml:space="preserve">, </w:t>
      </w:r>
      <w:proofErr w:type="spellStart"/>
      <w:r w:rsidRPr="00FD29AB">
        <w:rPr>
          <w:rFonts w:eastAsia="Calibri"/>
          <w:szCs w:val="20"/>
        </w:rPr>
        <w:t>niños</w:t>
      </w:r>
      <w:proofErr w:type="spellEnd"/>
      <w:r w:rsidRPr="00FD29AB">
        <w:rPr>
          <w:rFonts w:eastAsia="Calibri"/>
          <w:szCs w:val="20"/>
        </w:rPr>
        <w:t xml:space="preserve"> y adolescentes </w:t>
      </w:r>
      <w:proofErr w:type="spellStart"/>
      <w:r w:rsidRPr="00FD29AB">
        <w:rPr>
          <w:rFonts w:eastAsia="Calibri"/>
          <w:szCs w:val="20"/>
        </w:rPr>
        <w:t>víctimas</w:t>
      </w:r>
      <w:proofErr w:type="spellEnd"/>
      <w:r w:rsidRPr="00FD29AB">
        <w:rPr>
          <w:rFonts w:eastAsia="Calibri"/>
          <w:szCs w:val="20"/>
        </w:rPr>
        <w:t xml:space="preserve">”, puede “verse severamente agravado, por lo que </w:t>
      </w:r>
      <w:proofErr w:type="spellStart"/>
      <w:r w:rsidRPr="00FD29AB">
        <w:rPr>
          <w:rFonts w:eastAsia="Calibri"/>
          <w:szCs w:val="20"/>
        </w:rPr>
        <w:t>podrían</w:t>
      </w:r>
      <w:proofErr w:type="spellEnd"/>
      <w:r w:rsidRPr="00FD29AB">
        <w:rPr>
          <w:rFonts w:eastAsia="Calibri"/>
          <w:szCs w:val="20"/>
        </w:rPr>
        <w:t xml:space="preserve"> sufrir un trauma emocional diferenciado de los adultos, y un impacto sumamente profundo, en particular cuando el agresor mantiene un </w:t>
      </w:r>
      <w:proofErr w:type="spellStart"/>
      <w:r w:rsidRPr="00FD29AB">
        <w:rPr>
          <w:rFonts w:eastAsia="Calibri"/>
          <w:szCs w:val="20"/>
        </w:rPr>
        <w:t>vínculo</w:t>
      </w:r>
      <w:proofErr w:type="spellEnd"/>
      <w:r w:rsidRPr="00FD29AB">
        <w:rPr>
          <w:rFonts w:eastAsia="Calibri"/>
          <w:szCs w:val="20"/>
        </w:rPr>
        <w:t xml:space="preserve"> de confianza y autoridad con la </w:t>
      </w:r>
      <w:proofErr w:type="spellStart"/>
      <w:r w:rsidRPr="00FD29AB">
        <w:rPr>
          <w:rFonts w:eastAsia="Calibri"/>
          <w:szCs w:val="20"/>
        </w:rPr>
        <w:t>víctima</w:t>
      </w:r>
      <w:proofErr w:type="spellEnd"/>
      <w:r w:rsidRPr="00FD29AB">
        <w:rPr>
          <w:rFonts w:eastAsia="Calibri"/>
          <w:szCs w:val="20"/>
        </w:rPr>
        <w:t>”.</w:t>
      </w:r>
    </w:p>
    <w:p w14:paraId="78AF5E6B" w14:textId="77777777" w:rsidR="007269CF" w:rsidRPr="00BB63D0" w:rsidRDefault="007269CF" w:rsidP="00BB63D0">
      <w:pPr>
        <w:tabs>
          <w:tab w:val="left" w:pos="567"/>
        </w:tabs>
        <w:spacing w:after="0"/>
        <w:rPr>
          <w:rFonts w:eastAsia="Calibri"/>
          <w:szCs w:val="20"/>
          <w:lang w:val="es-ES"/>
        </w:rPr>
      </w:pPr>
    </w:p>
    <w:p w14:paraId="13F733AC" w14:textId="35C61A56" w:rsidR="007269CF" w:rsidRDefault="007269CF" w:rsidP="00E431EB">
      <w:pPr>
        <w:pStyle w:val="Ttulo2"/>
        <w:rPr>
          <w:rFonts w:eastAsia="Calibri"/>
        </w:rPr>
      </w:pPr>
      <w:bookmarkStart w:id="23" w:name="_Toc89017879"/>
      <w:r>
        <w:rPr>
          <w:rFonts w:eastAsia="Calibri"/>
        </w:rPr>
        <w:t>Discapacidad</w:t>
      </w:r>
      <w:bookmarkEnd w:id="23"/>
    </w:p>
    <w:p w14:paraId="1BA04DA3" w14:textId="6FC00469" w:rsidR="007269CF" w:rsidRDefault="007269CF" w:rsidP="00E431EB">
      <w:pPr>
        <w:pStyle w:val="Caso"/>
        <w:rPr>
          <w:lang w:val="es-ES_tradnl"/>
        </w:rPr>
      </w:pPr>
      <w:r w:rsidRPr="00E431EB">
        <w:rPr>
          <w:lang w:val="es-ES_tradnl"/>
        </w:rPr>
        <w:t xml:space="preserve">Corte IDH. Caso </w:t>
      </w:r>
      <w:proofErr w:type="spellStart"/>
      <w:r w:rsidRPr="00E431EB">
        <w:rPr>
          <w:lang w:val="es-ES_tradnl"/>
        </w:rPr>
        <w:t>Guachalá</w:t>
      </w:r>
      <w:proofErr w:type="spellEnd"/>
      <w:r w:rsidRPr="00E431EB">
        <w:rPr>
          <w:lang w:val="es-ES_tradnl"/>
        </w:rPr>
        <w:t xml:space="preserve"> Chimbo y otros Vs. Ecuador. Fondo, Reparaciones y Costas. Sentencia de 26 de marzo de 2021. Serie C No. 423</w:t>
      </w:r>
    </w:p>
    <w:p w14:paraId="2BE99490" w14:textId="77777777" w:rsidR="007269CF" w:rsidRPr="00E431EB" w:rsidRDefault="007269CF" w:rsidP="00E431EB">
      <w:pPr>
        <w:rPr>
          <w:szCs w:val="20"/>
          <w:lang w:val="es-ES_tradnl"/>
        </w:rPr>
      </w:pPr>
      <w:r w:rsidRPr="00E431EB">
        <w:rPr>
          <w:szCs w:val="20"/>
          <w:lang w:val="es-ES_tradnl"/>
        </w:rPr>
        <w:t xml:space="preserve">67. El artículo 1.1 de la Convención establece que “los Estados Partes en esta Convención se comprometen a respetar los derechos y libertades reconocidos en ella y a garantizar su libre y pleno ejercicio a toda persona que esté sujeta a su </w:t>
      </w:r>
      <w:proofErr w:type="spellStart"/>
      <w:r w:rsidRPr="00E431EB">
        <w:rPr>
          <w:szCs w:val="20"/>
          <w:lang w:val="es-ES_tradnl"/>
        </w:rPr>
        <w:t>jurisdicción</w:t>
      </w:r>
      <w:proofErr w:type="spellEnd"/>
      <w:r w:rsidRPr="00E431EB">
        <w:rPr>
          <w:szCs w:val="20"/>
          <w:lang w:val="es-ES_tradnl"/>
        </w:rPr>
        <w:t xml:space="preserve">, sin discriminación alguna por motivos de raza, color, sexo, idioma, </w:t>
      </w:r>
      <w:proofErr w:type="spellStart"/>
      <w:r w:rsidRPr="00E431EB">
        <w:rPr>
          <w:szCs w:val="20"/>
          <w:lang w:val="es-ES_tradnl"/>
        </w:rPr>
        <w:t>religión</w:t>
      </w:r>
      <w:proofErr w:type="spellEnd"/>
      <w:r w:rsidRPr="00E431EB">
        <w:rPr>
          <w:szCs w:val="20"/>
          <w:lang w:val="es-ES_tradnl"/>
        </w:rPr>
        <w:t xml:space="preserve">, opiniones </w:t>
      </w:r>
      <w:proofErr w:type="spellStart"/>
      <w:r w:rsidRPr="00E431EB">
        <w:rPr>
          <w:szCs w:val="20"/>
          <w:lang w:val="es-ES_tradnl"/>
        </w:rPr>
        <w:t>políticas</w:t>
      </w:r>
      <w:proofErr w:type="spellEnd"/>
      <w:r w:rsidRPr="00E431EB">
        <w:rPr>
          <w:szCs w:val="20"/>
          <w:lang w:val="es-ES_tradnl"/>
        </w:rPr>
        <w:t xml:space="preserve"> o de cualquier otra </w:t>
      </w:r>
      <w:proofErr w:type="spellStart"/>
      <w:r w:rsidRPr="00E431EB">
        <w:rPr>
          <w:szCs w:val="20"/>
          <w:lang w:val="es-ES_tradnl"/>
        </w:rPr>
        <w:t>índole</w:t>
      </w:r>
      <w:proofErr w:type="spellEnd"/>
      <w:r w:rsidRPr="00E431EB">
        <w:rPr>
          <w:szCs w:val="20"/>
          <w:lang w:val="es-ES_tradnl"/>
        </w:rPr>
        <w:t xml:space="preserve">, origen nacional o social, </w:t>
      </w:r>
      <w:proofErr w:type="spellStart"/>
      <w:r w:rsidRPr="00E431EB">
        <w:rPr>
          <w:szCs w:val="20"/>
          <w:lang w:val="es-ES_tradnl"/>
        </w:rPr>
        <w:t>posición</w:t>
      </w:r>
      <w:proofErr w:type="spellEnd"/>
      <w:r w:rsidRPr="00E431EB">
        <w:rPr>
          <w:szCs w:val="20"/>
          <w:lang w:val="es-ES_tradnl"/>
        </w:rPr>
        <w:t xml:space="preserve"> </w:t>
      </w:r>
      <w:proofErr w:type="spellStart"/>
      <w:r w:rsidRPr="00E431EB">
        <w:rPr>
          <w:szCs w:val="20"/>
          <w:lang w:val="es-ES_tradnl"/>
        </w:rPr>
        <w:t>económica</w:t>
      </w:r>
      <w:proofErr w:type="spellEnd"/>
      <w:r w:rsidRPr="00E431EB">
        <w:rPr>
          <w:szCs w:val="20"/>
          <w:lang w:val="es-ES_tradnl"/>
        </w:rPr>
        <w:t>, nacimiento o cualquier otra condición social”.</w:t>
      </w:r>
    </w:p>
    <w:p w14:paraId="34761034" w14:textId="0E36532C" w:rsidR="007269CF" w:rsidRDefault="007269CF" w:rsidP="00E431EB">
      <w:pPr>
        <w:rPr>
          <w:szCs w:val="20"/>
          <w:lang w:val="es-ES_tradnl"/>
        </w:rPr>
      </w:pPr>
      <w:r w:rsidRPr="00E431EB">
        <w:rPr>
          <w:szCs w:val="20"/>
          <w:lang w:val="es-ES_tradnl"/>
        </w:rPr>
        <w:t xml:space="preserve">68. La Corte ha establecido que el artículo 1.1 de la Convención es una norma de </w:t>
      </w:r>
      <w:proofErr w:type="spellStart"/>
      <w:r w:rsidRPr="00E431EB">
        <w:rPr>
          <w:szCs w:val="20"/>
          <w:lang w:val="es-ES_tradnl"/>
        </w:rPr>
        <w:t>carácter</w:t>
      </w:r>
      <w:proofErr w:type="spellEnd"/>
      <w:r w:rsidRPr="00E431EB">
        <w:rPr>
          <w:szCs w:val="20"/>
          <w:lang w:val="es-ES_tradnl"/>
        </w:rPr>
        <w:t xml:space="preserve"> general cuyo contenido se extiende a todas las disposiciones del tratado, y dispone la obligación de los Estados Parte de respetar y garantizar el pleno y libre ejercicio de los derechos y libertades </w:t>
      </w:r>
      <w:proofErr w:type="spellStart"/>
      <w:r w:rsidRPr="00E431EB">
        <w:rPr>
          <w:szCs w:val="20"/>
          <w:lang w:val="es-ES_tradnl"/>
        </w:rPr>
        <w:t>alli</w:t>
      </w:r>
      <w:proofErr w:type="spellEnd"/>
      <w:r w:rsidRPr="00E431EB">
        <w:rPr>
          <w:szCs w:val="20"/>
          <w:lang w:val="es-ES_tradnl"/>
        </w:rPr>
        <w:t>́ reconocidos “sin discriminación alguna”. Es decir, cualquiera sea el origen o la forma que asuma, todo tratamiento que pueda ser considerado discriminatorio</w:t>
      </w:r>
      <w:r>
        <w:rPr>
          <w:szCs w:val="20"/>
          <w:lang w:val="es-ES_tradnl"/>
        </w:rPr>
        <w:t xml:space="preserve"> </w:t>
      </w:r>
      <w:r w:rsidRPr="00E431EB">
        <w:rPr>
          <w:szCs w:val="20"/>
          <w:lang w:val="es-ES_tradnl"/>
        </w:rPr>
        <w:t>respecto del ejercicio de cualquiera de los derechos garantizados en la Convención es per se incompatible con la misma.</w:t>
      </w:r>
    </w:p>
    <w:p w14:paraId="700BC93F" w14:textId="39166701" w:rsidR="007269CF" w:rsidRPr="00E431EB" w:rsidRDefault="007269CF" w:rsidP="00E431EB">
      <w:pPr>
        <w:rPr>
          <w:szCs w:val="20"/>
          <w:lang w:val="es-ES_tradnl"/>
        </w:rPr>
      </w:pPr>
      <w:r w:rsidRPr="00E431EB">
        <w:rPr>
          <w:szCs w:val="20"/>
          <w:lang w:val="es-ES_tradnl"/>
        </w:rPr>
        <w:t xml:space="preserve">70. La Corte ha establecido que los tratados de derechos humanos son instrumentos vivos, cuya </w:t>
      </w:r>
      <w:proofErr w:type="spellStart"/>
      <w:r w:rsidRPr="00E431EB">
        <w:rPr>
          <w:szCs w:val="20"/>
          <w:lang w:val="es-ES_tradnl"/>
        </w:rPr>
        <w:t>interpretación</w:t>
      </w:r>
      <w:proofErr w:type="spellEnd"/>
      <w:r w:rsidRPr="00E431EB">
        <w:rPr>
          <w:szCs w:val="20"/>
          <w:lang w:val="es-ES_tradnl"/>
        </w:rPr>
        <w:t xml:space="preserve"> tiene que </w:t>
      </w:r>
      <w:proofErr w:type="spellStart"/>
      <w:r w:rsidRPr="00E431EB">
        <w:rPr>
          <w:szCs w:val="20"/>
          <w:lang w:val="es-ES_tradnl"/>
        </w:rPr>
        <w:t>acompañar</w:t>
      </w:r>
      <w:proofErr w:type="spellEnd"/>
      <w:r w:rsidRPr="00E431EB">
        <w:rPr>
          <w:szCs w:val="20"/>
          <w:lang w:val="es-ES_tradnl"/>
        </w:rPr>
        <w:t xml:space="preserve"> la </w:t>
      </w:r>
      <w:proofErr w:type="spellStart"/>
      <w:r w:rsidRPr="00E431EB">
        <w:rPr>
          <w:szCs w:val="20"/>
          <w:lang w:val="es-ES_tradnl"/>
        </w:rPr>
        <w:t>evolución</w:t>
      </w:r>
      <w:proofErr w:type="spellEnd"/>
      <w:r w:rsidRPr="00E431EB">
        <w:rPr>
          <w:szCs w:val="20"/>
          <w:lang w:val="es-ES_tradnl"/>
        </w:rPr>
        <w:t xml:space="preserve"> de los tiempos y las condiciones de vida actuales. Tal </w:t>
      </w:r>
      <w:proofErr w:type="spellStart"/>
      <w:r w:rsidRPr="00E431EB">
        <w:rPr>
          <w:szCs w:val="20"/>
          <w:lang w:val="es-ES_tradnl"/>
        </w:rPr>
        <w:t>interpretación</w:t>
      </w:r>
      <w:proofErr w:type="spellEnd"/>
      <w:r w:rsidRPr="00E431EB">
        <w:rPr>
          <w:szCs w:val="20"/>
          <w:lang w:val="es-ES_tradnl"/>
        </w:rPr>
        <w:t xml:space="preserve"> evolutiva es consecuente con las reglas generales de </w:t>
      </w:r>
      <w:proofErr w:type="spellStart"/>
      <w:r w:rsidRPr="00E431EB">
        <w:rPr>
          <w:szCs w:val="20"/>
          <w:lang w:val="es-ES_tradnl"/>
        </w:rPr>
        <w:t>interpretación</w:t>
      </w:r>
      <w:proofErr w:type="spellEnd"/>
      <w:r w:rsidRPr="00E431EB">
        <w:rPr>
          <w:szCs w:val="20"/>
          <w:lang w:val="es-ES_tradnl"/>
        </w:rPr>
        <w:t xml:space="preserve"> consagradas en el artículo 29 de la Convención </w:t>
      </w:r>
      <w:r w:rsidRPr="00E431EB">
        <w:rPr>
          <w:szCs w:val="20"/>
          <w:lang w:val="es-ES_tradnl"/>
        </w:rPr>
        <w:lastRenderedPageBreak/>
        <w:t xml:space="preserve">Americana, </w:t>
      </w:r>
      <w:proofErr w:type="spellStart"/>
      <w:r w:rsidRPr="00E431EB">
        <w:rPr>
          <w:szCs w:val="20"/>
          <w:lang w:val="es-ES_tradnl"/>
        </w:rPr>
        <w:t>asi</w:t>
      </w:r>
      <w:proofErr w:type="spellEnd"/>
      <w:r w:rsidRPr="00E431EB">
        <w:rPr>
          <w:szCs w:val="20"/>
          <w:lang w:val="es-ES_tradnl"/>
        </w:rPr>
        <w:t>́ como las establecidas por la Convención de Viena sobre el Derecho de los Tratados.</w:t>
      </w:r>
    </w:p>
    <w:p w14:paraId="0F3478F1" w14:textId="1B34E60F" w:rsidR="007269CF" w:rsidRPr="00E431EB" w:rsidRDefault="007269CF" w:rsidP="00E431EB">
      <w:pPr>
        <w:rPr>
          <w:szCs w:val="20"/>
          <w:lang w:val="es-ES_tradnl"/>
        </w:rPr>
      </w:pPr>
      <w:r w:rsidRPr="00E431EB">
        <w:rPr>
          <w:szCs w:val="20"/>
          <w:lang w:val="es-ES_tradnl"/>
        </w:rPr>
        <w:t xml:space="preserve">71. Los criterios </w:t>
      </w:r>
      <w:proofErr w:type="spellStart"/>
      <w:r w:rsidRPr="00E431EB">
        <w:rPr>
          <w:szCs w:val="20"/>
          <w:lang w:val="es-ES_tradnl"/>
        </w:rPr>
        <w:t>específicos</w:t>
      </w:r>
      <w:proofErr w:type="spellEnd"/>
      <w:r w:rsidRPr="00E431EB">
        <w:rPr>
          <w:szCs w:val="20"/>
          <w:lang w:val="es-ES_tradnl"/>
        </w:rPr>
        <w:t xml:space="preserve"> en virtud de los cuales está prohibido discriminar, </w:t>
      </w:r>
      <w:proofErr w:type="spellStart"/>
      <w:r w:rsidRPr="00E431EB">
        <w:rPr>
          <w:szCs w:val="20"/>
          <w:lang w:val="es-ES_tradnl"/>
        </w:rPr>
        <w:t>según</w:t>
      </w:r>
      <w:proofErr w:type="spellEnd"/>
      <w:r w:rsidRPr="00E431EB">
        <w:rPr>
          <w:szCs w:val="20"/>
          <w:lang w:val="es-ES_tradnl"/>
        </w:rPr>
        <w:t xml:space="preserve"> el artículo 1.1 de la Convención Americana, no son un listado taxativo o limitativo sino meramente enunciativo. La </w:t>
      </w:r>
      <w:proofErr w:type="spellStart"/>
      <w:r w:rsidRPr="00E431EB">
        <w:rPr>
          <w:szCs w:val="20"/>
          <w:lang w:val="es-ES_tradnl"/>
        </w:rPr>
        <w:t>redacción</w:t>
      </w:r>
      <w:proofErr w:type="spellEnd"/>
      <w:r w:rsidRPr="00E431EB">
        <w:rPr>
          <w:szCs w:val="20"/>
          <w:lang w:val="es-ES_tradnl"/>
        </w:rPr>
        <w:t xml:space="preserve"> de dicho artículo deja abiertos los criterios con la </w:t>
      </w:r>
      <w:proofErr w:type="spellStart"/>
      <w:r w:rsidRPr="00E431EB">
        <w:rPr>
          <w:szCs w:val="20"/>
          <w:lang w:val="es-ES_tradnl"/>
        </w:rPr>
        <w:t>inclusión</w:t>
      </w:r>
      <w:proofErr w:type="spellEnd"/>
      <w:r w:rsidRPr="00E431EB">
        <w:rPr>
          <w:szCs w:val="20"/>
          <w:lang w:val="es-ES_tradnl"/>
        </w:rPr>
        <w:t xml:space="preserve"> del </w:t>
      </w:r>
      <w:proofErr w:type="spellStart"/>
      <w:r w:rsidRPr="00E431EB">
        <w:rPr>
          <w:szCs w:val="20"/>
          <w:lang w:val="es-ES_tradnl"/>
        </w:rPr>
        <w:t>término</w:t>
      </w:r>
      <w:proofErr w:type="spellEnd"/>
      <w:r w:rsidRPr="00E431EB">
        <w:rPr>
          <w:szCs w:val="20"/>
          <w:lang w:val="es-ES_tradnl"/>
        </w:rPr>
        <w:t xml:space="preserve"> “otra condición social” para incorporar </w:t>
      </w:r>
      <w:proofErr w:type="spellStart"/>
      <w:r w:rsidRPr="00E431EB">
        <w:rPr>
          <w:szCs w:val="20"/>
          <w:lang w:val="es-ES_tradnl"/>
        </w:rPr>
        <w:t>asi</w:t>
      </w:r>
      <w:proofErr w:type="spellEnd"/>
      <w:r w:rsidRPr="00E431EB">
        <w:rPr>
          <w:szCs w:val="20"/>
          <w:lang w:val="es-ES_tradnl"/>
        </w:rPr>
        <w:t xml:space="preserve">́ a otras </w:t>
      </w:r>
      <w:proofErr w:type="spellStart"/>
      <w:r w:rsidRPr="00E431EB">
        <w:rPr>
          <w:szCs w:val="20"/>
          <w:lang w:val="es-ES_tradnl"/>
        </w:rPr>
        <w:t>categorías</w:t>
      </w:r>
      <w:proofErr w:type="spellEnd"/>
      <w:r w:rsidRPr="00E431EB">
        <w:rPr>
          <w:szCs w:val="20"/>
          <w:lang w:val="es-ES_tradnl"/>
        </w:rPr>
        <w:t xml:space="preserve"> que no hubiesen sido </w:t>
      </w:r>
      <w:proofErr w:type="spellStart"/>
      <w:r w:rsidRPr="00E431EB">
        <w:rPr>
          <w:szCs w:val="20"/>
          <w:lang w:val="es-ES_tradnl"/>
        </w:rPr>
        <w:t>explícitamente</w:t>
      </w:r>
      <w:proofErr w:type="spellEnd"/>
      <w:r w:rsidRPr="00E431EB">
        <w:rPr>
          <w:szCs w:val="20"/>
          <w:lang w:val="es-ES_tradnl"/>
        </w:rPr>
        <w:t xml:space="preserve"> indicadas.</w:t>
      </w:r>
    </w:p>
    <w:p w14:paraId="6B105D30" w14:textId="070F21B6" w:rsidR="007269CF" w:rsidRPr="00E431EB" w:rsidRDefault="007269CF" w:rsidP="00E431EB">
      <w:pPr>
        <w:rPr>
          <w:szCs w:val="20"/>
          <w:lang w:val="es-ES_tradnl"/>
        </w:rPr>
      </w:pPr>
      <w:r w:rsidRPr="00E431EB">
        <w:rPr>
          <w:szCs w:val="20"/>
          <w:lang w:val="es-ES_tradnl"/>
        </w:rPr>
        <w:t xml:space="preserve">72. En este sentido, al interpretar la </w:t>
      </w:r>
      <w:proofErr w:type="spellStart"/>
      <w:r w:rsidRPr="00E431EB">
        <w:rPr>
          <w:szCs w:val="20"/>
          <w:lang w:val="es-ES_tradnl"/>
        </w:rPr>
        <w:t>expresión</w:t>
      </w:r>
      <w:proofErr w:type="spellEnd"/>
      <w:r w:rsidRPr="00E431EB">
        <w:rPr>
          <w:szCs w:val="20"/>
          <w:lang w:val="es-ES_tradnl"/>
        </w:rPr>
        <w:t xml:space="preserve"> “cualquier otra condición social” del artículo 1.1. de la Convención, debe siempre elegirse la alternativa </w:t>
      </w:r>
      <w:proofErr w:type="spellStart"/>
      <w:r w:rsidRPr="00E431EB">
        <w:rPr>
          <w:szCs w:val="20"/>
          <w:lang w:val="es-ES_tradnl"/>
        </w:rPr>
        <w:t>más</w:t>
      </w:r>
      <w:proofErr w:type="spellEnd"/>
      <w:r w:rsidRPr="00E431EB">
        <w:rPr>
          <w:szCs w:val="20"/>
          <w:lang w:val="es-ES_tradnl"/>
        </w:rPr>
        <w:t xml:space="preserve"> favorable para la tutela de los derechos protegidos por dicho tratado, </w:t>
      </w:r>
      <w:proofErr w:type="spellStart"/>
      <w:r w:rsidRPr="00E431EB">
        <w:rPr>
          <w:szCs w:val="20"/>
          <w:lang w:val="es-ES_tradnl"/>
        </w:rPr>
        <w:t>según</w:t>
      </w:r>
      <w:proofErr w:type="spellEnd"/>
      <w:r w:rsidRPr="00E431EB">
        <w:rPr>
          <w:szCs w:val="20"/>
          <w:lang w:val="es-ES_tradnl"/>
        </w:rPr>
        <w:t xml:space="preserve"> el principio de la norma </w:t>
      </w:r>
      <w:proofErr w:type="spellStart"/>
      <w:r w:rsidRPr="00E431EB">
        <w:rPr>
          <w:szCs w:val="20"/>
          <w:lang w:val="es-ES_tradnl"/>
        </w:rPr>
        <w:t>más</w:t>
      </w:r>
      <w:proofErr w:type="spellEnd"/>
      <w:r w:rsidRPr="00E431EB">
        <w:rPr>
          <w:szCs w:val="20"/>
          <w:lang w:val="es-ES_tradnl"/>
        </w:rPr>
        <w:t xml:space="preserve"> favorable al ser humano.</w:t>
      </w:r>
    </w:p>
    <w:p w14:paraId="6DD3D7A5" w14:textId="49552DE9" w:rsidR="007269CF" w:rsidRPr="00E431EB" w:rsidRDefault="007269CF" w:rsidP="00E431EB">
      <w:pPr>
        <w:rPr>
          <w:szCs w:val="20"/>
          <w:lang w:val="es-ES_tradnl"/>
        </w:rPr>
      </w:pPr>
      <w:r w:rsidRPr="00E431EB">
        <w:rPr>
          <w:szCs w:val="20"/>
          <w:lang w:val="es-ES_tradnl"/>
        </w:rPr>
        <w:t xml:space="preserve">73. En el Sistema Interamericano, desde sus inicios, en la </w:t>
      </w:r>
      <w:proofErr w:type="spellStart"/>
      <w:r w:rsidRPr="00E431EB">
        <w:rPr>
          <w:szCs w:val="20"/>
          <w:lang w:val="es-ES_tradnl"/>
        </w:rPr>
        <w:t>Declaración</w:t>
      </w:r>
      <w:proofErr w:type="spellEnd"/>
      <w:r w:rsidRPr="00E431EB">
        <w:rPr>
          <w:szCs w:val="20"/>
          <w:lang w:val="es-ES_tradnl"/>
        </w:rPr>
        <w:t xml:space="preserve"> Americana de los Derechos y Deberes del Hombre, adoptada en 1948, se han reivindicado los derechos de las personas con discapacidad.</w:t>
      </w:r>
    </w:p>
    <w:p w14:paraId="59A2DF2E" w14:textId="446474B6" w:rsidR="007269CF" w:rsidRPr="00E431EB" w:rsidRDefault="007269CF" w:rsidP="00E431EB">
      <w:pPr>
        <w:rPr>
          <w:szCs w:val="20"/>
          <w:lang w:val="es-ES_tradnl"/>
        </w:rPr>
      </w:pPr>
      <w:r w:rsidRPr="00E431EB">
        <w:rPr>
          <w:szCs w:val="20"/>
          <w:lang w:val="es-ES_tradnl"/>
        </w:rPr>
        <w:t xml:space="preserve">74. En </w:t>
      </w:r>
      <w:proofErr w:type="spellStart"/>
      <w:r w:rsidRPr="00E431EB">
        <w:rPr>
          <w:szCs w:val="20"/>
          <w:lang w:val="es-ES_tradnl"/>
        </w:rPr>
        <w:t>décadas</w:t>
      </w:r>
      <w:proofErr w:type="spellEnd"/>
      <w:r w:rsidRPr="00E431EB">
        <w:rPr>
          <w:szCs w:val="20"/>
          <w:lang w:val="es-ES_tradnl"/>
        </w:rPr>
        <w:t xml:space="preserve"> posteriores, el Protocolo Adicional a la Convención Americana en materia de Derechos </w:t>
      </w:r>
      <w:proofErr w:type="spellStart"/>
      <w:r w:rsidRPr="00E431EB">
        <w:rPr>
          <w:szCs w:val="20"/>
          <w:lang w:val="es-ES_tradnl"/>
        </w:rPr>
        <w:t>Económicos</w:t>
      </w:r>
      <w:proofErr w:type="spellEnd"/>
      <w:r w:rsidRPr="00E431EB">
        <w:rPr>
          <w:szCs w:val="20"/>
          <w:lang w:val="es-ES_tradnl"/>
        </w:rPr>
        <w:t xml:space="preserve">, Sociales y Culturales ("Protocolo de San Salvador"), en su </w:t>
      </w:r>
      <w:r>
        <w:rPr>
          <w:szCs w:val="20"/>
          <w:lang w:val="es-ES_tradnl"/>
        </w:rPr>
        <w:t xml:space="preserve">artículo </w:t>
      </w:r>
      <w:r w:rsidRPr="00E431EB">
        <w:rPr>
          <w:szCs w:val="20"/>
          <w:lang w:val="es-ES_tradnl"/>
        </w:rPr>
        <w:t xml:space="preserve">18, </w:t>
      </w:r>
      <w:proofErr w:type="spellStart"/>
      <w:r w:rsidRPr="00E431EB">
        <w:rPr>
          <w:szCs w:val="20"/>
          <w:lang w:val="es-ES_tradnl"/>
        </w:rPr>
        <w:t>señala</w:t>
      </w:r>
      <w:proofErr w:type="spellEnd"/>
      <w:r w:rsidRPr="00E431EB">
        <w:rPr>
          <w:szCs w:val="20"/>
          <w:lang w:val="es-ES_tradnl"/>
        </w:rPr>
        <w:t xml:space="preserve"> que “[t]oda persona afectada por una </w:t>
      </w:r>
      <w:proofErr w:type="spellStart"/>
      <w:r w:rsidRPr="00E431EB">
        <w:rPr>
          <w:szCs w:val="20"/>
          <w:lang w:val="es-ES_tradnl"/>
        </w:rPr>
        <w:t>disminución</w:t>
      </w:r>
      <w:proofErr w:type="spellEnd"/>
      <w:r w:rsidRPr="00E431EB">
        <w:rPr>
          <w:szCs w:val="20"/>
          <w:lang w:val="es-ES_tradnl"/>
        </w:rPr>
        <w:t xml:space="preserve"> de sus capacidades </w:t>
      </w:r>
      <w:proofErr w:type="spellStart"/>
      <w:r w:rsidRPr="00E431EB">
        <w:rPr>
          <w:szCs w:val="20"/>
          <w:lang w:val="es-ES_tradnl"/>
        </w:rPr>
        <w:t>físicas</w:t>
      </w:r>
      <w:proofErr w:type="spellEnd"/>
      <w:r w:rsidRPr="00E431EB">
        <w:rPr>
          <w:szCs w:val="20"/>
          <w:lang w:val="es-ES_tradnl"/>
        </w:rPr>
        <w:t xml:space="preserve"> o mentales tiene derecho a recibir una atención especial con el fin de alcanzar el </w:t>
      </w:r>
      <w:proofErr w:type="spellStart"/>
      <w:r w:rsidRPr="00E431EB">
        <w:rPr>
          <w:szCs w:val="20"/>
          <w:lang w:val="es-ES_tradnl"/>
        </w:rPr>
        <w:t>máximo</w:t>
      </w:r>
      <w:proofErr w:type="spellEnd"/>
      <w:r w:rsidRPr="00E431EB">
        <w:rPr>
          <w:szCs w:val="20"/>
          <w:lang w:val="es-ES_tradnl"/>
        </w:rPr>
        <w:t xml:space="preserve"> desarrollo de su personalidad”.</w:t>
      </w:r>
    </w:p>
    <w:p w14:paraId="5858DA6D" w14:textId="26532788" w:rsidR="007269CF" w:rsidRPr="00E431EB" w:rsidRDefault="007269CF" w:rsidP="00E431EB">
      <w:pPr>
        <w:rPr>
          <w:szCs w:val="20"/>
          <w:lang w:val="es-ES_tradnl"/>
        </w:rPr>
      </w:pPr>
      <w:r w:rsidRPr="00E431EB">
        <w:rPr>
          <w:szCs w:val="20"/>
          <w:lang w:val="es-ES_tradnl"/>
        </w:rPr>
        <w:t xml:space="preserve">75. Posteriormente, en 1999 se adoptó la Convención Interamericana para la </w:t>
      </w:r>
      <w:proofErr w:type="spellStart"/>
      <w:r w:rsidRPr="00E431EB">
        <w:rPr>
          <w:szCs w:val="20"/>
          <w:lang w:val="es-ES_tradnl"/>
        </w:rPr>
        <w:t>Eliminación</w:t>
      </w:r>
      <w:proofErr w:type="spellEnd"/>
      <w:r w:rsidRPr="00E431EB">
        <w:rPr>
          <w:szCs w:val="20"/>
          <w:lang w:val="es-ES_tradnl"/>
        </w:rPr>
        <w:t xml:space="preserve"> de todas las Formas de Discriminación contra las Personas con Discapacidad (en adelante “CIADDIS”), la cual indica en su </w:t>
      </w:r>
      <w:proofErr w:type="spellStart"/>
      <w:r w:rsidRPr="00E431EB">
        <w:rPr>
          <w:szCs w:val="20"/>
          <w:lang w:val="es-ES_tradnl"/>
        </w:rPr>
        <w:t>Preámbulo</w:t>
      </w:r>
      <w:proofErr w:type="spellEnd"/>
      <w:r w:rsidRPr="00E431EB">
        <w:rPr>
          <w:szCs w:val="20"/>
          <w:lang w:val="es-ES_tradnl"/>
        </w:rPr>
        <w:t xml:space="preserve"> que los Estados Partes reafirman “que las personas con discapacidad tienen los mismos derechos humanos y libertades fundamentales que otras personas; y que estos derechos, incluido el de no verse sometidos a discriminación fundamentada en la discapacidad, dimanan de la dignidad y la igualdad que son inherentes a todo ser humano”.</w:t>
      </w:r>
    </w:p>
    <w:p w14:paraId="63C064F5" w14:textId="20313366" w:rsidR="007269CF" w:rsidRPr="00E431EB" w:rsidRDefault="007269CF" w:rsidP="00E431EB">
      <w:pPr>
        <w:rPr>
          <w:szCs w:val="20"/>
          <w:lang w:val="es-ES_tradnl"/>
        </w:rPr>
      </w:pPr>
      <w:r w:rsidRPr="00E431EB">
        <w:rPr>
          <w:szCs w:val="20"/>
          <w:lang w:val="es-ES_tradnl"/>
        </w:rPr>
        <w:t xml:space="preserve">76. En el marco del Sistema Universal de Protección de Derechos Humanos, la Asamblea General de Naciones Unidas ha resaltado en diversas ocasiones que la discapacidad de una persona no puede ser motivo de discriminación. El </w:t>
      </w:r>
      <w:proofErr w:type="spellStart"/>
      <w:r w:rsidRPr="00E431EB">
        <w:rPr>
          <w:szCs w:val="20"/>
          <w:lang w:val="es-ES_tradnl"/>
        </w:rPr>
        <w:t>Comite</w:t>
      </w:r>
      <w:proofErr w:type="spellEnd"/>
      <w:r w:rsidRPr="00E431EB">
        <w:rPr>
          <w:szCs w:val="20"/>
          <w:lang w:val="es-ES_tradnl"/>
        </w:rPr>
        <w:t xml:space="preserve">́ de Derechos </w:t>
      </w:r>
      <w:proofErr w:type="spellStart"/>
      <w:r w:rsidRPr="00E431EB">
        <w:rPr>
          <w:szCs w:val="20"/>
          <w:lang w:val="es-ES_tradnl"/>
        </w:rPr>
        <w:t>Económicos</w:t>
      </w:r>
      <w:proofErr w:type="spellEnd"/>
      <w:r w:rsidRPr="00E431EB">
        <w:rPr>
          <w:szCs w:val="20"/>
          <w:lang w:val="es-ES_tradnl"/>
        </w:rPr>
        <w:t xml:space="preserve">, Sociales y Culturales ha calificado la discapacidad como una de las </w:t>
      </w:r>
      <w:proofErr w:type="spellStart"/>
      <w:r w:rsidRPr="00E431EB">
        <w:rPr>
          <w:szCs w:val="20"/>
          <w:lang w:val="es-ES_tradnl"/>
        </w:rPr>
        <w:t>categorías</w:t>
      </w:r>
      <w:proofErr w:type="spellEnd"/>
      <w:r w:rsidRPr="00E431EB">
        <w:rPr>
          <w:szCs w:val="20"/>
          <w:lang w:val="es-ES_tradnl"/>
        </w:rPr>
        <w:t xml:space="preserve"> de discriminación prohibida consideradas en artículo 2.2 del Pacto Internacional de Derechos </w:t>
      </w:r>
      <w:proofErr w:type="spellStart"/>
      <w:r w:rsidRPr="00E431EB">
        <w:rPr>
          <w:szCs w:val="20"/>
          <w:lang w:val="es-ES_tradnl"/>
        </w:rPr>
        <w:t>Económicos</w:t>
      </w:r>
      <w:proofErr w:type="spellEnd"/>
      <w:r w:rsidRPr="00E431EB">
        <w:rPr>
          <w:szCs w:val="20"/>
          <w:lang w:val="es-ES_tradnl"/>
        </w:rPr>
        <w:t xml:space="preserve">, Sociales y Culturales, </w:t>
      </w:r>
      <w:proofErr w:type="spellStart"/>
      <w:r w:rsidRPr="00E431EB">
        <w:rPr>
          <w:szCs w:val="20"/>
          <w:lang w:val="es-ES_tradnl"/>
        </w:rPr>
        <w:t>enmarcándola</w:t>
      </w:r>
      <w:proofErr w:type="spellEnd"/>
      <w:r w:rsidRPr="00E431EB">
        <w:rPr>
          <w:szCs w:val="20"/>
          <w:lang w:val="es-ES_tradnl"/>
        </w:rPr>
        <w:t xml:space="preserve"> bajo “otra condición social”.</w:t>
      </w:r>
    </w:p>
    <w:p w14:paraId="66EDF147" w14:textId="409E3CE8" w:rsidR="007269CF" w:rsidRPr="00E431EB" w:rsidRDefault="007269CF" w:rsidP="00E431EB">
      <w:pPr>
        <w:rPr>
          <w:szCs w:val="20"/>
          <w:lang w:val="es-ES_tradnl"/>
        </w:rPr>
      </w:pPr>
      <w:r w:rsidRPr="00E431EB">
        <w:rPr>
          <w:szCs w:val="20"/>
          <w:lang w:val="es-ES_tradnl"/>
        </w:rPr>
        <w:t xml:space="preserve">77. La Convención sobre los Derechos del </w:t>
      </w:r>
      <w:proofErr w:type="spellStart"/>
      <w:r w:rsidRPr="00E431EB">
        <w:rPr>
          <w:szCs w:val="20"/>
          <w:lang w:val="es-ES_tradnl"/>
        </w:rPr>
        <w:t>Niño</w:t>
      </w:r>
      <w:proofErr w:type="spellEnd"/>
      <w:r w:rsidRPr="00E431EB">
        <w:rPr>
          <w:szCs w:val="20"/>
          <w:lang w:val="es-ES_tradnl"/>
        </w:rPr>
        <w:t xml:space="preserve">, que entró en vigor el 2 de septiembre de 1990, fue el primer tratado del sistema universal en incluir expresamente la discapacidad como una de las </w:t>
      </w:r>
      <w:proofErr w:type="spellStart"/>
      <w:r w:rsidRPr="00E431EB">
        <w:rPr>
          <w:szCs w:val="20"/>
          <w:lang w:val="es-ES_tradnl"/>
        </w:rPr>
        <w:t>categorías</w:t>
      </w:r>
      <w:proofErr w:type="spellEnd"/>
      <w:r w:rsidRPr="00E431EB">
        <w:rPr>
          <w:szCs w:val="20"/>
          <w:lang w:val="es-ES_tradnl"/>
        </w:rPr>
        <w:t xml:space="preserve"> protegidas dentro de su artículo que </w:t>
      </w:r>
      <w:proofErr w:type="spellStart"/>
      <w:r w:rsidRPr="00E431EB">
        <w:rPr>
          <w:szCs w:val="20"/>
          <w:lang w:val="es-ES_tradnl"/>
        </w:rPr>
        <w:t>prohíbe</w:t>
      </w:r>
      <w:proofErr w:type="spellEnd"/>
      <w:r w:rsidRPr="00E431EB">
        <w:rPr>
          <w:szCs w:val="20"/>
          <w:lang w:val="es-ES_tradnl"/>
        </w:rPr>
        <w:t xml:space="preserve"> la discriminación. Posteriormente, el 3 de mayo de 2008, entró en vigor la Convención sobre los Derechos de las Personas con Discapacidad (en adelante “CDPD”) la cual establece la no discriminación como uno de sus principios generales y </w:t>
      </w:r>
      <w:proofErr w:type="spellStart"/>
      <w:r w:rsidRPr="00E431EB">
        <w:rPr>
          <w:szCs w:val="20"/>
          <w:lang w:val="es-ES_tradnl"/>
        </w:rPr>
        <w:t>prohíbe</w:t>
      </w:r>
      <w:proofErr w:type="spellEnd"/>
      <w:r w:rsidRPr="00E431EB">
        <w:rPr>
          <w:szCs w:val="20"/>
          <w:lang w:val="es-ES_tradnl"/>
        </w:rPr>
        <w:t xml:space="preserve"> toda discriminación por motivos de discapacidad.</w:t>
      </w:r>
    </w:p>
    <w:p w14:paraId="514E2EAC" w14:textId="77777777" w:rsidR="007269CF" w:rsidRPr="00E431EB" w:rsidRDefault="007269CF" w:rsidP="00E431EB">
      <w:pPr>
        <w:rPr>
          <w:szCs w:val="20"/>
          <w:lang w:val="es-ES_tradnl"/>
        </w:rPr>
      </w:pPr>
      <w:r w:rsidRPr="00E431EB">
        <w:rPr>
          <w:szCs w:val="20"/>
          <w:lang w:val="es-ES_tradnl"/>
        </w:rPr>
        <w:t xml:space="preserve">78. </w:t>
      </w:r>
      <w:proofErr w:type="spellStart"/>
      <w:r w:rsidRPr="00E431EB">
        <w:rPr>
          <w:szCs w:val="20"/>
          <w:lang w:val="es-ES_tradnl"/>
        </w:rPr>
        <w:t>Específicamente</w:t>
      </w:r>
      <w:proofErr w:type="spellEnd"/>
      <w:r w:rsidRPr="00E431EB">
        <w:rPr>
          <w:szCs w:val="20"/>
          <w:lang w:val="es-ES_tradnl"/>
        </w:rPr>
        <w:t xml:space="preserve"> en Ecuador, la </w:t>
      </w:r>
      <w:proofErr w:type="spellStart"/>
      <w:r w:rsidRPr="00E431EB">
        <w:rPr>
          <w:szCs w:val="20"/>
          <w:lang w:val="es-ES_tradnl"/>
        </w:rPr>
        <w:t>Constitución</w:t>
      </w:r>
      <w:proofErr w:type="spellEnd"/>
      <w:r w:rsidRPr="00E431EB">
        <w:rPr>
          <w:szCs w:val="20"/>
          <w:lang w:val="es-ES_tradnl"/>
        </w:rPr>
        <w:t xml:space="preserve"> de 1998, vigente al momento de los hechos, </w:t>
      </w:r>
      <w:proofErr w:type="spellStart"/>
      <w:r w:rsidRPr="00E431EB">
        <w:rPr>
          <w:szCs w:val="20"/>
          <w:lang w:val="es-ES_tradnl"/>
        </w:rPr>
        <w:t>establecía</w:t>
      </w:r>
      <w:proofErr w:type="spellEnd"/>
      <w:r w:rsidRPr="00E431EB">
        <w:rPr>
          <w:szCs w:val="20"/>
          <w:lang w:val="es-ES_tradnl"/>
        </w:rPr>
        <w:t xml:space="preserve"> en su artículo 23 que:</w:t>
      </w:r>
    </w:p>
    <w:p w14:paraId="16D72C3F" w14:textId="2EB0836D" w:rsidR="007269CF" w:rsidRPr="00E431EB" w:rsidRDefault="007269CF" w:rsidP="00E431EB">
      <w:pPr>
        <w:pStyle w:val="Citacuerpo"/>
        <w:rPr>
          <w:lang w:val="es-ES_tradnl"/>
        </w:rPr>
      </w:pPr>
      <w:r w:rsidRPr="00E431EB">
        <w:rPr>
          <w:lang w:val="es-ES_tradnl"/>
        </w:rPr>
        <w:t xml:space="preserve">La igualdad ante la ley. Todas las personas </w:t>
      </w:r>
      <w:proofErr w:type="spellStart"/>
      <w:r w:rsidRPr="00E431EB">
        <w:rPr>
          <w:lang w:val="es-ES_tradnl"/>
        </w:rPr>
        <w:t>serán</w:t>
      </w:r>
      <w:proofErr w:type="spellEnd"/>
      <w:r w:rsidRPr="00E431EB">
        <w:rPr>
          <w:lang w:val="es-ES_tradnl"/>
        </w:rPr>
        <w:t xml:space="preserve"> consideradas iguales y </w:t>
      </w:r>
      <w:proofErr w:type="spellStart"/>
      <w:r w:rsidRPr="00E431EB">
        <w:rPr>
          <w:lang w:val="es-ES_tradnl"/>
        </w:rPr>
        <w:t>gozarán</w:t>
      </w:r>
      <w:proofErr w:type="spellEnd"/>
      <w:r w:rsidRPr="00E431EB">
        <w:rPr>
          <w:lang w:val="es-ES_tradnl"/>
        </w:rPr>
        <w:t xml:space="preserve"> de los mismos derechos, libertades y oportunidades, sin discriminación en </w:t>
      </w:r>
      <w:proofErr w:type="spellStart"/>
      <w:r w:rsidRPr="00E431EB">
        <w:rPr>
          <w:lang w:val="es-ES_tradnl"/>
        </w:rPr>
        <w:t>razón</w:t>
      </w:r>
      <w:proofErr w:type="spellEnd"/>
      <w:r w:rsidRPr="00E431EB">
        <w:rPr>
          <w:lang w:val="es-ES_tradnl"/>
        </w:rPr>
        <w:t xml:space="preserve"> de nacimiento,</w:t>
      </w:r>
      <w:r>
        <w:rPr>
          <w:lang w:val="es-ES_tradnl"/>
        </w:rPr>
        <w:t xml:space="preserve"> </w:t>
      </w:r>
      <w:r w:rsidRPr="00E431EB">
        <w:rPr>
          <w:lang w:val="es-ES_tradnl"/>
        </w:rPr>
        <w:t xml:space="preserve">edad, sexo, etnia, color, origen social, idioma; </w:t>
      </w:r>
      <w:proofErr w:type="spellStart"/>
      <w:r w:rsidRPr="00E431EB">
        <w:rPr>
          <w:lang w:val="es-ES_tradnl"/>
        </w:rPr>
        <w:t>religión</w:t>
      </w:r>
      <w:proofErr w:type="spellEnd"/>
      <w:r w:rsidRPr="00E431EB">
        <w:rPr>
          <w:lang w:val="es-ES_tradnl"/>
        </w:rPr>
        <w:t xml:space="preserve">, </w:t>
      </w:r>
      <w:proofErr w:type="spellStart"/>
      <w:r w:rsidRPr="00E431EB">
        <w:rPr>
          <w:lang w:val="es-ES_tradnl"/>
        </w:rPr>
        <w:t>filiación</w:t>
      </w:r>
      <w:proofErr w:type="spellEnd"/>
      <w:r w:rsidRPr="00E431EB">
        <w:rPr>
          <w:lang w:val="es-ES_tradnl"/>
        </w:rPr>
        <w:t xml:space="preserve"> </w:t>
      </w:r>
      <w:proofErr w:type="spellStart"/>
      <w:r w:rsidRPr="00E431EB">
        <w:rPr>
          <w:lang w:val="es-ES_tradnl"/>
        </w:rPr>
        <w:t>política</w:t>
      </w:r>
      <w:proofErr w:type="spellEnd"/>
      <w:r w:rsidRPr="00E431EB">
        <w:rPr>
          <w:lang w:val="es-ES_tradnl"/>
        </w:rPr>
        <w:t xml:space="preserve">, </w:t>
      </w:r>
      <w:proofErr w:type="spellStart"/>
      <w:r w:rsidRPr="00E431EB">
        <w:rPr>
          <w:lang w:val="es-ES_tradnl"/>
        </w:rPr>
        <w:t>posición</w:t>
      </w:r>
      <w:proofErr w:type="spellEnd"/>
      <w:r w:rsidRPr="00E431EB">
        <w:rPr>
          <w:lang w:val="es-ES_tradnl"/>
        </w:rPr>
        <w:t xml:space="preserve"> </w:t>
      </w:r>
      <w:proofErr w:type="spellStart"/>
      <w:r w:rsidRPr="00E431EB">
        <w:rPr>
          <w:lang w:val="es-ES_tradnl"/>
        </w:rPr>
        <w:t>económica</w:t>
      </w:r>
      <w:proofErr w:type="spellEnd"/>
      <w:r w:rsidRPr="00E431EB">
        <w:rPr>
          <w:lang w:val="es-ES_tradnl"/>
        </w:rPr>
        <w:t xml:space="preserve">, </w:t>
      </w:r>
      <w:proofErr w:type="spellStart"/>
      <w:r w:rsidRPr="00E431EB">
        <w:rPr>
          <w:lang w:val="es-ES_tradnl"/>
        </w:rPr>
        <w:t>orientación</w:t>
      </w:r>
      <w:proofErr w:type="spellEnd"/>
      <w:r w:rsidRPr="00E431EB">
        <w:rPr>
          <w:lang w:val="es-ES_tradnl"/>
        </w:rPr>
        <w:t xml:space="preserve"> sexual; estado de salud, discapacidad, o diferencia de cualquier otra </w:t>
      </w:r>
      <w:proofErr w:type="spellStart"/>
      <w:r w:rsidRPr="00E431EB">
        <w:rPr>
          <w:lang w:val="es-ES_tradnl"/>
        </w:rPr>
        <w:t>índole</w:t>
      </w:r>
      <w:proofErr w:type="spellEnd"/>
      <w:r w:rsidRPr="00E431EB">
        <w:rPr>
          <w:lang w:val="es-ES_tradnl"/>
        </w:rPr>
        <w:t>.</w:t>
      </w:r>
    </w:p>
    <w:p w14:paraId="484227D9" w14:textId="0A871633" w:rsidR="007269CF" w:rsidRDefault="007269CF" w:rsidP="00E431EB">
      <w:pPr>
        <w:rPr>
          <w:szCs w:val="20"/>
          <w:lang w:val="es-ES_tradnl"/>
        </w:rPr>
      </w:pPr>
      <w:r w:rsidRPr="00E431EB">
        <w:rPr>
          <w:szCs w:val="20"/>
          <w:lang w:val="es-ES_tradnl"/>
        </w:rPr>
        <w:lastRenderedPageBreak/>
        <w:t xml:space="preserve">79. Teniendo en cuenta las obligaciones generales de respeto y </w:t>
      </w:r>
      <w:proofErr w:type="spellStart"/>
      <w:r w:rsidRPr="00E431EB">
        <w:rPr>
          <w:szCs w:val="20"/>
          <w:lang w:val="es-ES_tradnl"/>
        </w:rPr>
        <w:t>garantía</w:t>
      </w:r>
      <w:proofErr w:type="spellEnd"/>
      <w:r w:rsidRPr="00E431EB">
        <w:rPr>
          <w:szCs w:val="20"/>
          <w:lang w:val="es-ES_tradnl"/>
        </w:rPr>
        <w:t xml:space="preserve"> establecidas en el artículo 1.1 de la Convención Americana, los criterios de </w:t>
      </w:r>
      <w:proofErr w:type="spellStart"/>
      <w:r w:rsidRPr="00E431EB">
        <w:rPr>
          <w:szCs w:val="20"/>
          <w:lang w:val="es-ES_tradnl"/>
        </w:rPr>
        <w:t>interpretación</w:t>
      </w:r>
      <w:proofErr w:type="spellEnd"/>
      <w:r w:rsidRPr="00E431EB">
        <w:rPr>
          <w:szCs w:val="20"/>
          <w:lang w:val="es-ES_tradnl"/>
        </w:rPr>
        <w:t xml:space="preserve"> fijados en el artículo 29 de dicha Convención, lo estipulado en la Convención de Viena sobre el Derecho de los Tratados, la Convención Interamericana para la </w:t>
      </w:r>
      <w:proofErr w:type="spellStart"/>
      <w:r w:rsidRPr="00E431EB">
        <w:rPr>
          <w:szCs w:val="20"/>
          <w:lang w:val="es-ES_tradnl"/>
        </w:rPr>
        <w:t>Eliminación</w:t>
      </w:r>
      <w:proofErr w:type="spellEnd"/>
      <w:r w:rsidRPr="00E431EB">
        <w:rPr>
          <w:szCs w:val="20"/>
          <w:lang w:val="es-ES_tradnl"/>
        </w:rPr>
        <w:t xml:space="preserve"> de todas las Formas de Discriminación contra las Personas con Discapacidad, la Convención sobre los Derechos de las Personas con Discapacidad, y </w:t>
      </w:r>
      <w:proofErr w:type="spellStart"/>
      <w:r w:rsidRPr="00E431EB">
        <w:rPr>
          <w:szCs w:val="20"/>
          <w:lang w:val="es-ES_tradnl"/>
        </w:rPr>
        <w:t>demás</w:t>
      </w:r>
      <w:proofErr w:type="spellEnd"/>
      <w:r w:rsidRPr="00E431EB">
        <w:rPr>
          <w:szCs w:val="20"/>
          <w:lang w:val="es-ES_tradnl"/>
        </w:rPr>
        <w:t xml:space="preserve"> instrumentos internacionales </w:t>
      </w:r>
      <w:r w:rsidR="005B7B62">
        <w:rPr>
          <w:szCs w:val="20"/>
          <w:lang w:val="es-ES_tradnl"/>
        </w:rPr>
        <w:t>[...]</w:t>
      </w:r>
      <w:r w:rsidRPr="00E431EB">
        <w:rPr>
          <w:szCs w:val="20"/>
          <w:lang w:val="es-ES_tradnl"/>
        </w:rPr>
        <w:t xml:space="preserve">, la Corte Interamericana deja establecido que la discapacidad es una </w:t>
      </w:r>
      <w:proofErr w:type="spellStart"/>
      <w:r w:rsidRPr="00E431EB">
        <w:rPr>
          <w:szCs w:val="20"/>
          <w:lang w:val="es-ES_tradnl"/>
        </w:rPr>
        <w:t>categoría</w:t>
      </w:r>
      <w:proofErr w:type="spellEnd"/>
      <w:r w:rsidRPr="00E431EB">
        <w:rPr>
          <w:szCs w:val="20"/>
          <w:lang w:val="es-ES_tradnl"/>
        </w:rPr>
        <w:t xml:space="preserve"> protegida por la Convención Americana. Por ello está proscrita por la Convención cualquier norma, acto o </w:t>
      </w:r>
      <w:proofErr w:type="spellStart"/>
      <w:r w:rsidRPr="00E431EB">
        <w:rPr>
          <w:szCs w:val="20"/>
          <w:lang w:val="es-ES_tradnl"/>
        </w:rPr>
        <w:t>práctica</w:t>
      </w:r>
      <w:proofErr w:type="spellEnd"/>
      <w:r w:rsidRPr="00E431EB">
        <w:rPr>
          <w:szCs w:val="20"/>
          <w:lang w:val="es-ES_tradnl"/>
        </w:rPr>
        <w:t xml:space="preserve"> discriminatoria basada en la discapacidad real o percibida de la persona. En consecuencia, ninguna norma, </w:t>
      </w:r>
      <w:proofErr w:type="spellStart"/>
      <w:r w:rsidRPr="00E431EB">
        <w:rPr>
          <w:szCs w:val="20"/>
          <w:lang w:val="es-ES_tradnl"/>
        </w:rPr>
        <w:t>decisión</w:t>
      </w:r>
      <w:proofErr w:type="spellEnd"/>
      <w:r w:rsidRPr="00E431EB">
        <w:rPr>
          <w:szCs w:val="20"/>
          <w:lang w:val="es-ES_tradnl"/>
        </w:rPr>
        <w:t xml:space="preserve"> o </w:t>
      </w:r>
      <w:proofErr w:type="spellStart"/>
      <w:r w:rsidRPr="00E431EB">
        <w:rPr>
          <w:szCs w:val="20"/>
          <w:lang w:val="es-ES_tradnl"/>
        </w:rPr>
        <w:t>práctica</w:t>
      </w:r>
      <w:proofErr w:type="spellEnd"/>
      <w:r w:rsidRPr="00E431EB">
        <w:rPr>
          <w:szCs w:val="20"/>
          <w:lang w:val="es-ES_tradnl"/>
        </w:rPr>
        <w:t xml:space="preserve"> de derecho interno, sea por parte de autoridades estatales o por particulares, pueden disminuir o restringir de manera discriminatoria los derechos de una persona a partir de su discapacidad.</w:t>
      </w:r>
    </w:p>
    <w:p w14:paraId="7B6B5566" w14:textId="7918BC76" w:rsidR="00944EA9" w:rsidRDefault="00944EA9" w:rsidP="00944EA9">
      <w:pPr>
        <w:pStyle w:val="Caso"/>
        <w:rPr>
          <w:lang w:val="es-ES_tradnl"/>
        </w:rPr>
      </w:pPr>
      <w:r w:rsidRPr="00944EA9">
        <w:rPr>
          <w:lang w:val="es-ES_tradnl"/>
        </w:rPr>
        <w:t>Corte IDH. Caso Vera Rojas y otros Vs. Chile. Excepciones preliminares, Fondo, Reparaciones y Costas. Sentencia de 1 de octubre de 2021. Serie C No. 439</w:t>
      </w:r>
      <w:r w:rsidR="001710F6">
        <w:rPr>
          <w:rStyle w:val="Refdenotaalpie"/>
          <w:lang w:val="es-ES_tradnl"/>
        </w:rPr>
        <w:footnoteReference w:id="40"/>
      </w:r>
    </w:p>
    <w:p w14:paraId="6FCF19D6" w14:textId="1CA84DCB" w:rsidR="007269CF" w:rsidRPr="00944EA9" w:rsidRDefault="00944EA9" w:rsidP="00944EA9">
      <w:pPr>
        <w:rPr>
          <w:szCs w:val="20"/>
          <w:lang w:val="es-ES_tradnl"/>
        </w:rPr>
      </w:pPr>
      <w:r w:rsidRPr="00944EA9">
        <w:rPr>
          <w:szCs w:val="20"/>
          <w:lang w:val="es-ES_tradnl"/>
        </w:rPr>
        <w:t>101. En ese sentido, el Tribunal recuerda que las personas con discapacidad son titulares de</w:t>
      </w:r>
      <w:r>
        <w:rPr>
          <w:szCs w:val="20"/>
          <w:lang w:val="es-ES_tradnl"/>
        </w:rPr>
        <w:t xml:space="preserve"> </w:t>
      </w:r>
      <w:r w:rsidRPr="00944EA9">
        <w:rPr>
          <w:szCs w:val="20"/>
          <w:lang w:val="es-ES_tradnl"/>
        </w:rPr>
        <w:t>los derechos establecidos en la Convención Americana. La Corte ha establecido que la</w:t>
      </w:r>
      <w:r>
        <w:rPr>
          <w:szCs w:val="20"/>
          <w:lang w:val="es-ES_tradnl"/>
        </w:rPr>
        <w:t xml:space="preserve"> </w:t>
      </w:r>
      <w:r w:rsidRPr="00944EA9">
        <w:rPr>
          <w:szCs w:val="20"/>
          <w:lang w:val="es-ES_tradnl"/>
        </w:rPr>
        <w:t xml:space="preserve">discapacidad es una </w:t>
      </w:r>
      <w:proofErr w:type="spellStart"/>
      <w:r w:rsidRPr="00944EA9">
        <w:rPr>
          <w:szCs w:val="20"/>
          <w:lang w:val="es-ES_tradnl"/>
        </w:rPr>
        <w:t>categoría</w:t>
      </w:r>
      <w:proofErr w:type="spellEnd"/>
      <w:r w:rsidRPr="00944EA9">
        <w:rPr>
          <w:szCs w:val="20"/>
          <w:lang w:val="es-ES_tradnl"/>
        </w:rPr>
        <w:t xml:space="preserve"> protegida en </w:t>
      </w:r>
      <w:proofErr w:type="spellStart"/>
      <w:r w:rsidRPr="00944EA9">
        <w:rPr>
          <w:szCs w:val="20"/>
          <w:lang w:val="es-ES_tradnl"/>
        </w:rPr>
        <w:t>términos</w:t>
      </w:r>
      <w:proofErr w:type="spellEnd"/>
      <w:r w:rsidRPr="00944EA9">
        <w:rPr>
          <w:szCs w:val="20"/>
          <w:lang w:val="es-ES_tradnl"/>
        </w:rPr>
        <w:t xml:space="preserve"> del artículo 1.1 de la Convención</w:t>
      </w:r>
      <w:r>
        <w:rPr>
          <w:szCs w:val="20"/>
          <w:lang w:val="es-ES_tradnl"/>
        </w:rPr>
        <w:t xml:space="preserve"> </w:t>
      </w:r>
      <w:r w:rsidRPr="00944EA9">
        <w:rPr>
          <w:szCs w:val="20"/>
          <w:lang w:val="es-ES_tradnl"/>
        </w:rPr>
        <w:t xml:space="preserve">Americana, por lo que está proscrita cualquier norma, acto o </w:t>
      </w:r>
      <w:proofErr w:type="spellStart"/>
      <w:r w:rsidRPr="00944EA9">
        <w:rPr>
          <w:szCs w:val="20"/>
          <w:lang w:val="es-ES_tradnl"/>
        </w:rPr>
        <w:t>práctica</w:t>
      </w:r>
      <w:proofErr w:type="spellEnd"/>
      <w:r w:rsidRPr="00944EA9">
        <w:rPr>
          <w:szCs w:val="20"/>
          <w:lang w:val="es-ES_tradnl"/>
        </w:rPr>
        <w:t xml:space="preserve"> discriminatoria basada en</w:t>
      </w:r>
      <w:r>
        <w:rPr>
          <w:szCs w:val="20"/>
          <w:lang w:val="es-ES_tradnl"/>
        </w:rPr>
        <w:t xml:space="preserve"> </w:t>
      </w:r>
      <w:r w:rsidRPr="00944EA9">
        <w:rPr>
          <w:szCs w:val="20"/>
          <w:lang w:val="es-ES_tradnl"/>
        </w:rPr>
        <w:t xml:space="preserve">la discapacidad real o percibida de la persona. En consecuencia, ninguna norma, </w:t>
      </w:r>
      <w:proofErr w:type="spellStart"/>
      <w:r w:rsidRPr="00944EA9">
        <w:rPr>
          <w:szCs w:val="20"/>
          <w:lang w:val="es-ES_tradnl"/>
        </w:rPr>
        <w:t>decisión</w:t>
      </w:r>
      <w:proofErr w:type="spellEnd"/>
      <w:r w:rsidRPr="00944EA9">
        <w:rPr>
          <w:szCs w:val="20"/>
          <w:lang w:val="es-ES_tradnl"/>
        </w:rPr>
        <w:t xml:space="preserve"> o</w:t>
      </w:r>
      <w:r>
        <w:rPr>
          <w:szCs w:val="20"/>
          <w:lang w:val="es-ES_tradnl"/>
        </w:rPr>
        <w:t xml:space="preserve"> </w:t>
      </w:r>
      <w:proofErr w:type="spellStart"/>
      <w:r w:rsidRPr="00944EA9">
        <w:rPr>
          <w:szCs w:val="20"/>
          <w:lang w:val="es-ES_tradnl"/>
        </w:rPr>
        <w:t>práctica</w:t>
      </w:r>
      <w:proofErr w:type="spellEnd"/>
      <w:r w:rsidRPr="00944EA9">
        <w:rPr>
          <w:szCs w:val="20"/>
          <w:lang w:val="es-ES_tradnl"/>
        </w:rPr>
        <w:t xml:space="preserve"> de derecho interno, sea por parte de autoridades estatales o por particulares, pueden</w:t>
      </w:r>
      <w:r>
        <w:rPr>
          <w:szCs w:val="20"/>
          <w:lang w:val="es-ES_tradnl"/>
        </w:rPr>
        <w:t xml:space="preserve"> </w:t>
      </w:r>
      <w:r w:rsidRPr="00944EA9">
        <w:rPr>
          <w:szCs w:val="20"/>
          <w:lang w:val="es-ES_tradnl"/>
        </w:rPr>
        <w:t>disminuir o restringir de manera discriminatoria los derechos de una persona a partir de su</w:t>
      </w:r>
      <w:r>
        <w:rPr>
          <w:szCs w:val="20"/>
          <w:lang w:val="es-ES_tradnl"/>
        </w:rPr>
        <w:t xml:space="preserve"> </w:t>
      </w:r>
      <w:r w:rsidRPr="00944EA9">
        <w:rPr>
          <w:szCs w:val="20"/>
          <w:lang w:val="es-ES_tradnl"/>
        </w:rPr>
        <w:t xml:space="preserve">discapacidad. Asimismo, la Corte ha </w:t>
      </w:r>
      <w:proofErr w:type="spellStart"/>
      <w:r w:rsidRPr="00944EA9">
        <w:rPr>
          <w:szCs w:val="20"/>
          <w:lang w:val="es-ES_tradnl"/>
        </w:rPr>
        <w:t>señalado</w:t>
      </w:r>
      <w:proofErr w:type="spellEnd"/>
      <w:r w:rsidRPr="00944EA9">
        <w:rPr>
          <w:szCs w:val="20"/>
          <w:lang w:val="es-ES_tradnl"/>
        </w:rPr>
        <w:t xml:space="preserve"> que los Estados deben proporcionar los</w:t>
      </w:r>
      <w:r>
        <w:rPr>
          <w:szCs w:val="20"/>
          <w:lang w:val="es-ES_tradnl"/>
        </w:rPr>
        <w:t xml:space="preserve"> </w:t>
      </w:r>
      <w:r w:rsidRPr="00944EA9">
        <w:rPr>
          <w:szCs w:val="20"/>
          <w:lang w:val="es-ES_tradnl"/>
        </w:rPr>
        <w:t xml:space="preserve">servicios de salud necesarios para prevenir posibles discapacidades, </w:t>
      </w:r>
      <w:proofErr w:type="spellStart"/>
      <w:r w:rsidRPr="00944EA9">
        <w:rPr>
          <w:szCs w:val="20"/>
          <w:lang w:val="es-ES_tradnl"/>
        </w:rPr>
        <w:t>asi</w:t>
      </w:r>
      <w:proofErr w:type="spellEnd"/>
      <w:r w:rsidRPr="00944EA9">
        <w:rPr>
          <w:szCs w:val="20"/>
          <w:lang w:val="es-ES_tradnl"/>
        </w:rPr>
        <w:t>́ como prevenir y reducir</w:t>
      </w:r>
      <w:r>
        <w:rPr>
          <w:szCs w:val="20"/>
          <w:lang w:val="es-ES_tradnl"/>
        </w:rPr>
        <w:t xml:space="preserve"> </w:t>
      </w:r>
      <w:r w:rsidRPr="00944EA9">
        <w:rPr>
          <w:szCs w:val="20"/>
          <w:lang w:val="es-ES_tradnl"/>
        </w:rPr>
        <w:t xml:space="preserve">al </w:t>
      </w:r>
      <w:proofErr w:type="spellStart"/>
      <w:r w:rsidRPr="00944EA9">
        <w:rPr>
          <w:szCs w:val="20"/>
          <w:lang w:val="es-ES_tradnl"/>
        </w:rPr>
        <w:t>máximo</w:t>
      </w:r>
      <w:proofErr w:type="spellEnd"/>
      <w:r w:rsidRPr="00944EA9">
        <w:rPr>
          <w:szCs w:val="20"/>
          <w:lang w:val="es-ES_tradnl"/>
        </w:rPr>
        <w:t xml:space="preserve"> la </w:t>
      </w:r>
      <w:proofErr w:type="spellStart"/>
      <w:r w:rsidRPr="00944EA9">
        <w:rPr>
          <w:szCs w:val="20"/>
          <w:lang w:val="es-ES_tradnl"/>
        </w:rPr>
        <w:t>aparición</w:t>
      </w:r>
      <w:proofErr w:type="spellEnd"/>
      <w:r w:rsidRPr="00944EA9">
        <w:rPr>
          <w:szCs w:val="20"/>
          <w:lang w:val="es-ES_tradnl"/>
        </w:rPr>
        <w:t xml:space="preserve"> de nuevas discapacidades.</w:t>
      </w:r>
      <w:r w:rsidR="007269CF" w:rsidRPr="00BB63D0">
        <w:rPr>
          <w:szCs w:val="20"/>
        </w:rPr>
        <w:br w:type="page"/>
      </w:r>
    </w:p>
    <w:p w14:paraId="43DB229C" w14:textId="77777777" w:rsidR="007269CF" w:rsidRDefault="007269CF" w:rsidP="00326300">
      <w:pPr>
        <w:pStyle w:val="Ttulo1"/>
      </w:pPr>
    </w:p>
    <w:p w14:paraId="771F2CB6" w14:textId="47A5EF53" w:rsidR="007269CF" w:rsidRPr="00BB63D0" w:rsidRDefault="007269CF" w:rsidP="00326300">
      <w:pPr>
        <w:pStyle w:val="Ttulo1"/>
      </w:pPr>
      <w:bookmarkStart w:id="24" w:name="_Toc89017880"/>
      <w:r w:rsidRPr="00BB63D0">
        <w:t>3.</w:t>
      </w:r>
      <w:r w:rsidRPr="00BB63D0">
        <w:tab/>
        <w:t xml:space="preserve">La utilización de estereotipos como forma de </w:t>
      </w:r>
      <w:r w:rsidRPr="00326300">
        <w:t>discriminación</w:t>
      </w:r>
      <w:bookmarkEnd w:id="24"/>
      <w:r w:rsidRPr="00BB63D0">
        <w:tab/>
      </w:r>
    </w:p>
    <w:p w14:paraId="020339A2" w14:textId="16F6FC2B" w:rsidR="007269CF" w:rsidRPr="00BB63D0" w:rsidRDefault="007269CF" w:rsidP="00BB63D0">
      <w:pPr>
        <w:rPr>
          <w:szCs w:val="20"/>
          <w:lang w:val="es-ES_tradnl"/>
        </w:rPr>
      </w:pPr>
      <w:r w:rsidRPr="00BB63D0">
        <w:rPr>
          <w:szCs w:val="20"/>
          <w:lang w:val="es-ES_tradnl"/>
        </w:rPr>
        <w:t xml:space="preserve">En este tercer apartado se exponen los párrafos de la jurisprudencia de la Corte IDH que tratan sobre la utilización de estereotipos. </w:t>
      </w:r>
    </w:p>
    <w:p w14:paraId="6FA30DCF" w14:textId="74792F78" w:rsidR="007269CF" w:rsidRPr="00326300" w:rsidRDefault="007269CF" w:rsidP="00326300">
      <w:pPr>
        <w:pStyle w:val="Ttulo2"/>
      </w:pPr>
      <w:bookmarkStart w:id="25" w:name="_Toc89017881"/>
      <w:r w:rsidRPr="00BB63D0">
        <w:t>Aplicación de estereotipos de género en forma genérica y en las investigaciones</w:t>
      </w:r>
      <w:bookmarkEnd w:id="25"/>
    </w:p>
    <w:p w14:paraId="5D55C093" w14:textId="77777777" w:rsidR="007269CF" w:rsidRPr="00BB63D0" w:rsidRDefault="007269CF" w:rsidP="00BB63D0">
      <w:pPr>
        <w:pStyle w:val="Sinespaciado"/>
        <w:rPr>
          <w:szCs w:val="20"/>
        </w:rPr>
      </w:pPr>
    </w:p>
    <w:p w14:paraId="3DC9A357" w14:textId="1A263EC2" w:rsidR="007269CF" w:rsidRPr="00BB63D0" w:rsidRDefault="007269CF" w:rsidP="00BB63D0">
      <w:pPr>
        <w:rPr>
          <w:b/>
          <w:szCs w:val="20"/>
        </w:rPr>
      </w:pPr>
      <w:r w:rsidRPr="00BB63D0">
        <w:rPr>
          <w:b/>
          <w:szCs w:val="20"/>
        </w:rPr>
        <w:t>Corte IDH. Caso González y otras (“Campo Algodonero”) Vs. México. Excepción Preliminar, Fondo, Reparaciones y Costas. Sentencia de 16 de noviembre de 2009. Serie C No. 205</w:t>
      </w:r>
      <w:r w:rsidRPr="00A71BEA">
        <w:rPr>
          <w:b/>
          <w:szCs w:val="20"/>
          <w:vertAlign w:val="superscript"/>
        </w:rPr>
        <w:footnoteReference w:id="41"/>
      </w:r>
    </w:p>
    <w:p w14:paraId="7B8C1592" w14:textId="77777777" w:rsidR="007269CF" w:rsidRPr="00BB63D0" w:rsidRDefault="007269CF" w:rsidP="00BB63D0">
      <w:pPr>
        <w:rPr>
          <w:szCs w:val="20"/>
        </w:rPr>
      </w:pPr>
      <w:r w:rsidRPr="00BB63D0">
        <w:rPr>
          <w:szCs w:val="20"/>
        </w:rPr>
        <w:t>401.</w:t>
      </w:r>
      <w:r w:rsidRPr="00BB63D0">
        <w:rPr>
          <w:szCs w:val="20"/>
        </w:rPr>
        <w:tab/>
        <w:t>En similar forma, el Tribunal considera que el estereotipo de género se refiere a una pre-concepción de atributos o características poseídas o papeles que son o deberían ser ejecutados por hombres y mujeres respectivamente. Teniendo en cuenta las manifestaciones efectuadas por el Estado […], es posible asociar la subordinación de la mujer a prácticas basadas en estereotipos de género socialmente dominantes y socialmente persistentes, condiciones que se agravan cuando los estereotipos se reflejan, implícita o explícitamente, en políticas y prácticas, particularmente en el razonamiento y el lenguaje de las autoridades de policía judicial, como ocurrió en el presente caso. La creación y uso de estereotipos se convierte en una de las causas y consecuencias de la violencia de género en contra de la mujer.</w:t>
      </w:r>
    </w:p>
    <w:p w14:paraId="4824817E" w14:textId="77777777" w:rsidR="007269CF" w:rsidRPr="00BB63D0" w:rsidRDefault="007269CF" w:rsidP="00BB63D0">
      <w:pPr>
        <w:rPr>
          <w:b/>
          <w:szCs w:val="20"/>
        </w:rPr>
      </w:pPr>
      <w:r w:rsidRPr="00BB63D0">
        <w:rPr>
          <w:b/>
          <w:szCs w:val="20"/>
        </w:rPr>
        <w:t>Corte IDH. Caso Artavia Murillo y otros ("Fecundación in vitro") Vs. Costa Rica. Excepciones Preliminares, Fondo, Reparaciones y Costas Sentencia de 28 noviembre de 2012. Serie C No. 257</w:t>
      </w:r>
    </w:p>
    <w:p w14:paraId="3B889790" w14:textId="77777777" w:rsidR="007269CF" w:rsidRPr="00BB63D0" w:rsidRDefault="007269CF" w:rsidP="00BB63D0">
      <w:pPr>
        <w:rPr>
          <w:szCs w:val="20"/>
        </w:rPr>
      </w:pPr>
      <w:r w:rsidRPr="00BB63D0">
        <w:rPr>
          <w:szCs w:val="20"/>
        </w:rPr>
        <w:t>294.</w:t>
      </w:r>
      <w:r w:rsidRPr="00BB63D0">
        <w:rPr>
          <w:szCs w:val="20"/>
        </w:rPr>
        <w:tab/>
        <w:t xml:space="preserve">La Corte </w:t>
      </w:r>
      <w:r w:rsidRPr="00326300">
        <w:rPr>
          <w:szCs w:val="20"/>
        </w:rPr>
        <w:t xml:space="preserve">considera que la prohibición de la FIV puede afectar tanto a hombres como a mujeres y les puede producir impactos desproporcionados diferenciados por la existencia de estereotipos y prejuicios en la sociedad. </w:t>
      </w:r>
    </w:p>
    <w:p w14:paraId="022B5286" w14:textId="77777777" w:rsidR="007269CF" w:rsidRPr="00BB63D0" w:rsidRDefault="007269CF" w:rsidP="00BB63D0">
      <w:pPr>
        <w:rPr>
          <w:szCs w:val="20"/>
        </w:rPr>
      </w:pPr>
      <w:r w:rsidRPr="00BB63D0">
        <w:rPr>
          <w:szCs w:val="20"/>
        </w:rPr>
        <w:t>296.</w:t>
      </w:r>
      <w:r w:rsidRPr="00BB63D0">
        <w:rPr>
          <w:szCs w:val="20"/>
        </w:rPr>
        <w:tab/>
        <w:t>La Corte observa que la OMS ha señalado que si bien el papel y la condición de la mujer en la sociedad no deberían ser definidos únicamente por su capacidad reproductiva, la feminidad es definida muchas veces a través de la maternidad. En estas situaciones el sufrimiento personal de la mujer infecunda es exacerbado y puede conducir a la inestabilidad del matrimonio, a la violencia domestica, la estigmatización e incluso el ostracismo. Según datos de la Organización Panamericana de la Salud, existe una brecha de género con respecto a la salud sexual y reproductiva, por cuanto las enfermedades relacionadas con la salud sexual y reproductiva tienen el impacto en aproximadamente el 20% entre las mujeres y el 14% de los hombres.</w:t>
      </w:r>
    </w:p>
    <w:p w14:paraId="53097EAC" w14:textId="109ABC12" w:rsidR="007269CF" w:rsidRPr="00BB63D0" w:rsidRDefault="007269CF" w:rsidP="00BB63D0">
      <w:pPr>
        <w:rPr>
          <w:szCs w:val="20"/>
        </w:rPr>
      </w:pPr>
      <w:r w:rsidRPr="00BB63D0">
        <w:rPr>
          <w:szCs w:val="20"/>
        </w:rPr>
        <w:lastRenderedPageBreak/>
        <w:t>297.</w:t>
      </w:r>
      <w:r w:rsidRPr="00BB63D0">
        <w:rPr>
          <w:szCs w:val="20"/>
        </w:rPr>
        <w:tab/>
        <w:t xml:space="preserve">El Comité para la Eliminación de la Discriminación de la Mujer ha señalado que cuando una "decisión de aplazar la intervención quirúrgica debido al embarazo estuvo influenciada por el estereotipo de que la protección del feto debe prevalecer sobre la salud de la madre”, ésta resulta discriminatoria. La Corte considera que en el presente caso se está ante una situación parecida de influencia de estereotipos, en la cual la Sala Constitucional dio prevalencia absoluta a la protección de los óvulos fecundados sin considerar la situación de discapacidad de algunas de las mujeres. </w:t>
      </w:r>
    </w:p>
    <w:p w14:paraId="2E4D7BD5" w14:textId="77777777" w:rsidR="007269CF" w:rsidRPr="00BB63D0" w:rsidRDefault="007269CF" w:rsidP="00BB63D0">
      <w:pPr>
        <w:rPr>
          <w:szCs w:val="20"/>
        </w:rPr>
      </w:pPr>
      <w:r w:rsidRPr="00BB63D0">
        <w:rPr>
          <w:szCs w:val="20"/>
        </w:rPr>
        <w:t>298.</w:t>
      </w:r>
      <w:r w:rsidRPr="00BB63D0">
        <w:rPr>
          <w:szCs w:val="20"/>
        </w:rPr>
        <w:tab/>
        <w:t xml:space="preserve">Por otra parte, la perita </w:t>
      </w:r>
      <w:proofErr w:type="spellStart"/>
      <w:r w:rsidRPr="00BB63D0">
        <w:rPr>
          <w:szCs w:val="20"/>
        </w:rPr>
        <w:t>Neuburger</w:t>
      </w:r>
      <w:proofErr w:type="spellEnd"/>
      <w:r w:rsidRPr="00BB63D0">
        <w:rPr>
          <w:szCs w:val="20"/>
        </w:rPr>
        <w:t xml:space="preserve"> explicó que “[e]l modelo de identidad de género es definido socialmente y moldeado por la cultura; su posterior naturalización obedece a determinantes socioeconómicos, políticos, culturales e históricos. Según estos determinantes, las mujeres son criadas y socializadas para ser esposas y madres, para cuidar y atender el mundo íntimo de los afectos. El ideal de mujer aún en nuestros días se encarna en la entrega y el sacrificio, y como culminación de estos valores, se concreta en la maternidad y en su capacidad de dar a luz. […] La capacidad fértil de la mujer es considerada todavía hoy, por una buena parte de la sociedad, como algo natural, que no admite dudas. Cuando una mujer tiene dificultades fértiles o no puede embarazarse, la reacción social suele ser de desconfianza, de descalificación y en ocasiones hasta de maltrato. […] El impacto de la incapacidad fértil en las mujeres suele ser mayor que en los hombres, porque […] la maternidad le[s] ha sido asignada como una parte fundante de su identidad de género y transformada en su destino. El peso de su </w:t>
      </w:r>
      <w:proofErr w:type="spellStart"/>
      <w:r w:rsidRPr="00BB63D0">
        <w:rPr>
          <w:szCs w:val="20"/>
        </w:rPr>
        <w:t>autoculpabilización</w:t>
      </w:r>
      <w:proofErr w:type="spellEnd"/>
      <w:r w:rsidRPr="00BB63D0">
        <w:rPr>
          <w:szCs w:val="20"/>
        </w:rPr>
        <w:t xml:space="preserve"> aumenta en un grado extremo cuando surge la prohibición de la FIV […]. Las presiones familiares y sociales constituyen una carga adicional que incrementa la </w:t>
      </w:r>
      <w:proofErr w:type="spellStart"/>
      <w:r w:rsidRPr="00BB63D0">
        <w:rPr>
          <w:szCs w:val="20"/>
        </w:rPr>
        <w:t>autoculpabilización</w:t>
      </w:r>
      <w:proofErr w:type="spellEnd"/>
      <w:r w:rsidRPr="00BB63D0">
        <w:rPr>
          <w:szCs w:val="20"/>
        </w:rPr>
        <w:t xml:space="preserve">”. </w:t>
      </w:r>
    </w:p>
    <w:p w14:paraId="6D9461B5" w14:textId="77777777" w:rsidR="007269CF" w:rsidRPr="00BB63D0" w:rsidRDefault="007269CF" w:rsidP="00BB63D0">
      <w:pPr>
        <w:rPr>
          <w:szCs w:val="20"/>
        </w:rPr>
      </w:pPr>
      <w:r w:rsidRPr="00BB63D0">
        <w:rPr>
          <w:szCs w:val="20"/>
        </w:rPr>
        <w:t>299.</w:t>
      </w:r>
      <w:r w:rsidRPr="00BB63D0">
        <w:rPr>
          <w:szCs w:val="20"/>
        </w:rPr>
        <w:tab/>
        <w:t xml:space="preserve">Por otra parte, si bien la infertilidad puede afectar a hombres y mujeres, la utilización de las tecnologías de reproducción asistida se relaciona especialmente con el cuerpo de las mujeres. Aunque la prohibición de la FIV no está expresamente dirigida hacia las mujeres, y por lo tanto aparece neutral, tiene un impacto negativo desproporcional sobre ellas. </w:t>
      </w:r>
    </w:p>
    <w:p w14:paraId="707559F5" w14:textId="77777777" w:rsidR="007269CF" w:rsidRPr="00BB63D0" w:rsidRDefault="007269CF" w:rsidP="00BB63D0">
      <w:pPr>
        <w:rPr>
          <w:szCs w:val="20"/>
        </w:rPr>
      </w:pPr>
      <w:r w:rsidRPr="00BB63D0">
        <w:rPr>
          <w:szCs w:val="20"/>
        </w:rPr>
        <w:t>302.</w:t>
      </w:r>
      <w:r w:rsidRPr="00BB63D0">
        <w:rPr>
          <w:szCs w:val="20"/>
        </w:rPr>
        <w:tab/>
        <w:t>La Corte resalta que estos estereotipos de género son incompatibles con el derecho internacional de los derechos humanos y se deben tomar medidas para erradicarlos. El Tribunal no está validando dichos estereotipos y tan sólo los reconoce y visibiliza para precisar el impacto desproporcionado de la interferencia generada por la sentencia de la Sala Constitucional.</w:t>
      </w:r>
    </w:p>
    <w:p w14:paraId="221CD90E" w14:textId="4E79998C" w:rsidR="007269CF" w:rsidRPr="00BB63D0" w:rsidRDefault="007269CF" w:rsidP="00BB63D0">
      <w:pPr>
        <w:rPr>
          <w:b/>
          <w:szCs w:val="20"/>
        </w:rPr>
      </w:pPr>
      <w:r w:rsidRPr="00BB63D0">
        <w:rPr>
          <w:b/>
          <w:szCs w:val="20"/>
        </w:rPr>
        <w:t>Corte IDH. Caso Veliz Franco y otros Vs. Guatemala. Excepciones Preliminares, Fondo, Reparaciones y Costas. Sentencia de 19 de mayo de 2014. Serie C No. 277</w:t>
      </w:r>
      <w:r w:rsidRPr="00A71BEA">
        <w:rPr>
          <w:b/>
          <w:szCs w:val="20"/>
          <w:vertAlign w:val="superscript"/>
        </w:rPr>
        <w:footnoteReference w:id="42"/>
      </w:r>
    </w:p>
    <w:p w14:paraId="47BFA323" w14:textId="77777777" w:rsidR="007269CF" w:rsidRPr="00BB63D0" w:rsidRDefault="007269CF" w:rsidP="00BB63D0">
      <w:pPr>
        <w:rPr>
          <w:szCs w:val="20"/>
        </w:rPr>
      </w:pPr>
      <w:r w:rsidRPr="00BB63D0">
        <w:rPr>
          <w:szCs w:val="20"/>
        </w:rPr>
        <w:lastRenderedPageBreak/>
        <w:t>209.</w:t>
      </w:r>
      <w:r w:rsidRPr="00BB63D0">
        <w:rPr>
          <w:szCs w:val="20"/>
        </w:rPr>
        <w:tab/>
        <w:t xml:space="preserve">Según determinadas pautas internacionales en materia de violencia contra la mujer y violencia </w:t>
      </w:r>
      <w:r w:rsidRPr="00326300">
        <w:rPr>
          <w:szCs w:val="20"/>
        </w:rPr>
        <w:t>sexual, las pruebas relativas a los antecedentes sexuales de la víctima son en principio inadmisibles, por lo</w:t>
      </w:r>
      <w:r w:rsidRPr="00BB63D0">
        <w:rPr>
          <w:szCs w:val="20"/>
        </w:rPr>
        <w:t xml:space="preserve"> que la apertura de líneas de investigación sobre el comportamiento social o sexual previo de las víctimas en casos de violencia de género no es más que la manifestación de políticas o actitudes basadas en estereotipos de género.</w:t>
      </w:r>
    </w:p>
    <w:p w14:paraId="1DE24045" w14:textId="77777777" w:rsidR="007269CF" w:rsidRPr="00BB63D0" w:rsidRDefault="007269CF" w:rsidP="00BB63D0">
      <w:pPr>
        <w:rPr>
          <w:szCs w:val="20"/>
        </w:rPr>
      </w:pPr>
      <w:r w:rsidRPr="00BB63D0">
        <w:rPr>
          <w:szCs w:val="20"/>
        </w:rPr>
        <w:t>212.</w:t>
      </w:r>
      <w:r w:rsidRPr="00BB63D0">
        <w:rPr>
          <w:szCs w:val="20"/>
        </w:rPr>
        <w:tab/>
        <w:t xml:space="preserve">Este incumplimiento del deber de no discriminación se vio agravado en el presente caso por el hecho de que algunos </w:t>
      </w:r>
      <w:r w:rsidRPr="00326300">
        <w:rPr>
          <w:szCs w:val="20"/>
        </w:rPr>
        <w:t>funcionarios a cargo de la investigación del caso efectuaron declaraciones que denotan la existencia de prejuicios y estereotipos sobre el rol social de las mujeres. Del acervo probatorio se desprende que en algunos informes de la investigación se hizo</w:t>
      </w:r>
      <w:r w:rsidRPr="00BB63D0">
        <w:rPr>
          <w:szCs w:val="20"/>
        </w:rPr>
        <w:t xml:space="preserve"> referencia explícita a la forma de vestir de María Isabel, a su vida social y nocturna, a sus creencias religiosas, así como a la falta de preocupación o vigilancia por parte de su familia. Según un escrito de la madre de la víctima de 27 de abril de 2007 […], la Auxiliar Fiscal de la Agencia No. 5 de Mixco le habría dicho que María Isabel “era una cualquiera, una prostituta”. Asimismo, con base en información suministrada en un peritaje psicológico practicado a una amiga de María Isabel, el perito, sin fundamento, en su informe, concluyó que la víctima habría sufrido de “inestabilidad emocional al andar con varios novios y amigos” […]. Si bien es cierto, como alegó el Estado, que algunas de estas afirmaciones provenían de las declaraciones rendidas por testigos o entrevistados (conocidos y amigos de la víctima) en el marco de la investigación, el hecho de que se diera relevancia en los interrogatorios y en los informes a ciertos aspectos de la vida privada y del comportamiento previo de María Isabel demuestra la existencia de estereotipos de género. Esta conclusión coincide con el contexto al que hacen referencia ciertos estudios y testimonios de mujeres sobrevivientes y sus familiares, así como la perita Solís García, sobre la “tendencia de los investigadores a desacreditar a las víctimas y culpabilizarlas por su estilo de vida, o ropa” y la indagación de aspectos relativos a las relaciones personales y sexualidad de las víctimas […]. </w:t>
      </w:r>
    </w:p>
    <w:p w14:paraId="0BC866A5" w14:textId="77777777" w:rsidR="007269CF" w:rsidRPr="00BB63D0" w:rsidRDefault="007269CF" w:rsidP="00BB63D0">
      <w:pPr>
        <w:rPr>
          <w:szCs w:val="20"/>
        </w:rPr>
      </w:pPr>
      <w:r w:rsidRPr="00BB63D0">
        <w:rPr>
          <w:szCs w:val="20"/>
        </w:rPr>
        <w:t>213.</w:t>
      </w:r>
      <w:r w:rsidRPr="00BB63D0">
        <w:rPr>
          <w:szCs w:val="20"/>
        </w:rPr>
        <w:tab/>
        <w:t xml:space="preserve">En el presente caso, </w:t>
      </w:r>
      <w:r w:rsidRPr="00326300">
        <w:rPr>
          <w:szCs w:val="20"/>
        </w:rPr>
        <w:t>los estereotipos de género tuvieron una influencia negativa en la investigación del caso, en</w:t>
      </w:r>
      <w:r w:rsidRPr="00BB63D0">
        <w:rPr>
          <w:szCs w:val="20"/>
        </w:rPr>
        <w:t xml:space="preserve"> la medida en que trasladaron la culpa de lo acontecido a la víctima y a sus familiares, cerrando otras líneas posibles de investigación sobre las circunstancias del caso e identificación de los autores. Al respecto, la Corte ya ha tenido ocasión de señalar que la creación y uso de estereotipos se convierte en una de las causas y consecuencias de la violencia de género en contra de la mujer.</w:t>
      </w:r>
    </w:p>
    <w:p w14:paraId="52F9D002" w14:textId="77777777" w:rsidR="007269CF" w:rsidRPr="00BB63D0" w:rsidRDefault="007269CF" w:rsidP="00BB63D0">
      <w:pPr>
        <w:rPr>
          <w:b/>
          <w:szCs w:val="20"/>
          <w:lang w:val="es-ES_tradnl"/>
        </w:rPr>
      </w:pPr>
      <w:r w:rsidRPr="00BB63D0">
        <w:rPr>
          <w:b/>
          <w:szCs w:val="20"/>
          <w:lang w:val="es-ES_tradnl"/>
        </w:rPr>
        <w:t>Corte IDH. Caso Gonzales Lluy y otros Vs. Ecuador. Excepciones Preliminares, Fondo, Reparaciones y Costas. Sentencia de 1 de septiembre de 2015. Serie C No. 298</w:t>
      </w:r>
    </w:p>
    <w:p w14:paraId="54ADC45A" w14:textId="77777777" w:rsidR="007269CF" w:rsidRPr="00BB63D0" w:rsidRDefault="007269CF" w:rsidP="00BB63D0">
      <w:pPr>
        <w:rPr>
          <w:szCs w:val="20"/>
        </w:rPr>
      </w:pPr>
      <w:r w:rsidRPr="00BB63D0">
        <w:rPr>
          <w:szCs w:val="20"/>
        </w:rPr>
        <w:t>257.</w:t>
      </w:r>
      <w:r w:rsidRPr="00BB63D0">
        <w:rPr>
          <w:szCs w:val="20"/>
        </w:rPr>
        <w:tab/>
        <w:t xml:space="preserve">En este marco, la Corte resalta que tratándose de la prohibición de discriminación por una de las categorías protegidas contempladas en el artículo 1.1 de la Convención, la eventual restricción de un derecho exige una fundamentación rigurosa y de mucho peso, lo cual implica que las razones utilizadas por el Estado para realizar la diferenciación de trato deben ser particularmente serias y estar sustentadas en una argumentación exhaustiva. Además, se invierte la carga de la prueba, lo que significa que corresponde a la autoridad demostrar que su decisión no tenía un propósito ni un efecto discriminatorio. En el presente caso, ante la comprobación de que el trato diferenciado hacia Talía estaba basado en una de las categorías prohibidas, el Estado tenía la obligación de demostrar que la decisión de retirar a Talía no tenía una finalidad o efecto discriminatorio. Para examinar la justificación esgrimida por el Estado, la Corte utilizará entonces, en el marco del juicio estricto de igualdad, el llamando juicio de proporcionalidad, que ya ha sido utilizado </w:t>
      </w:r>
      <w:r w:rsidRPr="00BB63D0">
        <w:rPr>
          <w:szCs w:val="20"/>
        </w:rPr>
        <w:lastRenderedPageBreak/>
        <w:t>en ocasiones anteriores para medir si una limitación a un derecho resulta ser compatible con la Convención Americana.</w:t>
      </w:r>
    </w:p>
    <w:p w14:paraId="2952928E" w14:textId="77777777" w:rsidR="007269CF" w:rsidRPr="00BB63D0" w:rsidRDefault="007269CF" w:rsidP="00BB63D0">
      <w:pPr>
        <w:rPr>
          <w:szCs w:val="20"/>
        </w:rPr>
      </w:pPr>
      <w:r w:rsidRPr="00BB63D0">
        <w:rPr>
          <w:szCs w:val="20"/>
        </w:rPr>
        <w:t>258.</w:t>
      </w:r>
      <w:r w:rsidRPr="00BB63D0">
        <w:rPr>
          <w:szCs w:val="20"/>
        </w:rPr>
        <w:tab/>
        <w:t>Es por lo anterior que, si se estipula una diferencia de trato en razón de la condición médica o enfermedad, dicha diferencia de trato debe hacerse en base a criterios médicos y la condición real de salud tomando en cuenta cada caso concreto, evaluando los daños o riesgos reales y probados, y no especulativos o imaginarios. Por tanto, no pueden ser admisibles las especulaciones, presunciones, estereotipos o consideraciones generalizadas sobre las personas con VIH/SIDA o cualquier otro tipo de enfermedad, aun si estos prejuicios se escudan en razones aparentemente legítimas como la protección del derecho a la vida o la salud pública.</w:t>
      </w:r>
    </w:p>
    <w:p w14:paraId="5FCD0D9A" w14:textId="77777777" w:rsidR="007269CF" w:rsidRPr="00BB63D0" w:rsidRDefault="007269CF" w:rsidP="00BB63D0">
      <w:pPr>
        <w:rPr>
          <w:szCs w:val="20"/>
        </w:rPr>
      </w:pPr>
      <w:r w:rsidRPr="00BB63D0">
        <w:rPr>
          <w:szCs w:val="20"/>
        </w:rPr>
        <w:t>259.</w:t>
      </w:r>
      <w:r w:rsidRPr="00BB63D0">
        <w:rPr>
          <w:szCs w:val="20"/>
        </w:rPr>
        <w:tab/>
        <w:t xml:space="preserve">Al respecto, en el caso </w:t>
      </w:r>
      <w:proofErr w:type="spellStart"/>
      <w:r w:rsidRPr="00BB63D0">
        <w:rPr>
          <w:szCs w:val="20"/>
        </w:rPr>
        <w:t>Kiyutin</w:t>
      </w:r>
      <w:proofErr w:type="spellEnd"/>
      <w:r w:rsidRPr="00BB63D0">
        <w:rPr>
          <w:szCs w:val="20"/>
        </w:rPr>
        <w:t xml:space="preserve"> v. Rusia, el Tribunal Europeo consideró como trato discriminatorio el hecho que no se hubiese hecho una adecuada fundamentación a la restricción del derecho a ser residente por el hecho que la víctima tuviese VIH. Además, el Tribunal observó que en ningún momento las autoridades tuvieron en cuenta el estado real de salud de la víctima y los vínculos familiares que pudiesen ligarle a Rusia. Así pues, estableció la condición de vulnerabilidad que enfrentan las personas con VIH/SIDA y los prejuicios de los que han sido víctimas a lo largo de las últimas tres décadas. Este caso es significativo en tanto resalta que la adopción de medidas relativas a personas con VIH/SIDA debe tener como punto de partida su estado de salud real. </w:t>
      </w:r>
    </w:p>
    <w:p w14:paraId="588FB9BD" w14:textId="77777777" w:rsidR="007269CF" w:rsidRPr="00BB63D0" w:rsidRDefault="007269CF" w:rsidP="00BB63D0">
      <w:pPr>
        <w:rPr>
          <w:szCs w:val="20"/>
          <w:lang w:val="es-ES_tradnl"/>
        </w:rPr>
      </w:pPr>
      <w:r w:rsidRPr="00BB63D0">
        <w:rPr>
          <w:szCs w:val="20"/>
          <w:lang w:val="es-ES_tradnl"/>
        </w:rPr>
        <w:t>262.</w:t>
      </w:r>
      <w:r w:rsidRPr="00BB63D0">
        <w:rPr>
          <w:szCs w:val="20"/>
          <w:lang w:val="es-ES_tradnl"/>
        </w:rPr>
        <w:tab/>
        <w:t xml:space="preserve">En el presente caso la Corte observa que Talía asistía normalmente a la escuela hasta el momento en que su profesora se enteró de su condición de niña con VIH. Las autoridades del colegio: su profesora, el director de la escuela y el Subsecretario de Educación, en lugar de darle una atención especializada dada su condición de vulnerabilidad, asumieron el caso como un riesgo para los otros niños y la suspendieron para luego expulsarla. Al respecto, el interés superior de los niños y niñas, tanto de Talía como de sus compañeros de clase, exigía adaptabilidad del entorno educativo a su condición de niña con VIH. Tal como se ha mencionado </w:t>
      </w:r>
      <w:r w:rsidRPr="00BB63D0">
        <w:rPr>
          <w:szCs w:val="20"/>
        </w:rPr>
        <w:t>[…]</w:t>
      </w:r>
      <w:r w:rsidRPr="00BB63D0">
        <w:rPr>
          <w:szCs w:val="20"/>
          <w:lang w:val="es-ES_tradnl"/>
        </w:rPr>
        <w:t xml:space="preserve"> para el Comité de Derechos Económicos, Sociales y Culturales, “la educación ha de tener la flexibilidad necesaria para adaptarse a las necesidades de sociedades y comunidades en transformación y responder a las necesidades de los alumnos en contextos culturales y sociales variados”. Por su parte, el Comité de los Derechos del Niño, en su Observación General No. 1 sobre los Propósitos de la Educación, ha señalado que “los métodos pedagógicos deben adaptarse a las distintas necesidades de los distintos niños”. </w:t>
      </w:r>
    </w:p>
    <w:p w14:paraId="1CD57DF9" w14:textId="77777777" w:rsidR="007269CF" w:rsidRPr="00BB63D0" w:rsidRDefault="007269CF" w:rsidP="00BB63D0">
      <w:pPr>
        <w:rPr>
          <w:szCs w:val="20"/>
          <w:lang w:val="es-ES_tradnl"/>
        </w:rPr>
      </w:pPr>
      <w:r w:rsidRPr="00BB63D0">
        <w:rPr>
          <w:szCs w:val="20"/>
          <w:lang w:val="es-ES_tradnl"/>
        </w:rPr>
        <w:t>263.</w:t>
      </w:r>
      <w:r w:rsidRPr="00BB63D0">
        <w:rPr>
          <w:szCs w:val="20"/>
          <w:lang w:val="es-ES_tradnl"/>
        </w:rPr>
        <w:tab/>
        <w:t xml:space="preserve">La Corte </w:t>
      </w:r>
      <w:r w:rsidRPr="00326300">
        <w:rPr>
          <w:szCs w:val="20"/>
          <w:lang w:val="es-ES_tradnl"/>
        </w:rPr>
        <w:t>observa que las autoridades educativas no tomaron medidas para combatir los prejuicios en torno a la enfermedad de Talía. En lo relativo al derecho a disponer de información oportuna y libre prejuicios, la</w:t>
      </w:r>
      <w:r w:rsidRPr="00BB63D0">
        <w:rPr>
          <w:szCs w:val="20"/>
          <w:lang w:val="es-ES_tradnl"/>
        </w:rPr>
        <w:t xml:space="preserve"> antigua Comisión de Derechos Humanos de las Naciones Unidas indicó la necesidad que los Estados tomen las medidas necesarias de educación, capacitación y programas mediáticos a fin de evitar la discriminación, el prejuicio y el estigma en todos los ámbitos contra las personas que padecen VIH/SIDA. </w:t>
      </w:r>
    </w:p>
    <w:p w14:paraId="454E8C07" w14:textId="77777777" w:rsidR="007269CF" w:rsidRPr="00BB63D0" w:rsidRDefault="007269CF" w:rsidP="00BB63D0">
      <w:pPr>
        <w:rPr>
          <w:szCs w:val="20"/>
          <w:lang w:val="es-ES_tradnl"/>
        </w:rPr>
      </w:pPr>
      <w:r w:rsidRPr="00BB63D0">
        <w:rPr>
          <w:szCs w:val="20"/>
          <w:lang w:val="es-ES_tradnl"/>
        </w:rPr>
        <w:t>264.</w:t>
      </w:r>
      <w:r w:rsidRPr="00BB63D0">
        <w:rPr>
          <w:szCs w:val="20"/>
          <w:lang w:val="es-ES_tradnl"/>
        </w:rPr>
        <w:tab/>
        <w:t xml:space="preserve">Igualmente, la Corte resalta que la protección de intereses imperiosos o importantes como la integridad personal de personas por supuestos riesgos por la situación de salud de otras personas, se debe hacer a partir de la evaluación específica y concreta de dicha situación de salud y los riesgos reales y probados, y no especulativos o imaginarios que podrían generar. Ya ha sido mencionado </w:t>
      </w:r>
      <w:r w:rsidRPr="00BB63D0">
        <w:rPr>
          <w:szCs w:val="20"/>
        </w:rPr>
        <w:t>[…]</w:t>
      </w:r>
      <w:r w:rsidRPr="00BB63D0">
        <w:rPr>
          <w:szCs w:val="20"/>
          <w:lang w:val="es-ES_tradnl"/>
        </w:rPr>
        <w:t xml:space="preserve"> que no pueden ser admisibles las especulaciones, presunciones o estereotipos sobre los riesgos de ciertas enfermedades, particularmente cuando reproducen el estigma en torno a las mismas.</w:t>
      </w:r>
    </w:p>
    <w:p w14:paraId="715EC8D3" w14:textId="77777777" w:rsidR="007269CF" w:rsidRPr="00BB63D0" w:rsidRDefault="007269CF" w:rsidP="00BB63D0">
      <w:pPr>
        <w:rPr>
          <w:szCs w:val="20"/>
          <w:lang w:val="es-ES_tradnl"/>
        </w:rPr>
      </w:pPr>
      <w:r w:rsidRPr="00BB63D0">
        <w:rPr>
          <w:szCs w:val="20"/>
          <w:lang w:val="es-ES_tradnl"/>
        </w:rPr>
        <w:t>265.</w:t>
      </w:r>
      <w:r w:rsidRPr="00BB63D0">
        <w:rPr>
          <w:szCs w:val="20"/>
          <w:lang w:val="es-ES_tradnl"/>
        </w:rPr>
        <w:tab/>
        <w:t xml:space="preserve">En conclusión, la Corte Interamericana observa que al ser, en abstracto, el “interés colectivo” y la “integridad y vida” de las niñas y niños un fin legítimo, la sola </w:t>
      </w:r>
      <w:r w:rsidRPr="00BB63D0">
        <w:rPr>
          <w:szCs w:val="20"/>
          <w:lang w:val="es-ES_tradnl"/>
        </w:rPr>
        <w:lastRenderedPageBreak/>
        <w:t xml:space="preserve">referencia al mismo sin probar, en concreto, los riesgos o daños que podrían conllevar la situación de salud de una niña que comparte el colegio con otros niños, no puede servir de medida idónea para la restricción de un derecho protegido como el de poder ejercer todos los derechos humanos sin discriminación alguna por la condición médica. El interés superior del niño no puede ser utilizado para amparar la discriminación en contra de una niña por su situación de salud. </w:t>
      </w:r>
    </w:p>
    <w:p w14:paraId="5C4B3026" w14:textId="77777777" w:rsidR="007269CF" w:rsidRPr="00BB63D0" w:rsidRDefault="007269CF" w:rsidP="00BB63D0">
      <w:pPr>
        <w:rPr>
          <w:szCs w:val="20"/>
          <w:lang w:val="es-ES_tradnl"/>
        </w:rPr>
      </w:pPr>
      <w:r w:rsidRPr="00BB63D0">
        <w:rPr>
          <w:szCs w:val="20"/>
          <w:lang w:val="es-ES_tradnl"/>
        </w:rPr>
        <w:t>266.</w:t>
      </w:r>
      <w:r w:rsidRPr="00BB63D0">
        <w:rPr>
          <w:szCs w:val="20"/>
          <w:lang w:val="es-ES_tradnl"/>
        </w:rPr>
        <w:tab/>
        <w:t>En el caso que ocupa la atención de la Corte, una determinación a partir de presunciones infundadas y estereotipadas sobre los riesgos que puede generar el VIH no es adecuada para garantizar el fin legítimo de proteger el interés superior del niño. La Corte considera que no son admisibles las consideraciones basadas en estereotipos por la situación de salud de las personas, es decir, pre-concepciones de los atributos, conductas o características poseídas por las personas que conviven con cierta enfermedad o el riesgo que dicha enfermedad pueda tener para otras personas. En el presente caso la medida adoptada estuvo relacionada con prejuicios y con el estigma del que son objeto quienes viven con VIH.</w:t>
      </w:r>
    </w:p>
    <w:p w14:paraId="4B83186A" w14:textId="77777777" w:rsidR="007269CF" w:rsidRPr="00BB63D0" w:rsidRDefault="007269CF" w:rsidP="00BB63D0">
      <w:pPr>
        <w:rPr>
          <w:szCs w:val="20"/>
          <w:lang w:val="es-ES_tradnl"/>
        </w:rPr>
      </w:pPr>
      <w:r w:rsidRPr="00BB63D0">
        <w:rPr>
          <w:szCs w:val="20"/>
          <w:lang w:val="es-ES_tradnl"/>
        </w:rPr>
        <w:t>284.</w:t>
      </w:r>
      <w:r w:rsidRPr="00BB63D0">
        <w:rPr>
          <w:szCs w:val="20"/>
          <w:lang w:val="es-ES_tradnl"/>
        </w:rPr>
        <w:tab/>
        <w:t>Como se observa, en diversos escenarios del ámbito educativo tanto Talía como su familia fueron objeto de un entorno hostil a la enfermedad. Al respecto, teniendo en cuenta que bajo la Convención de Naciones Unidas sobre los Derechos de las Personas con Discapacidad, la discapacidad es una manifestación de la inagotable diversidad humana, era obligación de las instituciones educativas proporcionar un entorno educativo que aceptara y celebrara esa diversidad. La Corte considera que la necesidad que tuvo Talía Gonzales Lluy, su familia y algunas de sus profesoras de ocultar el hecho de que Talía vivía con VIH o esconderse para poder acceder y permanecer en el sistema educativo constituyó un desconocimiento al valor de la diversidad humana. El sistema educativo estaba llamado a contribuir a que Talía y su familia pudieran hablar del VIH sin necesidad de ocultarlo, procurando que ella mantuviera la mayor autoestima posible gracias a su entorno y en gran medida a partir de una educación de los demás estudiantes y profesores a la luz de lo que implica la riqueza de la diversidad y la necesidad de salvaguardar el principio de no discriminación en todo ámbito.</w:t>
      </w:r>
    </w:p>
    <w:p w14:paraId="3BCC5BC3" w14:textId="77777777" w:rsidR="007269CF" w:rsidRPr="00BB63D0" w:rsidRDefault="007269CF" w:rsidP="00BB63D0">
      <w:pPr>
        <w:rPr>
          <w:b/>
          <w:szCs w:val="20"/>
        </w:rPr>
      </w:pPr>
      <w:r w:rsidRPr="00BB63D0">
        <w:rPr>
          <w:b/>
          <w:szCs w:val="20"/>
        </w:rPr>
        <w:t>Corte IDH. Caso Velásquez Paiz y otros Vs. Guatemala. Excepciones Preliminares, Fondo, Reparaciones y Costas. Sentencia de 19 de noviembre de 2015. Serie C No. 307</w:t>
      </w:r>
    </w:p>
    <w:p w14:paraId="29E910F9" w14:textId="77777777" w:rsidR="007269CF" w:rsidRPr="00BB63D0" w:rsidRDefault="007269CF" w:rsidP="00BB63D0">
      <w:pPr>
        <w:rPr>
          <w:szCs w:val="20"/>
        </w:rPr>
      </w:pPr>
      <w:r w:rsidRPr="00BB63D0">
        <w:rPr>
          <w:szCs w:val="20"/>
        </w:rPr>
        <w:t>177.</w:t>
      </w:r>
      <w:r w:rsidRPr="00BB63D0">
        <w:rPr>
          <w:szCs w:val="20"/>
        </w:rPr>
        <w:tab/>
        <w:t xml:space="preserve">Las declaraciones del señor Jorge Rolando Velásquez Durán y la señora Elsa Claudina Paiz Vidal, padre y madre de Claudina Velásquez, son consistentes en cuanto a que el día que la agente de la PNC Carolina Elizabeth Ruiz se constituyó en su domicilio para entrevistarlos, hizo de su conocimiento que la escena del crimen no fue trabajada profesionalmente debido a que hubo un prejuzgamiento con respecto al origen y condición de la víctima, siendo que se le había clasificado “como una cualquiera”, debido a: i) el lugar en que apareció su cuerpo; ii) porque usaba una gargantilla en el cuello y un arete en el ombligo; y iii) porque calzaba sandalias. Sin embargo, indicó que al observar con más detalle las características de Claudina Velásquez, se dieron cuenta que estaban prejuzgando mal y estudiaron un poco mejor la escena del crimen. </w:t>
      </w:r>
    </w:p>
    <w:p w14:paraId="6D3CDEB8" w14:textId="77777777" w:rsidR="007269CF" w:rsidRPr="00BB63D0" w:rsidRDefault="007269CF" w:rsidP="00BB63D0">
      <w:pPr>
        <w:rPr>
          <w:szCs w:val="20"/>
        </w:rPr>
      </w:pPr>
      <w:r w:rsidRPr="00BB63D0">
        <w:rPr>
          <w:szCs w:val="20"/>
        </w:rPr>
        <w:t>180.</w:t>
      </w:r>
      <w:r w:rsidRPr="00BB63D0">
        <w:rPr>
          <w:szCs w:val="20"/>
        </w:rPr>
        <w:tab/>
        <w:t xml:space="preserve">La Corte reitera que el estereotipo de género se refiere a una pre-concepción de atributos, conductas o características poseídas o papeles que son o deberían ser ejecutados por hombres y mujeres respectivamente, y que es posible asociar la subordinación de la mujer a prácticas basadas en estereotipos de género socialmente dominantes y socialmente persistentes. En este sentido, su creación y uso se convierte en una de las causas y consecuencias de la violencia de género en contra de la mujer, condiciones que se agravan cuando se reflejan, implícita o </w:t>
      </w:r>
      <w:r w:rsidRPr="00BB63D0">
        <w:rPr>
          <w:szCs w:val="20"/>
        </w:rPr>
        <w:lastRenderedPageBreak/>
        <w:t>explícitamente, en políticas y prácticas, particularmente en el razonamiento y el lenguaje de las autoridades estatales.</w:t>
      </w:r>
    </w:p>
    <w:p w14:paraId="533936DF" w14:textId="4469BD6D" w:rsidR="007269CF" w:rsidRPr="00BB63D0" w:rsidRDefault="007269CF" w:rsidP="00BB63D0">
      <w:pPr>
        <w:rPr>
          <w:szCs w:val="20"/>
        </w:rPr>
      </w:pPr>
      <w:r w:rsidRPr="00BB63D0">
        <w:rPr>
          <w:szCs w:val="20"/>
        </w:rPr>
        <w:t>183.</w:t>
      </w:r>
      <w:r w:rsidRPr="00BB63D0">
        <w:rPr>
          <w:szCs w:val="20"/>
        </w:rPr>
        <w:tab/>
        <w:t xml:space="preserve">La Corte reconoce, visibiliza y rechaza el estereotipo de género por el cual en los casos de violencia contra la mujer las víctimas son asimiladas al perfil de una pandillera y/o una prostituta y/o una “cualquiera”, y no se consideran lo suficientemente importantes como para ser investigados, </w:t>
      </w:r>
      <w:r w:rsidRPr="00326300">
        <w:rPr>
          <w:szCs w:val="20"/>
        </w:rPr>
        <w:t>haciendo además a la mujer responsable o merecedora de haber sido atacada. En este sentido, rechaza toda práctica estatal mediante la cual se justifica la violencia contra la mujer y se le culpabiliza de esta, toda vez que valoraciones de esta naturaleza</w:t>
      </w:r>
      <w:r w:rsidRPr="00BB63D0">
        <w:rPr>
          <w:szCs w:val="20"/>
        </w:rPr>
        <w:t xml:space="preserve"> muestran un criterio discrecional y discriminatorio con base en el origen, condición y/o comportamiento de la víctima por el solo hecho de ser mujer. Consecuentemente, la Corte considera que estos estereotipos de género son incompatibles con el derecho internacional de los derechos humanos y se deben tomar medidas para erradicarlos donde se presenten. </w:t>
      </w:r>
      <w:r w:rsidR="00E432F2" w:rsidRPr="00514525">
        <w:rPr>
          <w:rStyle w:val="EnelmismoCar"/>
        </w:rPr>
        <w:t xml:space="preserve">En similar sentido, ver entre otros: Corte IDH. Caso Barbosa de Souza y otros Vs. Brasil. Excepciones preliminares, Fondo, Reparaciones y Costas. Sentencia de 7 de septiembre de 2021. Serie C No. 435, párr. </w:t>
      </w:r>
      <w:r w:rsidR="00E432F2">
        <w:rPr>
          <w:rStyle w:val="EnelmismoCar"/>
        </w:rPr>
        <w:t>145</w:t>
      </w:r>
      <w:r w:rsidR="00E432F2" w:rsidRPr="00514525">
        <w:rPr>
          <w:rStyle w:val="EnelmismoCar"/>
        </w:rPr>
        <w:t>.</w:t>
      </w:r>
    </w:p>
    <w:p w14:paraId="54FAF6EE" w14:textId="08149EA9" w:rsidR="007269CF" w:rsidRDefault="007269CF" w:rsidP="00BB63D0">
      <w:pPr>
        <w:rPr>
          <w:szCs w:val="20"/>
        </w:rPr>
      </w:pPr>
      <w:r w:rsidRPr="00BB63D0">
        <w:rPr>
          <w:szCs w:val="20"/>
        </w:rPr>
        <w:t>190.</w:t>
      </w:r>
      <w:r w:rsidRPr="00BB63D0">
        <w:rPr>
          <w:szCs w:val="20"/>
        </w:rPr>
        <w:tab/>
        <w:t xml:space="preserve">La Corte </w:t>
      </w:r>
      <w:r w:rsidRPr="00326300">
        <w:rPr>
          <w:szCs w:val="20"/>
        </w:rPr>
        <w:t>advierte que las actitudes que asumieron las autoridades en la investigación de la muerte de Claudina Velásquez no es un hecho aislado, pues coincide con el contexto</w:t>
      </w:r>
      <w:r w:rsidRPr="00BB63D0">
        <w:rPr>
          <w:szCs w:val="20"/>
        </w:rPr>
        <w:t xml:space="preserve"> sobre la “tendencia de los investigadores a desacreditar a las víctimas y culpabilizarlas por su estilo de vida, o ropa”, y la indagación de aspectos relativos a las relaciones personales y sexualidad de las víctimas, así como la impunidad de los actos violentos que conllevan la muerte de mujeres […]. Coincide además con las actitudes que tuvieron los funcionarios a cargo de la investigación en el caso </w:t>
      </w:r>
      <w:proofErr w:type="spellStart"/>
      <w:r w:rsidRPr="00E432F2">
        <w:rPr>
          <w:i/>
          <w:iCs/>
          <w:szCs w:val="20"/>
        </w:rPr>
        <w:t>Caso</w:t>
      </w:r>
      <w:proofErr w:type="spellEnd"/>
      <w:r w:rsidRPr="00E432F2">
        <w:rPr>
          <w:i/>
          <w:iCs/>
          <w:szCs w:val="20"/>
        </w:rPr>
        <w:t xml:space="preserve"> Veliz Franco y otros Vs. Guatemala</w:t>
      </w:r>
      <w:r w:rsidRPr="00BB63D0">
        <w:rPr>
          <w:szCs w:val="20"/>
        </w:rPr>
        <w:t>, en el cual la Corte constató que omitieron pruebas pertinentes para determinar la violencia sexual, o las realizaron tardíamente y cuando los elementos de prueba estaban contaminados; la ausencia de una investigación profunda y efectiva sobre el incidente violento que causó la muerte de la víctima, así como de sus posibles causas y motivaciones; efectuaron declaraciones que denotaban la existencia de estereotipos y prejuicios sobre el rol social de las mujeres, con influencia negativa en la investigación, en la medida en que trasladaron la culpa de lo acontecido a la víctima y a sus familiares, cerrando otras líneas posibles de investigación sobre las circunstancias del caso e identificación de los autores.</w:t>
      </w:r>
    </w:p>
    <w:p w14:paraId="1A17757D" w14:textId="5D8191B1" w:rsidR="007269CF" w:rsidRDefault="007269CF" w:rsidP="007979A9">
      <w:pPr>
        <w:pStyle w:val="Caso"/>
      </w:pPr>
      <w:r w:rsidRPr="007979A9">
        <w:t>Corte IDH. Caso Azul Rojas Marín y otra Vs. Perú. Excepciones Preliminares, Fondo, Reparaciones y Costas. Sentencia de 12 de marzo de 2020. Serie C No. 402</w:t>
      </w:r>
    </w:p>
    <w:p w14:paraId="6F7DF544" w14:textId="16A6FEAA" w:rsidR="007269CF" w:rsidRPr="007979A9" w:rsidRDefault="007269CF" w:rsidP="007979A9">
      <w:pPr>
        <w:rPr>
          <w:szCs w:val="20"/>
        </w:rPr>
      </w:pPr>
      <w:r w:rsidRPr="007979A9">
        <w:rPr>
          <w:szCs w:val="20"/>
        </w:rPr>
        <w:t xml:space="preserve">198. La Corte recuerda que el estereotipo por la </w:t>
      </w:r>
      <w:proofErr w:type="spellStart"/>
      <w:r w:rsidRPr="007979A9">
        <w:rPr>
          <w:szCs w:val="20"/>
        </w:rPr>
        <w:t>orientación</w:t>
      </w:r>
      <w:proofErr w:type="spellEnd"/>
      <w:r w:rsidRPr="007979A9">
        <w:rPr>
          <w:szCs w:val="20"/>
        </w:rPr>
        <w:t xml:space="preserve"> sexual se refiere a una pre- </w:t>
      </w:r>
      <w:proofErr w:type="spellStart"/>
      <w:r w:rsidRPr="007979A9">
        <w:rPr>
          <w:szCs w:val="20"/>
        </w:rPr>
        <w:t>concepción</w:t>
      </w:r>
      <w:proofErr w:type="spellEnd"/>
      <w:r w:rsidRPr="007979A9">
        <w:rPr>
          <w:szCs w:val="20"/>
        </w:rPr>
        <w:t xml:space="preserve"> de atributos, conductas o </w:t>
      </w:r>
      <w:proofErr w:type="spellStart"/>
      <w:r w:rsidRPr="007979A9">
        <w:rPr>
          <w:szCs w:val="20"/>
        </w:rPr>
        <w:t>características</w:t>
      </w:r>
      <w:proofErr w:type="spellEnd"/>
      <w:r w:rsidRPr="007979A9">
        <w:rPr>
          <w:szCs w:val="20"/>
        </w:rPr>
        <w:t xml:space="preserve"> </w:t>
      </w:r>
      <w:proofErr w:type="spellStart"/>
      <w:r w:rsidRPr="007979A9">
        <w:rPr>
          <w:szCs w:val="20"/>
        </w:rPr>
        <w:t>poseídas</w:t>
      </w:r>
      <w:proofErr w:type="spellEnd"/>
      <w:r w:rsidRPr="007979A9">
        <w:rPr>
          <w:szCs w:val="20"/>
        </w:rPr>
        <w:t xml:space="preserve"> por una persona en base a su </w:t>
      </w:r>
      <w:proofErr w:type="spellStart"/>
      <w:r w:rsidRPr="007979A9">
        <w:rPr>
          <w:szCs w:val="20"/>
        </w:rPr>
        <w:t>orientación</w:t>
      </w:r>
      <w:proofErr w:type="spellEnd"/>
      <w:r w:rsidRPr="007979A9">
        <w:rPr>
          <w:szCs w:val="20"/>
        </w:rPr>
        <w:t xml:space="preserve"> sexual, en este caso en particular, por hombres homosexuales o percibidos como tales.</w:t>
      </w:r>
    </w:p>
    <w:p w14:paraId="4EBF2BC9" w14:textId="2794D97D" w:rsidR="007269CF" w:rsidRDefault="007269CF" w:rsidP="007979A9">
      <w:pPr>
        <w:rPr>
          <w:rStyle w:val="EnelmismoCar"/>
        </w:rPr>
      </w:pPr>
      <w:r w:rsidRPr="007979A9">
        <w:rPr>
          <w:szCs w:val="20"/>
        </w:rPr>
        <w:t xml:space="preserve">199. En particular, la Corte ha reconocido que los prejuicios personales y los estereotipos de </w:t>
      </w:r>
      <w:proofErr w:type="spellStart"/>
      <w:r w:rsidRPr="007979A9">
        <w:rPr>
          <w:szCs w:val="20"/>
        </w:rPr>
        <w:t>género</w:t>
      </w:r>
      <w:proofErr w:type="spellEnd"/>
      <w:r w:rsidRPr="007979A9">
        <w:rPr>
          <w:szCs w:val="20"/>
        </w:rPr>
        <w:t xml:space="preserve"> afectan la objetividad de los funcionarios estatales encargados de investigar las denuncias que se les presentan, influyendo en su </w:t>
      </w:r>
      <w:proofErr w:type="spellStart"/>
      <w:r w:rsidRPr="007979A9">
        <w:rPr>
          <w:szCs w:val="20"/>
        </w:rPr>
        <w:t>percepción</w:t>
      </w:r>
      <w:proofErr w:type="spellEnd"/>
      <w:r w:rsidRPr="007979A9">
        <w:rPr>
          <w:szCs w:val="20"/>
        </w:rPr>
        <w:t xml:space="preserve"> para determinar si </w:t>
      </w:r>
      <w:proofErr w:type="spellStart"/>
      <w:r w:rsidRPr="007979A9">
        <w:rPr>
          <w:szCs w:val="20"/>
        </w:rPr>
        <w:t>ocurrio</w:t>
      </w:r>
      <w:proofErr w:type="spellEnd"/>
      <w:r w:rsidRPr="007979A9">
        <w:rPr>
          <w:szCs w:val="20"/>
        </w:rPr>
        <w:t xml:space="preserve">́́ o no un hecho de violencia, en su </w:t>
      </w:r>
      <w:proofErr w:type="spellStart"/>
      <w:r w:rsidRPr="007979A9">
        <w:rPr>
          <w:szCs w:val="20"/>
        </w:rPr>
        <w:t>evaluación</w:t>
      </w:r>
      <w:proofErr w:type="spellEnd"/>
      <w:r w:rsidRPr="007979A9">
        <w:rPr>
          <w:szCs w:val="20"/>
        </w:rPr>
        <w:t xml:space="preserve"> de la credibilidad de los testigos y de la propia </w:t>
      </w:r>
      <w:proofErr w:type="spellStart"/>
      <w:r w:rsidRPr="007979A9">
        <w:rPr>
          <w:szCs w:val="20"/>
        </w:rPr>
        <w:t>víctima</w:t>
      </w:r>
      <w:proofErr w:type="spellEnd"/>
      <w:r w:rsidRPr="007979A9">
        <w:rPr>
          <w:szCs w:val="20"/>
        </w:rPr>
        <w:t xml:space="preserve">. Los estereotipos “distorsionan las percepciones y dan lugar a decisiones basadas en creencias preconcebidas y mitos, en lugar de hechos”, lo que a su vez puede dar lugar a la </w:t>
      </w:r>
      <w:proofErr w:type="spellStart"/>
      <w:r w:rsidRPr="007979A9">
        <w:rPr>
          <w:szCs w:val="20"/>
        </w:rPr>
        <w:t>denegación</w:t>
      </w:r>
      <w:proofErr w:type="spellEnd"/>
      <w:r w:rsidRPr="007979A9">
        <w:rPr>
          <w:szCs w:val="20"/>
        </w:rPr>
        <w:t xml:space="preserve"> de justicia, incluida la </w:t>
      </w:r>
      <w:proofErr w:type="spellStart"/>
      <w:r w:rsidRPr="007979A9">
        <w:rPr>
          <w:szCs w:val="20"/>
        </w:rPr>
        <w:t>revictimización</w:t>
      </w:r>
      <w:proofErr w:type="spellEnd"/>
      <w:r w:rsidRPr="007979A9">
        <w:rPr>
          <w:szCs w:val="20"/>
        </w:rPr>
        <w:t xml:space="preserve"> de las denunciantes. La Corte considera que lo mismo puede ocurrir en casos de estereotipos por la </w:t>
      </w:r>
      <w:proofErr w:type="spellStart"/>
      <w:r w:rsidRPr="007979A9">
        <w:rPr>
          <w:szCs w:val="20"/>
        </w:rPr>
        <w:t>orientación</w:t>
      </w:r>
      <w:proofErr w:type="spellEnd"/>
      <w:r w:rsidRPr="007979A9">
        <w:rPr>
          <w:szCs w:val="20"/>
        </w:rPr>
        <w:t xml:space="preserve"> sexual.</w:t>
      </w:r>
      <w:r w:rsidR="00514525">
        <w:rPr>
          <w:szCs w:val="20"/>
        </w:rPr>
        <w:t xml:space="preserve">  </w:t>
      </w:r>
      <w:r w:rsidR="00514525" w:rsidRPr="00514525">
        <w:rPr>
          <w:rStyle w:val="EnelmismoCar"/>
        </w:rPr>
        <w:t>En similar sentido, ver entre otros: Corte IDH. Caso Barbosa de Souza y otros Vs. Brasil. Excepciones preliminares, Fondo, Reparaciones y Costas. Sentencia de 7 de septiembre de 2021. Serie C No. 435, párr. 144.</w:t>
      </w:r>
    </w:p>
    <w:p w14:paraId="1468508D" w14:textId="49D9FA6D" w:rsidR="00E432F2" w:rsidRDefault="00E432F2" w:rsidP="00E432F2">
      <w:pPr>
        <w:pStyle w:val="Caso"/>
      </w:pPr>
      <w:r w:rsidRPr="00E432F2">
        <w:lastRenderedPageBreak/>
        <w:t>Caso Barbosa de Souza y otros Vs. Brasil. Excepciones preliminares, Fondo, Reparaciones y Costas. Sentencia de 7 de septiembre de 2021. Serie C No. 435</w:t>
      </w:r>
      <w:r w:rsidR="006D285F">
        <w:rPr>
          <w:rStyle w:val="Refdenotaalpie"/>
        </w:rPr>
        <w:footnoteReference w:id="43"/>
      </w:r>
    </w:p>
    <w:p w14:paraId="515994AF" w14:textId="460A64DD" w:rsidR="00E432F2" w:rsidRPr="00E432F2" w:rsidRDefault="00E432F2" w:rsidP="00E432F2">
      <w:pPr>
        <w:rPr>
          <w:szCs w:val="20"/>
        </w:rPr>
      </w:pPr>
      <w:r w:rsidRPr="00E432F2">
        <w:rPr>
          <w:szCs w:val="20"/>
        </w:rPr>
        <w:t xml:space="preserve">145. El Tribunal ya se posicionó anteriormente sobre la importancia de reconocer, visibilizar y rechazar los estereotipos de </w:t>
      </w:r>
      <w:proofErr w:type="spellStart"/>
      <w:r w:rsidRPr="00E432F2">
        <w:rPr>
          <w:szCs w:val="20"/>
        </w:rPr>
        <w:t>género</w:t>
      </w:r>
      <w:proofErr w:type="spellEnd"/>
      <w:r w:rsidRPr="00E432F2">
        <w:rPr>
          <w:szCs w:val="20"/>
        </w:rPr>
        <w:t xml:space="preserve"> por los cuales en los casos de violencia contra la mujer las </w:t>
      </w:r>
      <w:proofErr w:type="spellStart"/>
      <w:r w:rsidRPr="00E432F2">
        <w:rPr>
          <w:szCs w:val="20"/>
        </w:rPr>
        <w:t>víctimas</w:t>
      </w:r>
      <w:proofErr w:type="spellEnd"/>
      <w:r w:rsidRPr="00E432F2">
        <w:rPr>
          <w:szCs w:val="20"/>
        </w:rPr>
        <w:t xml:space="preserve"> son asimiladas, por ejemplo, al perfil de una pandillera y/o una prostituta y/o una “cualquiera”, y no se consideran lo suficientemente importantes como para ser investigados, haciendo </w:t>
      </w:r>
      <w:proofErr w:type="spellStart"/>
      <w:r w:rsidRPr="00E432F2">
        <w:rPr>
          <w:szCs w:val="20"/>
        </w:rPr>
        <w:t>además</w:t>
      </w:r>
      <w:proofErr w:type="spellEnd"/>
      <w:r w:rsidRPr="00E432F2">
        <w:rPr>
          <w:szCs w:val="20"/>
        </w:rPr>
        <w:t xml:space="preserve"> a la mujer responsable o merecedora de haber sido atacada. En este sentido, ha rechazado toda </w:t>
      </w:r>
      <w:proofErr w:type="spellStart"/>
      <w:r w:rsidRPr="00E432F2">
        <w:rPr>
          <w:szCs w:val="20"/>
        </w:rPr>
        <w:t>práctica</w:t>
      </w:r>
      <w:proofErr w:type="spellEnd"/>
      <w:r w:rsidRPr="00E432F2">
        <w:rPr>
          <w:szCs w:val="20"/>
        </w:rPr>
        <w:t xml:space="preserve"> estatal mediante la cual se justifica la violencia contra la mujer y se le culpabiliza de esta, toda vez que valoraciones de esta naturaleza muestran un criterio discrecional y discriminatorio con base en el origen, condición y/o comportamiento de la </w:t>
      </w:r>
      <w:proofErr w:type="spellStart"/>
      <w:r w:rsidRPr="00E432F2">
        <w:rPr>
          <w:szCs w:val="20"/>
        </w:rPr>
        <w:t>víctima</w:t>
      </w:r>
      <w:proofErr w:type="spellEnd"/>
      <w:r w:rsidRPr="00E432F2">
        <w:rPr>
          <w:szCs w:val="20"/>
        </w:rPr>
        <w:t xml:space="preserve"> por el solo hecho de ser mujer. Consecuentemente, la Corte ha considerado que estos estereotipos de </w:t>
      </w:r>
      <w:proofErr w:type="spellStart"/>
      <w:r w:rsidRPr="00E432F2">
        <w:rPr>
          <w:szCs w:val="20"/>
        </w:rPr>
        <w:t>género</w:t>
      </w:r>
      <w:proofErr w:type="spellEnd"/>
      <w:r w:rsidRPr="00E432F2">
        <w:rPr>
          <w:szCs w:val="20"/>
        </w:rPr>
        <w:t xml:space="preserve"> nocivos o perjudiciales son incompatibles con el derecho internacional de los derechos humanos y se deben tomar medidas para erradicarlos donde se presenten.</w:t>
      </w:r>
    </w:p>
    <w:p w14:paraId="74A9D756" w14:textId="2410F507" w:rsidR="00E432F2" w:rsidRPr="00E432F2" w:rsidRDefault="00E432F2" w:rsidP="00E432F2">
      <w:pPr>
        <w:rPr>
          <w:szCs w:val="20"/>
        </w:rPr>
      </w:pPr>
      <w:r w:rsidRPr="00E432F2">
        <w:rPr>
          <w:szCs w:val="20"/>
        </w:rPr>
        <w:t xml:space="preserve">146. En el caso sub judice, la Corte verifica que </w:t>
      </w:r>
      <w:proofErr w:type="spellStart"/>
      <w:r w:rsidRPr="00E432F2">
        <w:rPr>
          <w:szCs w:val="20"/>
        </w:rPr>
        <w:t>existio</w:t>
      </w:r>
      <w:proofErr w:type="spellEnd"/>
      <w:r w:rsidRPr="00E432F2">
        <w:rPr>
          <w:szCs w:val="20"/>
        </w:rPr>
        <w:t xml:space="preserve">́ una </w:t>
      </w:r>
      <w:proofErr w:type="spellStart"/>
      <w:r w:rsidRPr="00E432F2">
        <w:rPr>
          <w:szCs w:val="20"/>
        </w:rPr>
        <w:t>intención</w:t>
      </w:r>
      <w:proofErr w:type="spellEnd"/>
      <w:r w:rsidRPr="00E432F2">
        <w:rPr>
          <w:szCs w:val="20"/>
        </w:rPr>
        <w:t xml:space="preserve"> de devaluar a la </w:t>
      </w:r>
      <w:proofErr w:type="spellStart"/>
      <w:r w:rsidRPr="00E432F2">
        <w:rPr>
          <w:szCs w:val="20"/>
        </w:rPr>
        <w:t>víctima</w:t>
      </w:r>
      <w:proofErr w:type="spellEnd"/>
      <w:r w:rsidRPr="00E432F2">
        <w:rPr>
          <w:szCs w:val="20"/>
        </w:rPr>
        <w:t xml:space="preserve"> por la </w:t>
      </w:r>
      <w:proofErr w:type="spellStart"/>
      <w:r w:rsidRPr="00E432F2">
        <w:rPr>
          <w:szCs w:val="20"/>
        </w:rPr>
        <w:t>neutralización</w:t>
      </w:r>
      <w:proofErr w:type="spellEnd"/>
      <w:r w:rsidRPr="00E432F2">
        <w:rPr>
          <w:szCs w:val="20"/>
        </w:rPr>
        <w:t xml:space="preserve"> de valores. En efecto, durante toda la </w:t>
      </w:r>
      <w:proofErr w:type="spellStart"/>
      <w:r w:rsidRPr="00E432F2">
        <w:rPr>
          <w:szCs w:val="20"/>
        </w:rPr>
        <w:t>investigación</w:t>
      </w:r>
      <w:proofErr w:type="spellEnd"/>
      <w:r w:rsidRPr="00E432F2">
        <w:rPr>
          <w:szCs w:val="20"/>
        </w:rPr>
        <w:t xml:space="preserve"> y el proceso penal, el comportamiento y la sexualidad de </w:t>
      </w:r>
      <w:proofErr w:type="spellStart"/>
      <w:r w:rsidRPr="00E432F2">
        <w:rPr>
          <w:szCs w:val="20"/>
        </w:rPr>
        <w:t>Márcia</w:t>
      </w:r>
      <w:proofErr w:type="spellEnd"/>
      <w:r w:rsidRPr="00E432F2">
        <w:rPr>
          <w:szCs w:val="20"/>
        </w:rPr>
        <w:t xml:space="preserve"> Barbosa pasaron a ser un tema de especial atención, provocando la </w:t>
      </w:r>
      <w:proofErr w:type="spellStart"/>
      <w:r w:rsidRPr="00E432F2">
        <w:rPr>
          <w:szCs w:val="20"/>
        </w:rPr>
        <w:t>construcción</w:t>
      </w:r>
      <w:proofErr w:type="spellEnd"/>
      <w:r w:rsidRPr="00E432F2">
        <w:rPr>
          <w:szCs w:val="20"/>
        </w:rPr>
        <w:t xml:space="preserve"> de una imagen de </w:t>
      </w:r>
      <w:proofErr w:type="spellStart"/>
      <w:r w:rsidRPr="00E432F2">
        <w:rPr>
          <w:szCs w:val="20"/>
        </w:rPr>
        <w:t>Márcia</w:t>
      </w:r>
      <w:proofErr w:type="spellEnd"/>
      <w:r w:rsidRPr="00E432F2">
        <w:rPr>
          <w:szCs w:val="20"/>
        </w:rPr>
        <w:t xml:space="preserve"> como generadora o merecedora de lo ocurrido y desviando el foco de las investigaciones a través de estereotipos relacionados con aspectos de la vida personal de </w:t>
      </w:r>
      <w:proofErr w:type="spellStart"/>
      <w:r w:rsidRPr="00E432F2">
        <w:rPr>
          <w:szCs w:val="20"/>
        </w:rPr>
        <w:t>Márcia</w:t>
      </w:r>
      <w:proofErr w:type="spellEnd"/>
      <w:r w:rsidRPr="00E432F2">
        <w:rPr>
          <w:szCs w:val="20"/>
        </w:rPr>
        <w:t xml:space="preserve"> Barbosa, que a su vez fueron utilizados como hechos relevantes para el propio proceso. El hecho de que era una mujer representó un factor facilitador de que “el significado de lo ocurrido se </w:t>
      </w:r>
      <w:proofErr w:type="spellStart"/>
      <w:r w:rsidRPr="00E432F2">
        <w:rPr>
          <w:szCs w:val="20"/>
        </w:rPr>
        <w:t>construy</w:t>
      </w:r>
      <w:proofErr w:type="spellEnd"/>
      <w:r w:rsidRPr="00E432F2">
        <w:rPr>
          <w:szCs w:val="20"/>
        </w:rPr>
        <w:t xml:space="preserve">[era] sobre estereotipos culturales generales, en lugar de centrarse en el contexto de lo ocurrido y en los resultados objetivos que arroje la </w:t>
      </w:r>
      <w:proofErr w:type="spellStart"/>
      <w:r w:rsidRPr="00E432F2">
        <w:rPr>
          <w:szCs w:val="20"/>
        </w:rPr>
        <w:t>investigación</w:t>
      </w:r>
      <w:proofErr w:type="spellEnd"/>
      <w:r w:rsidRPr="00E432F2">
        <w:rPr>
          <w:szCs w:val="20"/>
        </w:rPr>
        <w:t>”.</w:t>
      </w:r>
    </w:p>
    <w:p w14:paraId="32B6EF4F" w14:textId="6E7874CF" w:rsidR="00E432F2" w:rsidRPr="00E432F2" w:rsidRDefault="00E432F2" w:rsidP="00E432F2">
      <w:pPr>
        <w:rPr>
          <w:szCs w:val="20"/>
        </w:rPr>
      </w:pPr>
      <w:r w:rsidRPr="00E432F2">
        <w:rPr>
          <w:szCs w:val="20"/>
        </w:rPr>
        <w:t xml:space="preserve">147. En efecto, en las diversas declaraciones testimoniales tomadas en el curso de la </w:t>
      </w:r>
      <w:proofErr w:type="spellStart"/>
      <w:r w:rsidRPr="00E432F2">
        <w:rPr>
          <w:szCs w:val="20"/>
        </w:rPr>
        <w:t>investigación</w:t>
      </w:r>
      <w:proofErr w:type="spellEnd"/>
      <w:r w:rsidRPr="00E432F2">
        <w:rPr>
          <w:szCs w:val="20"/>
        </w:rPr>
        <w:t xml:space="preserve"> policial y el proceso penal, se nota la </w:t>
      </w:r>
      <w:proofErr w:type="spellStart"/>
      <w:r w:rsidRPr="00E432F2">
        <w:rPr>
          <w:szCs w:val="20"/>
        </w:rPr>
        <w:t>reiteración</w:t>
      </w:r>
      <w:proofErr w:type="spellEnd"/>
      <w:r w:rsidRPr="00E432F2">
        <w:rPr>
          <w:szCs w:val="20"/>
        </w:rPr>
        <w:t xml:space="preserve"> de preguntas sobre la sexualidad de </w:t>
      </w:r>
      <w:proofErr w:type="spellStart"/>
      <w:r w:rsidRPr="00E432F2">
        <w:rPr>
          <w:szCs w:val="20"/>
        </w:rPr>
        <w:t>Márcia</w:t>
      </w:r>
      <w:proofErr w:type="spellEnd"/>
      <w:r w:rsidRPr="00E432F2">
        <w:rPr>
          <w:szCs w:val="20"/>
        </w:rPr>
        <w:t xml:space="preserve"> Barbosa. De igual modo, se identificaron preguntas sobre el consumo de drogas y alcohol por su parte, aunque el examen </w:t>
      </w:r>
      <w:proofErr w:type="spellStart"/>
      <w:r w:rsidRPr="00E432F2">
        <w:rPr>
          <w:szCs w:val="20"/>
        </w:rPr>
        <w:t>químico</w:t>
      </w:r>
      <w:proofErr w:type="spellEnd"/>
      <w:r w:rsidRPr="00E432F2">
        <w:rPr>
          <w:szCs w:val="20"/>
        </w:rPr>
        <w:t xml:space="preserve"> </w:t>
      </w:r>
      <w:proofErr w:type="spellStart"/>
      <w:r w:rsidRPr="00E432F2">
        <w:rPr>
          <w:szCs w:val="20"/>
        </w:rPr>
        <w:t>toxicológico</w:t>
      </w:r>
      <w:proofErr w:type="spellEnd"/>
      <w:r w:rsidRPr="00E432F2">
        <w:rPr>
          <w:szCs w:val="20"/>
        </w:rPr>
        <w:t xml:space="preserve"> llevado a cabo en los primeros </w:t>
      </w:r>
      <w:proofErr w:type="spellStart"/>
      <w:r w:rsidRPr="00E432F2">
        <w:rPr>
          <w:szCs w:val="20"/>
        </w:rPr>
        <w:t>días</w:t>
      </w:r>
      <w:proofErr w:type="spellEnd"/>
      <w:r w:rsidRPr="00E432F2">
        <w:rPr>
          <w:szCs w:val="20"/>
        </w:rPr>
        <w:t xml:space="preserve"> de las investigaciones, paralelamente a la autopsia, </w:t>
      </w:r>
      <w:proofErr w:type="spellStart"/>
      <w:r w:rsidRPr="00E432F2">
        <w:rPr>
          <w:szCs w:val="20"/>
        </w:rPr>
        <w:t>había</w:t>
      </w:r>
      <w:proofErr w:type="spellEnd"/>
      <w:r w:rsidRPr="00E432F2">
        <w:rPr>
          <w:szCs w:val="20"/>
        </w:rPr>
        <w:t xml:space="preserve"> registrado una cantidad no significativa de sustancias en su sangre que le </w:t>
      </w:r>
      <w:proofErr w:type="spellStart"/>
      <w:r w:rsidRPr="00E432F2">
        <w:rPr>
          <w:szCs w:val="20"/>
        </w:rPr>
        <w:t>permitirían</w:t>
      </w:r>
      <w:proofErr w:type="spellEnd"/>
      <w:r w:rsidRPr="00E432F2">
        <w:rPr>
          <w:szCs w:val="20"/>
        </w:rPr>
        <w:t xml:space="preserve"> a la </w:t>
      </w:r>
      <w:proofErr w:type="spellStart"/>
      <w:r w:rsidRPr="00E432F2">
        <w:rPr>
          <w:szCs w:val="20"/>
        </w:rPr>
        <w:t>señora</w:t>
      </w:r>
      <w:proofErr w:type="spellEnd"/>
      <w:r w:rsidRPr="00E432F2">
        <w:rPr>
          <w:szCs w:val="20"/>
        </w:rPr>
        <w:t xml:space="preserve"> Barbosa de Souza resguardar sus facultades normales de reflejos. En este sentido, la perita </w:t>
      </w:r>
      <w:proofErr w:type="spellStart"/>
      <w:r w:rsidRPr="00E432F2">
        <w:rPr>
          <w:szCs w:val="20"/>
        </w:rPr>
        <w:t>Soraia</w:t>
      </w:r>
      <w:proofErr w:type="spellEnd"/>
      <w:r w:rsidRPr="00E432F2">
        <w:rPr>
          <w:szCs w:val="20"/>
        </w:rPr>
        <w:t xml:space="preserve"> </w:t>
      </w:r>
      <w:proofErr w:type="spellStart"/>
      <w:r w:rsidRPr="00E432F2">
        <w:rPr>
          <w:szCs w:val="20"/>
        </w:rPr>
        <w:t>Mendes</w:t>
      </w:r>
      <w:proofErr w:type="spellEnd"/>
      <w:r w:rsidRPr="00E432F2">
        <w:rPr>
          <w:szCs w:val="20"/>
        </w:rPr>
        <w:t xml:space="preserve"> </w:t>
      </w:r>
      <w:proofErr w:type="spellStart"/>
      <w:r w:rsidRPr="00E432F2">
        <w:rPr>
          <w:szCs w:val="20"/>
        </w:rPr>
        <w:t>señalo</w:t>
      </w:r>
      <w:proofErr w:type="spellEnd"/>
      <w:r w:rsidRPr="00E432F2">
        <w:rPr>
          <w:szCs w:val="20"/>
        </w:rPr>
        <w:t xml:space="preserve">́ que, de los 12 testigos escuchados, siete </w:t>
      </w:r>
      <w:proofErr w:type="spellStart"/>
      <w:r w:rsidRPr="00E432F2">
        <w:rPr>
          <w:szCs w:val="20"/>
        </w:rPr>
        <w:t>conocían</w:t>
      </w:r>
      <w:proofErr w:type="spellEnd"/>
      <w:r w:rsidRPr="00E432F2">
        <w:rPr>
          <w:szCs w:val="20"/>
        </w:rPr>
        <w:t xml:space="preserve"> a la </w:t>
      </w:r>
      <w:proofErr w:type="spellStart"/>
      <w:r w:rsidRPr="00E432F2">
        <w:rPr>
          <w:szCs w:val="20"/>
        </w:rPr>
        <w:t>señora</w:t>
      </w:r>
      <w:proofErr w:type="spellEnd"/>
      <w:r w:rsidRPr="00E432F2">
        <w:rPr>
          <w:szCs w:val="20"/>
        </w:rPr>
        <w:t xml:space="preserve"> Barbosa de Souza y a todos se les preguntó sobre el posible uso de drogas por parte de </w:t>
      </w:r>
      <w:proofErr w:type="spellStart"/>
      <w:r w:rsidRPr="00E432F2">
        <w:rPr>
          <w:szCs w:val="20"/>
        </w:rPr>
        <w:t>Márcia</w:t>
      </w:r>
      <w:proofErr w:type="spellEnd"/>
      <w:r w:rsidRPr="00E432F2">
        <w:rPr>
          <w:szCs w:val="20"/>
        </w:rPr>
        <w:t>, y a dos sobre su sexualidad.</w:t>
      </w:r>
    </w:p>
    <w:p w14:paraId="25E7FBC0" w14:textId="69394B02" w:rsidR="00E432F2" w:rsidRPr="00E432F2" w:rsidRDefault="00E432F2" w:rsidP="00E432F2">
      <w:pPr>
        <w:rPr>
          <w:szCs w:val="20"/>
        </w:rPr>
      </w:pPr>
      <w:r w:rsidRPr="00E432F2">
        <w:rPr>
          <w:szCs w:val="20"/>
        </w:rPr>
        <w:lastRenderedPageBreak/>
        <w:t xml:space="preserve">148. </w:t>
      </w:r>
      <w:proofErr w:type="spellStart"/>
      <w:r w:rsidRPr="00E432F2">
        <w:rPr>
          <w:szCs w:val="20"/>
        </w:rPr>
        <w:t>Según</w:t>
      </w:r>
      <w:proofErr w:type="spellEnd"/>
      <w:r w:rsidRPr="00E432F2">
        <w:rPr>
          <w:szCs w:val="20"/>
        </w:rPr>
        <w:t xml:space="preserve"> la perita </w:t>
      </w:r>
      <w:proofErr w:type="spellStart"/>
      <w:r w:rsidRPr="00E432F2">
        <w:rPr>
          <w:szCs w:val="20"/>
        </w:rPr>
        <w:t>Soraia</w:t>
      </w:r>
      <w:proofErr w:type="spellEnd"/>
      <w:r w:rsidRPr="00E432F2">
        <w:rPr>
          <w:szCs w:val="20"/>
        </w:rPr>
        <w:t xml:space="preserve"> </w:t>
      </w:r>
      <w:proofErr w:type="spellStart"/>
      <w:r w:rsidRPr="00E432F2">
        <w:rPr>
          <w:szCs w:val="20"/>
        </w:rPr>
        <w:t>Mendes</w:t>
      </w:r>
      <w:proofErr w:type="spellEnd"/>
      <w:r w:rsidRPr="00E432F2">
        <w:rPr>
          <w:szCs w:val="20"/>
        </w:rPr>
        <w:t xml:space="preserve">, la </w:t>
      </w:r>
      <w:proofErr w:type="spellStart"/>
      <w:r w:rsidRPr="00E432F2">
        <w:rPr>
          <w:szCs w:val="20"/>
        </w:rPr>
        <w:t>repetición</w:t>
      </w:r>
      <w:proofErr w:type="spellEnd"/>
      <w:r w:rsidRPr="00E432F2">
        <w:rPr>
          <w:szCs w:val="20"/>
        </w:rPr>
        <w:t xml:space="preserve"> de pruebas testimoniales buscó construir una imagen de </w:t>
      </w:r>
      <w:proofErr w:type="spellStart"/>
      <w:r w:rsidRPr="00E432F2">
        <w:rPr>
          <w:szCs w:val="20"/>
        </w:rPr>
        <w:t>Márcia</w:t>
      </w:r>
      <w:proofErr w:type="spellEnd"/>
      <w:r w:rsidRPr="00E432F2">
        <w:rPr>
          <w:szCs w:val="20"/>
        </w:rPr>
        <w:t xml:space="preserve"> Babosa para generar dudas respecto a la responsabilidad penal del</w:t>
      </w:r>
      <w:r>
        <w:rPr>
          <w:szCs w:val="20"/>
        </w:rPr>
        <w:t xml:space="preserve"> </w:t>
      </w:r>
      <w:r w:rsidRPr="00E432F2">
        <w:rPr>
          <w:szCs w:val="20"/>
        </w:rPr>
        <w:t xml:space="preserve">entonces diputado por su homicidio. La perita </w:t>
      </w:r>
      <w:proofErr w:type="spellStart"/>
      <w:r w:rsidRPr="00E432F2">
        <w:rPr>
          <w:szCs w:val="20"/>
        </w:rPr>
        <w:t>Mendes</w:t>
      </w:r>
      <w:proofErr w:type="spellEnd"/>
      <w:r w:rsidRPr="00E432F2">
        <w:rPr>
          <w:szCs w:val="20"/>
        </w:rPr>
        <w:t xml:space="preserve"> recalcó que no solo se </w:t>
      </w:r>
      <w:proofErr w:type="spellStart"/>
      <w:r w:rsidRPr="00E432F2">
        <w:rPr>
          <w:szCs w:val="20"/>
        </w:rPr>
        <w:t>inquirio</w:t>
      </w:r>
      <w:proofErr w:type="spellEnd"/>
      <w:r w:rsidRPr="00E432F2">
        <w:rPr>
          <w:szCs w:val="20"/>
        </w:rPr>
        <w:t xml:space="preserve">́ a los testigos sobre los hechos, sino también sobre la conducta social, la personalidad y la sexualidad de </w:t>
      </w:r>
      <w:proofErr w:type="spellStart"/>
      <w:r w:rsidRPr="00E432F2">
        <w:rPr>
          <w:szCs w:val="20"/>
        </w:rPr>
        <w:t>Márcia</w:t>
      </w:r>
      <w:proofErr w:type="spellEnd"/>
      <w:r w:rsidRPr="00E432F2">
        <w:rPr>
          <w:szCs w:val="20"/>
        </w:rPr>
        <w:t xml:space="preserve"> Barbosa, lo cual </w:t>
      </w:r>
      <w:proofErr w:type="spellStart"/>
      <w:r w:rsidRPr="00E432F2">
        <w:rPr>
          <w:szCs w:val="20"/>
        </w:rPr>
        <w:t>indicaría</w:t>
      </w:r>
      <w:proofErr w:type="spellEnd"/>
      <w:r w:rsidRPr="00E432F2">
        <w:rPr>
          <w:szCs w:val="20"/>
        </w:rPr>
        <w:t xml:space="preserve"> una “</w:t>
      </w:r>
      <w:proofErr w:type="spellStart"/>
      <w:r w:rsidRPr="00E432F2">
        <w:rPr>
          <w:szCs w:val="20"/>
        </w:rPr>
        <w:t>investigación</w:t>
      </w:r>
      <w:proofErr w:type="spellEnd"/>
      <w:r w:rsidRPr="00E432F2">
        <w:rPr>
          <w:szCs w:val="20"/>
        </w:rPr>
        <w:t xml:space="preserve"> sobre la </w:t>
      </w:r>
      <w:proofErr w:type="spellStart"/>
      <w:r w:rsidRPr="00E432F2">
        <w:rPr>
          <w:szCs w:val="20"/>
        </w:rPr>
        <w:t>víctima</w:t>
      </w:r>
      <w:proofErr w:type="spellEnd"/>
      <w:r w:rsidRPr="00E432F2">
        <w:rPr>
          <w:szCs w:val="20"/>
        </w:rPr>
        <w:t xml:space="preserve">, su comportamiento, su </w:t>
      </w:r>
      <w:proofErr w:type="spellStart"/>
      <w:r w:rsidRPr="00E432F2">
        <w:rPr>
          <w:szCs w:val="20"/>
        </w:rPr>
        <w:t>reputación</w:t>
      </w:r>
      <w:proofErr w:type="spellEnd"/>
      <w:r w:rsidRPr="00E432F2">
        <w:rPr>
          <w:szCs w:val="20"/>
        </w:rPr>
        <w:t xml:space="preserve">. Algo que toma las </w:t>
      </w:r>
      <w:proofErr w:type="spellStart"/>
      <w:r w:rsidRPr="00E432F2">
        <w:rPr>
          <w:szCs w:val="20"/>
        </w:rPr>
        <w:t>páginas</w:t>
      </w:r>
      <w:proofErr w:type="spellEnd"/>
      <w:r w:rsidRPr="00E432F2">
        <w:rPr>
          <w:szCs w:val="20"/>
        </w:rPr>
        <w:t xml:space="preserve"> de los </w:t>
      </w:r>
      <w:proofErr w:type="spellStart"/>
      <w:r w:rsidRPr="00E432F2">
        <w:rPr>
          <w:szCs w:val="20"/>
        </w:rPr>
        <w:t>periódicos</w:t>
      </w:r>
      <w:proofErr w:type="spellEnd"/>
      <w:r w:rsidRPr="00E432F2">
        <w:rPr>
          <w:szCs w:val="20"/>
        </w:rPr>
        <w:t xml:space="preserve"> y se proyecta para el expediente del proceso judicial </w:t>
      </w:r>
      <w:proofErr w:type="spellStart"/>
      <w:r w:rsidRPr="00E432F2">
        <w:rPr>
          <w:szCs w:val="20"/>
        </w:rPr>
        <w:t>aún</w:t>
      </w:r>
      <w:proofErr w:type="spellEnd"/>
      <w:r w:rsidRPr="00E432F2">
        <w:rPr>
          <w:szCs w:val="20"/>
        </w:rPr>
        <w:t xml:space="preserve"> con </w:t>
      </w:r>
      <w:proofErr w:type="spellStart"/>
      <w:r w:rsidRPr="00E432F2">
        <w:rPr>
          <w:szCs w:val="20"/>
        </w:rPr>
        <w:t>más</w:t>
      </w:r>
      <w:proofErr w:type="spellEnd"/>
      <w:r w:rsidRPr="00E432F2">
        <w:rPr>
          <w:szCs w:val="20"/>
        </w:rPr>
        <w:t xml:space="preserve"> fuerza”.</w:t>
      </w:r>
    </w:p>
    <w:p w14:paraId="4FB1B2DD" w14:textId="4F565BC8" w:rsidR="00E432F2" w:rsidRPr="00E432F2" w:rsidRDefault="00E432F2" w:rsidP="00E432F2">
      <w:pPr>
        <w:rPr>
          <w:szCs w:val="20"/>
        </w:rPr>
      </w:pPr>
      <w:r w:rsidRPr="00E432F2">
        <w:rPr>
          <w:szCs w:val="20"/>
        </w:rPr>
        <w:t xml:space="preserve">149. Asimismo, durante la </w:t>
      </w:r>
      <w:proofErr w:type="spellStart"/>
      <w:r w:rsidRPr="00E432F2">
        <w:rPr>
          <w:szCs w:val="20"/>
        </w:rPr>
        <w:t>tramitación</w:t>
      </w:r>
      <w:proofErr w:type="spellEnd"/>
      <w:r w:rsidRPr="00E432F2">
        <w:rPr>
          <w:szCs w:val="20"/>
        </w:rPr>
        <w:t xml:space="preserve"> del proceso penal contra </w:t>
      </w:r>
      <w:proofErr w:type="spellStart"/>
      <w:r w:rsidRPr="00E432F2">
        <w:rPr>
          <w:szCs w:val="20"/>
        </w:rPr>
        <w:t>Aércio</w:t>
      </w:r>
      <w:proofErr w:type="spellEnd"/>
      <w:r w:rsidRPr="00E432F2">
        <w:rPr>
          <w:szCs w:val="20"/>
        </w:rPr>
        <w:t xml:space="preserve"> Pereira de Lima ante el Tribunal de Jurados, el abogado de la defensa solicitó la </w:t>
      </w:r>
      <w:proofErr w:type="spellStart"/>
      <w:r w:rsidRPr="00E432F2">
        <w:rPr>
          <w:szCs w:val="20"/>
        </w:rPr>
        <w:t>incorporación</w:t>
      </w:r>
      <w:proofErr w:type="spellEnd"/>
      <w:r w:rsidRPr="00E432F2">
        <w:rPr>
          <w:szCs w:val="20"/>
        </w:rPr>
        <w:t xml:space="preserve"> al expediente del proceso de </w:t>
      </w:r>
      <w:proofErr w:type="spellStart"/>
      <w:r w:rsidRPr="00E432F2">
        <w:rPr>
          <w:szCs w:val="20"/>
        </w:rPr>
        <w:t>más</w:t>
      </w:r>
      <w:proofErr w:type="spellEnd"/>
      <w:r w:rsidRPr="00E432F2">
        <w:rPr>
          <w:szCs w:val="20"/>
        </w:rPr>
        <w:t xml:space="preserve"> de 150 </w:t>
      </w:r>
      <w:proofErr w:type="spellStart"/>
      <w:r w:rsidRPr="00E432F2">
        <w:rPr>
          <w:szCs w:val="20"/>
        </w:rPr>
        <w:t>páginas</w:t>
      </w:r>
      <w:proofErr w:type="spellEnd"/>
      <w:r w:rsidRPr="00E432F2">
        <w:rPr>
          <w:szCs w:val="20"/>
        </w:rPr>
        <w:t xml:space="preserve"> de </w:t>
      </w:r>
      <w:proofErr w:type="spellStart"/>
      <w:r w:rsidRPr="00E432F2">
        <w:rPr>
          <w:szCs w:val="20"/>
        </w:rPr>
        <w:t>artículos</w:t>
      </w:r>
      <w:proofErr w:type="spellEnd"/>
      <w:r w:rsidRPr="00E432F2">
        <w:rPr>
          <w:szCs w:val="20"/>
        </w:rPr>
        <w:t xml:space="preserve"> de </w:t>
      </w:r>
      <w:proofErr w:type="spellStart"/>
      <w:r w:rsidRPr="00E432F2">
        <w:rPr>
          <w:szCs w:val="20"/>
        </w:rPr>
        <w:t>periódicos</w:t>
      </w:r>
      <w:proofErr w:type="spellEnd"/>
      <w:r w:rsidRPr="00E432F2">
        <w:rPr>
          <w:szCs w:val="20"/>
        </w:rPr>
        <w:t xml:space="preserve"> que se </w:t>
      </w:r>
      <w:proofErr w:type="spellStart"/>
      <w:r w:rsidRPr="00E432F2">
        <w:rPr>
          <w:szCs w:val="20"/>
        </w:rPr>
        <w:t>referían</w:t>
      </w:r>
      <w:proofErr w:type="spellEnd"/>
      <w:r w:rsidRPr="00E432F2">
        <w:rPr>
          <w:szCs w:val="20"/>
        </w:rPr>
        <w:t xml:space="preserve"> a la </w:t>
      </w:r>
      <w:proofErr w:type="spellStart"/>
      <w:r w:rsidRPr="00E432F2">
        <w:rPr>
          <w:szCs w:val="20"/>
        </w:rPr>
        <w:t>prostitución</w:t>
      </w:r>
      <w:proofErr w:type="spellEnd"/>
      <w:r w:rsidRPr="00E432F2">
        <w:rPr>
          <w:szCs w:val="20"/>
        </w:rPr>
        <w:t xml:space="preserve">, sobredosis y pretendido suicidio </w:t>
      </w:r>
      <w:r>
        <w:rPr>
          <w:szCs w:val="20"/>
        </w:rPr>
        <w:t>[...]</w:t>
      </w:r>
      <w:r w:rsidRPr="00E432F2">
        <w:rPr>
          <w:szCs w:val="20"/>
        </w:rPr>
        <w:t xml:space="preserve">, para ligarlos a </w:t>
      </w:r>
      <w:proofErr w:type="spellStart"/>
      <w:r w:rsidRPr="00E432F2">
        <w:rPr>
          <w:szCs w:val="20"/>
        </w:rPr>
        <w:t>Márcia</w:t>
      </w:r>
      <w:proofErr w:type="spellEnd"/>
      <w:r w:rsidRPr="00E432F2">
        <w:rPr>
          <w:szCs w:val="20"/>
        </w:rPr>
        <w:t xml:space="preserve"> Barbosa con la </w:t>
      </w:r>
      <w:proofErr w:type="spellStart"/>
      <w:r w:rsidRPr="00E432F2">
        <w:rPr>
          <w:szCs w:val="20"/>
        </w:rPr>
        <w:t>intención</w:t>
      </w:r>
      <w:proofErr w:type="spellEnd"/>
      <w:r w:rsidRPr="00E432F2">
        <w:rPr>
          <w:szCs w:val="20"/>
        </w:rPr>
        <w:t xml:space="preserve"> de afectar su imagen. Adicionalmente, el defensor realizó diversas menciones en el curso del proceso sobre la </w:t>
      </w:r>
      <w:proofErr w:type="spellStart"/>
      <w:r w:rsidRPr="00E432F2">
        <w:rPr>
          <w:szCs w:val="20"/>
        </w:rPr>
        <w:t>orientación</w:t>
      </w:r>
      <w:proofErr w:type="spellEnd"/>
      <w:r w:rsidRPr="00E432F2">
        <w:rPr>
          <w:szCs w:val="20"/>
        </w:rPr>
        <w:t xml:space="preserve"> sexual de la </w:t>
      </w:r>
      <w:proofErr w:type="spellStart"/>
      <w:r w:rsidRPr="00E432F2">
        <w:rPr>
          <w:szCs w:val="20"/>
        </w:rPr>
        <w:t>víctima</w:t>
      </w:r>
      <w:proofErr w:type="spellEnd"/>
      <w:r w:rsidRPr="00E432F2">
        <w:rPr>
          <w:szCs w:val="20"/>
        </w:rPr>
        <w:t xml:space="preserve">, una supuesta </w:t>
      </w:r>
      <w:proofErr w:type="spellStart"/>
      <w:r w:rsidRPr="00E432F2">
        <w:rPr>
          <w:szCs w:val="20"/>
        </w:rPr>
        <w:t>drogadicción</w:t>
      </w:r>
      <w:proofErr w:type="spellEnd"/>
      <w:r w:rsidRPr="00E432F2">
        <w:rPr>
          <w:szCs w:val="20"/>
        </w:rPr>
        <w:t xml:space="preserve">, comportamientos suicidas y depresiones258. Igualmente, </w:t>
      </w:r>
      <w:proofErr w:type="spellStart"/>
      <w:r w:rsidRPr="00E432F2">
        <w:rPr>
          <w:szCs w:val="20"/>
        </w:rPr>
        <w:t>describio</w:t>
      </w:r>
      <w:proofErr w:type="spellEnd"/>
      <w:r w:rsidRPr="00E432F2">
        <w:rPr>
          <w:szCs w:val="20"/>
        </w:rPr>
        <w:t xml:space="preserve">́ a </w:t>
      </w:r>
      <w:proofErr w:type="spellStart"/>
      <w:r w:rsidRPr="00E432F2">
        <w:rPr>
          <w:szCs w:val="20"/>
        </w:rPr>
        <w:t>Márcia</w:t>
      </w:r>
      <w:proofErr w:type="spellEnd"/>
      <w:r w:rsidRPr="00E432F2">
        <w:rPr>
          <w:szCs w:val="20"/>
        </w:rPr>
        <w:t xml:space="preserve"> como una “prostituta” y a </w:t>
      </w:r>
      <w:proofErr w:type="spellStart"/>
      <w:r w:rsidRPr="00E432F2">
        <w:rPr>
          <w:szCs w:val="20"/>
        </w:rPr>
        <w:t>Aércio</w:t>
      </w:r>
      <w:proofErr w:type="spellEnd"/>
      <w:r w:rsidRPr="00E432F2">
        <w:rPr>
          <w:szCs w:val="20"/>
        </w:rPr>
        <w:t xml:space="preserve"> como “el padre de familia” que “se dejó llevar por los encantos de una joven" y que, en un momento de rabia, </w:t>
      </w:r>
      <w:proofErr w:type="spellStart"/>
      <w:r w:rsidRPr="00E432F2">
        <w:rPr>
          <w:szCs w:val="20"/>
        </w:rPr>
        <w:t>habría</w:t>
      </w:r>
      <w:proofErr w:type="spellEnd"/>
      <w:r w:rsidRPr="00E432F2">
        <w:rPr>
          <w:szCs w:val="20"/>
        </w:rPr>
        <w:t xml:space="preserve"> "cometido un error”.</w:t>
      </w:r>
    </w:p>
    <w:p w14:paraId="684179A2" w14:textId="07193EB1" w:rsidR="00E432F2" w:rsidRDefault="00E432F2" w:rsidP="00E432F2">
      <w:pPr>
        <w:rPr>
          <w:szCs w:val="20"/>
        </w:rPr>
      </w:pPr>
      <w:r w:rsidRPr="00E432F2">
        <w:rPr>
          <w:szCs w:val="20"/>
        </w:rPr>
        <w:t xml:space="preserve">150. A la vista de todo lo anterior, el Tribunal concluye que la </w:t>
      </w:r>
      <w:proofErr w:type="spellStart"/>
      <w:r w:rsidRPr="00E432F2">
        <w:rPr>
          <w:szCs w:val="20"/>
        </w:rPr>
        <w:t>investigación</w:t>
      </w:r>
      <w:proofErr w:type="spellEnd"/>
      <w:r w:rsidRPr="00E432F2">
        <w:rPr>
          <w:szCs w:val="20"/>
        </w:rPr>
        <w:t xml:space="preserve"> y el proceso penal por los hechos relacionados con el homicidio de </w:t>
      </w:r>
      <w:proofErr w:type="spellStart"/>
      <w:r w:rsidRPr="00E432F2">
        <w:rPr>
          <w:szCs w:val="20"/>
        </w:rPr>
        <w:t>Márcia</w:t>
      </w:r>
      <w:proofErr w:type="spellEnd"/>
      <w:r w:rsidRPr="00E432F2">
        <w:rPr>
          <w:szCs w:val="20"/>
        </w:rPr>
        <w:t xml:space="preserve"> Barbosa de Souza tuvieron un </w:t>
      </w:r>
      <w:proofErr w:type="spellStart"/>
      <w:r w:rsidRPr="00E432F2">
        <w:rPr>
          <w:szCs w:val="20"/>
        </w:rPr>
        <w:t>carácter</w:t>
      </w:r>
      <w:proofErr w:type="spellEnd"/>
      <w:r w:rsidRPr="00E432F2">
        <w:rPr>
          <w:szCs w:val="20"/>
        </w:rPr>
        <w:t xml:space="preserve"> discriminatorio por </w:t>
      </w:r>
      <w:proofErr w:type="spellStart"/>
      <w:r w:rsidRPr="00E432F2">
        <w:rPr>
          <w:szCs w:val="20"/>
        </w:rPr>
        <w:t>razón</w:t>
      </w:r>
      <w:proofErr w:type="spellEnd"/>
      <w:r w:rsidRPr="00E432F2">
        <w:rPr>
          <w:szCs w:val="20"/>
        </w:rPr>
        <w:t xml:space="preserve"> de </w:t>
      </w:r>
      <w:proofErr w:type="spellStart"/>
      <w:r w:rsidRPr="00E432F2">
        <w:rPr>
          <w:szCs w:val="20"/>
        </w:rPr>
        <w:t>género</w:t>
      </w:r>
      <w:proofErr w:type="spellEnd"/>
      <w:r w:rsidRPr="00E432F2">
        <w:rPr>
          <w:szCs w:val="20"/>
        </w:rPr>
        <w:t xml:space="preserve"> y no han sido conducidos con una perspectiva de </w:t>
      </w:r>
      <w:proofErr w:type="spellStart"/>
      <w:r w:rsidRPr="00E432F2">
        <w:rPr>
          <w:szCs w:val="20"/>
        </w:rPr>
        <w:t>género</w:t>
      </w:r>
      <w:proofErr w:type="spellEnd"/>
      <w:r w:rsidRPr="00E432F2">
        <w:rPr>
          <w:szCs w:val="20"/>
        </w:rPr>
        <w:t xml:space="preserve"> de acuerdo a las obligaciones especiales impuestas por la Convención de </w:t>
      </w:r>
      <w:proofErr w:type="spellStart"/>
      <w:r w:rsidRPr="00E432F2">
        <w:rPr>
          <w:szCs w:val="20"/>
        </w:rPr>
        <w:t>Belém</w:t>
      </w:r>
      <w:proofErr w:type="spellEnd"/>
      <w:r w:rsidRPr="00E432F2">
        <w:rPr>
          <w:szCs w:val="20"/>
        </w:rPr>
        <w:t xml:space="preserve"> do Pará. Por tanto, el Estado no adoptó medidas dirigidas a garantizar la igualdad material en el derecho de acceso a la justicia respecto de casos relacionados con violencia contra las mujeres, en perjuicio de los familiares de </w:t>
      </w:r>
      <w:proofErr w:type="spellStart"/>
      <w:r w:rsidRPr="00E432F2">
        <w:rPr>
          <w:szCs w:val="20"/>
        </w:rPr>
        <w:t>Márcia</w:t>
      </w:r>
      <w:proofErr w:type="spellEnd"/>
      <w:r w:rsidRPr="00E432F2">
        <w:rPr>
          <w:szCs w:val="20"/>
        </w:rPr>
        <w:t xml:space="preserve"> Barbosa de Souza. Esta situación implica que, en el presente caso, no se garantizó el derecho de acceso a la justicia sin discriminación, </w:t>
      </w:r>
      <w:proofErr w:type="spellStart"/>
      <w:r w:rsidRPr="00E432F2">
        <w:rPr>
          <w:szCs w:val="20"/>
        </w:rPr>
        <w:t>asi</w:t>
      </w:r>
      <w:proofErr w:type="spellEnd"/>
      <w:r w:rsidRPr="00E432F2">
        <w:rPr>
          <w:szCs w:val="20"/>
        </w:rPr>
        <w:t>́ como el derecho a la igualdad.</w:t>
      </w:r>
    </w:p>
    <w:p w14:paraId="2F0954E1" w14:textId="77777777" w:rsidR="000262BB" w:rsidRPr="000262BB" w:rsidRDefault="000262BB" w:rsidP="000262BB">
      <w:pPr>
        <w:pStyle w:val="Caso"/>
      </w:pPr>
      <w:r w:rsidRPr="000262BB">
        <w:t>Corte IDH. Caso Manuela y otros Vs. El Salvador. Excepciones preliminares, Fondo, Reparaciones y Costas. Sentencia de 2 de noviembre de 2021. Serie C No. 441.</w:t>
      </w:r>
    </w:p>
    <w:p w14:paraId="629718AD" w14:textId="77777777" w:rsidR="000262BB" w:rsidRPr="000262BB" w:rsidRDefault="000262BB" w:rsidP="000262BB">
      <w:pPr>
        <w:rPr>
          <w:szCs w:val="20"/>
        </w:rPr>
      </w:pPr>
      <w:r w:rsidRPr="000262BB">
        <w:rPr>
          <w:szCs w:val="20"/>
        </w:rPr>
        <w:t xml:space="preserve">133. Por otra parte, este Tribunal ha </w:t>
      </w:r>
      <w:proofErr w:type="spellStart"/>
      <w:r w:rsidRPr="000262BB">
        <w:rPr>
          <w:szCs w:val="20"/>
        </w:rPr>
        <w:t>señalado</w:t>
      </w:r>
      <w:proofErr w:type="spellEnd"/>
      <w:r w:rsidRPr="000262BB">
        <w:rPr>
          <w:szCs w:val="20"/>
        </w:rPr>
        <w:t xml:space="preserve"> que el estereotipo de </w:t>
      </w:r>
      <w:proofErr w:type="spellStart"/>
      <w:r w:rsidRPr="000262BB">
        <w:rPr>
          <w:szCs w:val="20"/>
        </w:rPr>
        <w:t>género</w:t>
      </w:r>
      <w:proofErr w:type="spellEnd"/>
      <w:r w:rsidRPr="000262BB">
        <w:rPr>
          <w:szCs w:val="20"/>
        </w:rPr>
        <w:t xml:space="preserve"> se refiere a una </w:t>
      </w:r>
      <w:proofErr w:type="spellStart"/>
      <w:r w:rsidRPr="000262BB">
        <w:rPr>
          <w:szCs w:val="20"/>
        </w:rPr>
        <w:t>pre-concepción</w:t>
      </w:r>
      <w:proofErr w:type="spellEnd"/>
      <w:r w:rsidRPr="000262BB">
        <w:rPr>
          <w:szCs w:val="20"/>
        </w:rPr>
        <w:t xml:space="preserve"> de atributos, conductas o </w:t>
      </w:r>
      <w:proofErr w:type="spellStart"/>
      <w:r w:rsidRPr="000262BB">
        <w:rPr>
          <w:szCs w:val="20"/>
        </w:rPr>
        <w:t>características</w:t>
      </w:r>
      <w:proofErr w:type="spellEnd"/>
      <w:r w:rsidRPr="000262BB">
        <w:rPr>
          <w:szCs w:val="20"/>
        </w:rPr>
        <w:t xml:space="preserve"> </w:t>
      </w:r>
      <w:proofErr w:type="spellStart"/>
      <w:r w:rsidRPr="000262BB">
        <w:rPr>
          <w:szCs w:val="20"/>
        </w:rPr>
        <w:t>poseídas</w:t>
      </w:r>
      <w:proofErr w:type="spellEnd"/>
      <w:r w:rsidRPr="000262BB">
        <w:rPr>
          <w:szCs w:val="20"/>
        </w:rPr>
        <w:t xml:space="preserve"> o papeles que son o </w:t>
      </w:r>
      <w:proofErr w:type="spellStart"/>
      <w:r w:rsidRPr="000262BB">
        <w:rPr>
          <w:szCs w:val="20"/>
        </w:rPr>
        <w:t>deberían</w:t>
      </w:r>
      <w:proofErr w:type="spellEnd"/>
      <w:r w:rsidRPr="000262BB">
        <w:rPr>
          <w:szCs w:val="20"/>
        </w:rPr>
        <w:t xml:space="preserve"> ser ejecutados por hombres y mujeres respectivamente. La Corte ha </w:t>
      </w:r>
      <w:proofErr w:type="spellStart"/>
      <w:r w:rsidRPr="000262BB">
        <w:rPr>
          <w:szCs w:val="20"/>
        </w:rPr>
        <w:t>señalado</w:t>
      </w:r>
      <w:proofErr w:type="spellEnd"/>
      <w:r w:rsidRPr="000262BB">
        <w:rPr>
          <w:szCs w:val="20"/>
        </w:rPr>
        <w:t xml:space="preserve"> que es posible asociar la </w:t>
      </w:r>
      <w:proofErr w:type="spellStart"/>
      <w:r w:rsidRPr="000262BB">
        <w:rPr>
          <w:szCs w:val="20"/>
        </w:rPr>
        <w:t>subordinación</w:t>
      </w:r>
      <w:proofErr w:type="spellEnd"/>
      <w:r w:rsidRPr="000262BB">
        <w:rPr>
          <w:szCs w:val="20"/>
        </w:rPr>
        <w:t xml:space="preserve"> de la mujer a </w:t>
      </w:r>
      <w:proofErr w:type="spellStart"/>
      <w:r w:rsidRPr="000262BB">
        <w:rPr>
          <w:szCs w:val="20"/>
        </w:rPr>
        <w:t>prácticas</w:t>
      </w:r>
      <w:proofErr w:type="spellEnd"/>
      <w:r w:rsidRPr="000262BB">
        <w:rPr>
          <w:szCs w:val="20"/>
        </w:rPr>
        <w:t xml:space="preserve"> basadas en estereotipos de </w:t>
      </w:r>
      <w:proofErr w:type="spellStart"/>
      <w:r w:rsidRPr="000262BB">
        <w:rPr>
          <w:szCs w:val="20"/>
        </w:rPr>
        <w:t>género</w:t>
      </w:r>
      <w:proofErr w:type="spellEnd"/>
      <w:r w:rsidRPr="000262BB">
        <w:rPr>
          <w:szCs w:val="20"/>
        </w:rPr>
        <w:t xml:space="preserve"> socialmente dominantes y socialmente persistentes. En este sentido, su </w:t>
      </w:r>
      <w:proofErr w:type="spellStart"/>
      <w:r w:rsidRPr="000262BB">
        <w:rPr>
          <w:szCs w:val="20"/>
        </w:rPr>
        <w:t>creación</w:t>
      </w:r>
      <w:proofErr w:type="spellEnd"/>
      <w:r w:rsidRPr="000262BB">
        <w:rPr>
          <w:szCs w:val="20"/>
        </w:rPr>
        <w:t xml:space="preserve"> y uso se convierte en una de las causas y consecuencias de la violencia de </w:t>
      </w:r>
      <w:proofErr w:type="spellStart"/>
      <w:r w:rsidRPr="000262BB">
        <w:rPr>
          <w:szCs w:val="20"/>
        </w:rPr>
        <w:t>género</w:t>
      </w:r>
      <w:proofErr w:type="spellEnd"/>
      <w:r w:rsidRPr="000262BB">
        <w:rPr>
          <w:szCs w:val="20"/>
        </w:rPr>
        <w:t xml:space="preserve"> en contra de la mujer, condiciones que se agravan cuando se reflejan, </w:t>
      </w:r>
      <w:proofErr w:type="spellStart"/>
      <w:r w:rsidRPr="000262BB">
        <w:rPr>
          <w:szCs w:val="20"/>
        </w:rPr>
        <w:t>implícita</w:t>
      </w:r>
      <w:proofErr w:type="spellEnd"/>
      <w:r w:rsidRPr="000262BB">
        <w:rPr>
          <w:szCs w:val="20"/>
        </w:rPr>
        <w:t xml:space="preserve"> o </w:t>
      </w:r>
      <w:proofErr w:type="spellStart"/>
      <w:r w:rsidRPr="000262BB">
        <w:rPr>
          <w:szCs w:val="20"/>
        </w:rPr>
        <w:t>explícitamente</w:t>
      </w:r>
      <w:proofErr w:type="spellEnd"/>
      <w:r w:rsidRPr="000262BB">
        <w:rPr>
          <w:szCs w:val="20"/>
        </w:rPr>
        <w:t xml:space="preserve">, en </w:t>
      </w:r>
      <w:proofErr w:type="spellStart"/>
      <w:r w:rsidRPr="000262BB">
        <w:rPr>
          <w:szCs w:val="20"/>
        </w:rPr>
        <w:t>políticas</w:t>
      </w:r>
      <w:proofErr w:type="spellEnd"/>
      <w:r w:rsidRPr="000262BB">
        <w:rPr>
          <w:szCs w:val="20"/>
        </w:rPr>
        <w:t xml:space="preserve"> y </w:t>
      </w:r>
      <w:proofErr w:type="spellStart"/>
      <w:r w:rsidRPr="000262BB">
        <w:rPr>
          <w:szCs w:val="20"/>
        </w:rPr>
        <w:t>prácticas</w:t>
      </w:r>
      <w:proofErr w:type="spellEnd"/>
      <w:r w:rsidRPr="000262BB">
        <w:rPr>
          <w:szCs w:val="20"/>
        </w:rPr>
        <w:t xml:space="preserve">, particularmente en el razonamiento y el lenguaje de las autoridades estatales. En efecto, si bien la </w:t>
      </w:r>
      <w:proofErr w:type="spellStart"/>
      <w:r w:rsidRPr="000262BB">
        <w:rPr>
          <w:szCs w:val="20"/>
        </w:rPr>
        <w:t>utilización</w:t>
      </w:r>
      <w:proofErr w:type="spellEnd"/>
      <w:r w:rsidRPr="000262BB">
        <w:rPr>
          <w:szCs w:val="20"/>
        </w:rPr>
        <w:t xml:space="preserve"> de cualquier clase de estereotipos es </w:t>
      </w:r>
      <w:proofErr w:type="spellStart"/>
      <w:r w:rsidRPr="000262BB">
        <w:rPr>
          <w:szCs w:val="20"/>
        </w:rPr>
        <w:t>común</w:t>
      </w:r>
      <w:proofErr w:type="spellEnd"/>
      <w:r w:rsidRPr="000262BB">
        <w:rPr>
          <w:szCs w:val="20"/>
        </w:rPr>
        <w:t xml:space="preserve">, estos se vuelven nocivos cuando suponen un </w:t>
      </w:r>
      <w:proofErr w:type="spellStart"/>
      <w:r w:rsidRPr="000262BB">
        <w:rPr>
          <w:szCs w:val="20"/>
        </w:rPr>
        <w:t>obstáculo</w:t>
      </w:r>
      <w:proofErr w:type="spellEnd"/>
      <w:r w:rsidRPr="000262BB">
        <w:rPr>
          <w:szCs w:val="20"/>
        </w:rPr>
        <w:t xml:space="preserve"> para que las personas puedan desarrollar sus competencias personales, o cuando se traducen en una </w:t>
      </w:r>
      <w:proofErr w:type="spellStart"/>
      <w:r w:rsidRPr="000262BB">
        <w:rPr>
          <w:szCs w:val="20"/>
        </w:rPr>
        <w:t>violación</w:t>
      </w:r>
      <w:proofErr w:type="spellEnd"/>
      <w:r w:rsidRPr="000262BB">
        <w:rPr>
          <w:szCs w:val="20"/>
        </w:rPr>
        <w:t xml:space="preserve"> o violaciones de los derechos humanos. La Corte resalta </w:t>
      </w:r>
      <w:proofErr w:type="spellStart"/>
      <w:r w:rsidRPr="000262BB">
        <w:rPr>
          <w:szCs w:val="20"/>
        </w:rPr>
        <w:t>además</w:t>
      </w:r>
      <w:proofErr w:type="spellEnd"/>
      <w:r w:rsidRPr="000262BB">
        <w:rPr>
          <w:szCs w:val="20"/>
        </w:rPr>
        <w:t xml:space="preserve"> que la </w:t>
      </w:r>
      <w:proofErr w:type="spellStart"/>
      <w:r w:rsidRPr="000262BB">
        <w:rPr>
          <w:szCs w:val="20"/>
        </w:rPr>
        <w:t>utilización</w:t>
      </w:r>
      <w:proofErr w:type="spellEnd"/>
      <w:r w:rsidRPr="000262BB">
        <w:rPr>
          <w:szCs w:val="20"/>
        </w:rPr>
        <w:t xml:space="preserve"> de estereotipos por parte de las autoridades judiciales en sus providencias puede constituir un elemento indicativo de la existencia de falta de imparcialidad.</w:t>
      </w:r>
    </w:p>
    <w:p w14:paraId="1A1A13A9" w14:textId="77777777" w:rsidR="000262BB" w:rsidRPr="000262BB" w:rsidRDefault="000262BB" w:rsidP="000262BB">
      <w:pPr>
        <w:rPr>
          <w:szCs w:val="20"/>
        </w:rPr>
      </w:pPr>
      <w:r w:rsidRPr="000262BB">
        <w:rPr>
          <w:szCs w:val="20"/>
        </w:rPr>
        <w:t>[...]</w:t>
      </w:r>
    </w:p>
    <w:p w14:paraId="091A4D69" w14:textId="77777777" w:rsidR="000262BB" w:rsidRPr="000262BB" w:rsidRDefault="000262BB" w:rsidP="000262BB">
      <w:pPr>
        <w:rPr>
          <w:szCs w:val="20"/>
        </w:rPr>
      </w:pPr>
      <w:r w:rsidRPr="000262BB">
        <w:rPr>
          <w:szCs w:val="20"/>
        </w:rPr>
        <w:t xml:space="preserve">136. En el presente caso, el principio de </w:t>
      </w:r>
      <w:proofErr w:type="spellStart"/>
      <w:r w:rsidRPr="000262BB">
        <w:rPr>
          <w:szCs w:val="20"/>
        </w:rPr>
        <w:t>presunción</w:t>
      </w:r>
      <w:proofErr w:type="spellEnd"/>
      <w:r w:rsidRPr="000262BB">
        <w:rPr>
          <w:szCs w:val="20"/>
        </w:rPr>
        <w:t xml:space="preserve"> de inocencia implicaba que las autoridades internas </w:t>
      </w:r>
      <w:proofErr w:type="spellStart"/>
      <w:r w:rsidRPr="000262BB">
        <w:rPr>
          <w:szCs w:val="20"/>
        </w:rPr>
        <w:t>debían</w:t>
      </w:r>
      <w:proofErr w:type="spellEnd"/>
      <w:r w:rsidRPr="000262BB">
        <w:rPr>
          <w:szCs w:val="20"/>
        </w:rPr>
        <w:t xml:space="preserve"> investigar todas las </w:t>
      </w:r>
      <w:proofErr w:type="spellStart"/>
      <w:r w:rsidRPr="000262BB">
        <w:rPr>
          <w:szCs w:val="20"/>
        </w:rPr>
        <w:t>líneas</w:t>
      </w:r>
      <w:proofErr w:type="spellEnd"/>
      <w:r w:rsidRPr="000262BB">
        <w:rPr>
          <w:szCs w:val="20"/>
        </w:rPr>
        <w:t xml:space="preserve"> </w:t>
      </w:r>
      <w:proofErr w:type="spellStart"/>
      <w:r w:rsidRPr="000262BB">
        <w:rPr>
          <w:szCs w:val="20"/>
        </w:rPr>
        <w:t>lógicas</w:t>
      </w:r>
      <w:proofErr w:type="spellEnd"/>
      <w:r w:rsidRPr="000262BB">
        <w:rPr>
          <w:szCs w:val="20"/>
        </w:rPr>
        <w:t xml:space="preserve"> de </w:t>
      </w:r>
      <w:proofErr w:type="spellStart"/>
      <w:r w:rsidRPr="000262BB">
        <w:rPr>
          <w:szCs w:val="20"/>
        </w:rPr>
        <w:t>investigación</w:t>
      </w:r>
      <w:proofErr w:type="spellEnd"/>
      <w:r w:rsidRPr="000262BB">
        <w:rPr>
          <w:szCs w:val="20"/>
        </w:rPr>
        <w:t xml:space="preserve">, incluyendo la posibilidad de que la muerte del </w:t>
      </w:r>
      <w:proofErr w:type="spellStart"/>
      <w:r w:rsidRPr="000262BB">
        <w:rPr>
          <w:szCs w:val="20"/>
        </w:rPr>
        <w:t>recién</w:t>
      </w:r>
      <w:proofErr w:type="spellEnd"/>
      <w:r w:rsidRPr="000262BB">
        <w:rPr>
          <w:szCs w:val="20"/>
        </w:rPr>
        <w:t xml:space="preserve"> nacido no haya sido causada por Manuela, lo cual </w:t>
      </w:r>
      <w:proofErr w:type="spellStart"/>
      <w:r w:rsidRPr="000262BB">
        <w:rPr>
          <w:szCs w:val="20"/>
        </w:rPr>
        <w:t>podría</w:t>
      </w:r>
      <w:proofErr w:type="spellEnd"/>
      <w:r w:rsidRPr="000262BB">
        <w:rPr>
          <w:szCs w:val="20"/>
        </w:rPr>
        <w:t xml:space="preserve"> haber sido examinado </w:t>
      </w:r>
      <w:proofErr w:type="spellStart"/>
      <w:r w:rsidRPr="000262BB">
        <w:rPr>
          <w:szCs w:val="20"/>
        </w:rPr>
        <w:t>investigándose</w:t>
      </w:r>
      <w:proofErr w:type="spellEnd"/>
      <w:r w:rsidRPr="000262BB">
        <w:rPr>
          <w:szCs w:val="20"/>
        </w:rPr>
        <w:t xml:space="preserve"> sobre el estado de salud de Manuela, y si esto hubiera podido afectar al momento del parto.</w:t>
      </w:r>
    </w:p>
    <w:p w14:paraId="311EE5AD" w14:textId="77777777" w:rsidR="000262BB" w:rsidRPr="000262BB" w:rsidRDefault="000262BB" w:rsidP="000262BB">
      <w:pPr>
        <w:rPr>
          <w:szCs w:val="20"/>
        </w:rPr>
      </w:pPr>
      <w:r w:rsidRPr="000262BB">
        <w:rPr>
          <w:szCs w:val="20"/>
        </w:rPr>
        <w:lastRenderedPageBreak/>
        <w:t xml:space="preserve">139. La Corte advierte que dicho </w:t>
      </w:r>
      <w:proofErr w:type="spellStart"/>
      <w:r w:rsidRPr="000262BB">
        <w:rPr>
          <w:szCs w:val="20"/>
        </w:rPr>
        <w:t>médico</w:t>
      </w:r>
      <w:proofErr w:type="spellEnd"/>
      <w:r w:rsidRPr="000262BB">
        <w:rPr>
          <w:szCs w:val="20"/>
        </w:rPr>
        <w:t xml:space="preserve"> no examinó a Manuela, sino solo al </w:t>
      </w:r>
      <w:proofErr w:type="spellStart"/>
      <w:r w:rsidRPr="000262BB">
        <w:rPr>
          <w:szCs w:val="20"/>
        </w:rPr>
        <w:t>recién</w:t>
      </w:r>
      <w:proofErr w:type="spellEnd"/>
      <w:r w:rsidRPr="000262BB">
        <w:rPr>
          <w:szCs w:val="20"/>
        </w:rPr>
        <w:t xml:space="preserve"> nacido, y no tomó en cuenta el estado de salud de Manuela al momento de responder la pregunta realizada.</w:t>
      </w:r>
    </w:p>
    <w:p w14:paraId="72534ADE" w14:textId="77777777" w:rsidR="000262BB" w:rsidRPr="000262BB" w:rsidRDefault="000262BB" w:rsidP="000262BB">
      <w:pPr>
        <w:rPr>
          <w:szCs w:val="20"/>
        </w:rPr>
      </w:pPr>
      <w:r w:rsidRPr="000262BB">
        <w:rPr>
          <w:szCs w:val="20"/>
        </w:rPr>
        <w:t xml:space="preserve">140. Por tanto, no se </w:t>
      </w:r>
      <w:proofErr w:type="spellStart"/>
      <w:r w:rsidRPr="000262BB">
        <w:rPr>
          <w:szCs w:val="20"/>
        </w:rPr>
        <w:t>desvirtuo</w:t>
      </w:r>
      <w:proofErr w:type="spellEnd"/>
      <w:r w:rsidRPr="000262BB">
        <w:rPr>
          <w:szCs w:val="20"/>
        </w:rPr>
        <w:t xml:space="preserve">́ la posibilidad de que la muerte del </w:t>
      </w:r>
      <w:proofErr w:type="spellStart"/>
      <w:r w:rsidRPr="000262BB">
        <w:rPr>
          <w:szCs w:val="20"/>
        </w:rPr>
        <w:t>recién</w:t>
      </w:r>
      <w:proofErr w:type="spellEnd"/>
      <w:r w:rsidRPr="000262BB">
        <w:rPr>
          <w:szCs w:val="20"/>
        </w:rPr>
        <w:t xml:space="preserve"> nacido haya ocurrido por la emergencia </w:t>
      </w:r>
      <w:proofErr w:type="spellStart"/>
      <w:r w:rsidRPr="000262BB">
        <w:rPr>
          <w:szCs w:val="20"/>
        </w:rPr>
        <w:t>obstétrica</w:t>
      </w:r>
      <w:proofErr w:type="spellEnd"/>
      <w:r w:rsidRPr="000262BB">
        <w:rPr>
          <w:szCs w:val="20"/>
        </w:rPr>
        <w:t xml:space="preserve"> sufrida por Manuela u otra circunstancia que no fuera atribuible a esta. Por el contario, la </w:t>
      </w:r>
      <w:proofErr w:type="spellStart"/>
      <w:r w:rsidRPr="000262BB">
        <w:rPr>
          <w:szCs w:val="20"/>
        </w:rPr>
        <w:t>conclusión</w:t>
      </w:r>
      <w:proofErr w:type="spellEnd"/>
      <w:r w:rsidRPr="000262BB">
        <w:rPr>
          <w:szCs w:val="20"/>
        </w:rPr>
        <w:t xml:space="preserve"> de la autopsia de que el </w:t>
      </w:r>
      <w:proofErr w:type="spellStart"/>
      <w:r w:rsidRPr="000262BB">
        <w:rPr>
          <w:szCs w:val="20"/>
        </w:rPr>
        <w:t>recién</w:t>
      </w:r>
      <w:proofErr w:type="spellEnd"/>
      <w:r w:rsidRPr="000262BB">
        <w:rPr>
          <w:szCs w:val="20"/>
        </w:rPr>
        <w:t xml:space="preserve"> nacido </w:t>
      </w:r>
      <w:proofErr w:type="spellStart"/>
      <w:r w:rsidRPr="000262BB">
        <w:rPr>
          <w:szCs w:val="20"/>
        </w:rPr>
        <w:t>nacio</w:t>
      </w:r>
      <w:proofErr w:type="spellEnd"/>
      <w:r w:rsidRPr="000262BB">
        <w:rPr>
          <w:szCs w:val="20"/>
        </w:rPr>
        <w:t xml:space="preserve">́ vivo bastó para que las autoridades asumiesen que </w:t>
      </w:r>
      <w:proofErr w:type="spellStart"/>
      <w:r w:rsidRPr="000262BB">
        <w:rPr>
          <w:szCs w:val="20"/>
        </w:rPr>
        <w:t>había</w:t>
      </w:r>
      <w:proofErr w:type="spellEnd"/>
      <w:r w:rsidRPr="000262BB">
        <w:rPr>
          <w:szCs w:val="20"/>
        </w:rPr>
        <w:t xml:space="preserve"> ocurrido un delito. En este sentido, se </w:t>
      </w:r>
      <w:proofErr w:type="spellStart"/>
      <w:r w:rsidRPr="000262BB">
        <w:rPr>
          <w:szCs w:val="20"/>
        </w:rPr>
        <w:t>incumplio</w:t>
      </w:r>
      <w:proofErr w:type="spellEnd"/>
      <w:r w:rsidRPr="000262BB">
        <w:rPr>
          <w:szCs w:val="20"/>
        </w:rPr>
        <w:t xml:space="preserve">́ con la obligación de seguir todas las </w:t>
      </w:r>
      <w:proofErr w:type="spellStart"/>
      <w:r w:rsidRPr="000262BB">
        <w:rPr>
          <w:szCs w:val="20"/>
        </w:rPr>
        <w:t>líneas</w:t>
      </w:r>
      <w:proofErr w:type="spellEnd"/>
      <w:r w:rsidRPr="000262BB">
        <w:rPr>
          <w:szCs w:val="20"/>
        </w:rPr>
        <w:t xml:space="preserve"> </w:t>
      </w:r>
      <w:proofErr w:type="spellStart"/>
      <w:r w:rsidRPr="000262BB">
        <w:rPr>
          <w:szCs w:val="20"/>
        </w:rPr>
        <w:t>lógicas</w:t>
      </w:r>
      <w:proofErr w:type="spellEnd"/>
      <w:r w:rsidRPr="000262BB">
        <w:rPr>
          <w:szCs w:val="20"/>
        </w:rPr>
        <w:t xml:space="preserve"> de </w:t>
      </w:r>
      <w:proofErr w:type="spellStart"/>
      <w:r w:rsidRPr="000262BB">
        <w:rPr>
          <w:szCs w:val="20"/>
        </w:rPr>
        <w:t>investigación</w:t>
      </w:r>
      <w:proofErr w:type="spellEnd"/>
      <w:r w:rsidRPr="000262BB">
        <w:rPr>
          <w:szCs w:val="20"/>
        </w:rPr>
        <w:t xml:space="preserve">, incluyendo la posibilidad de que la muerte del </w:t>
      </w:r>
      <w:proofErr w:type="spellStart"/>
      <w:r w:rsidRPr="000262BB">
        <w:rPr>
          <w:szCs w:val="20"/>
        </w:rPr>
        <w:t>recién</w:t>
      </w:r>
      <w:proofErr w:type="spellEnd"/>
      <w:r w:rsidRPr="000262BB">
        <w:rPr>
          <w:szCs w:val="20"/>
        </w:rPr>
        <w:t xml:space="preserve"> nacido no haya sido causada por Manuela.</w:t>
      </w:r>
    </w:p>
    <w:p w14:paraId="50D342AA" w14:textId="77777777" w:rsidR="000262BB" w:rsidRPr="000262BB" w:rsidRDefault="000262BB" w:rsidP="000262BB">
      <w:pPr>
        <w:rPr>
          <w:szCs w:val="20"/>
        </w:rPr>
      </w:pPr>
      <w:r w:rsidRPr="000262BB">
        <w:rPr>
          <w:szCs w:val="20"/>
        </w:rPr>
        <w:t xml:space="preserve">141. Por otra parte, la Corte ha reconocido que los prejuicios personales y los estereotipos de </w:t>
      </w:r>
      <w:proofErr w:type="spellStart"/>
      <w:r w:rsidRPr="000262BB">
        <w:rPr>
          <w:szCs w:val="20"/>
        </w:rPr>
        <w:t>género</w:t>
      </w:r>
      <w:proofErr w:type="spellEnd"/>
      <w:r w:rsidRPr="000262BB">
        <w:rPr>
          <w:szCs w:val="20"/>
        </w:rPr>
        <w:t xml:space="preserve"> pueden afectar la objetividad de los funcionarios estatales encargados de investigar las denuncias que se les presentan, influyendo en su </w:t>
      </w:r>
      <w:proofErr w:type="spellStart"/>
      <w:r w:rsidRPr="000262BB">
        <w:rPr>
          <w:szCs w:val="20"/>
        </w:rPr>
        <w:t>percepción</w:t>
      </w:r>
      <w:proofErr w:type="spellEnd"/>
      <w:r w:rsidRPr="000262BB">
        <w:rPr>
          <w:szCs w:val="20"/>
        </w:rPr>
        <w:t xml:space="preserve"> para determinar si </w:t>
      </w:r>
      <w:proofErr w:type="spellStart"/>
      <w:r w:rsidRPr="000262BB">
        <w:rPr>
          <w:szCs w:val="20"/>
        </w:rPr>
        <w:t>ocurrio</w:t>
      </w:r>
      <w:proofErr w:type="spellEnd"/>
      <w:r w:rsidRPr="000262BB">
        <w:rPr>
          <w:szCs w:val="20"/>
        </w:rPr>
        <w:t xml:space="preserve">́́ o no un hecho de violencia, en su </w:t>
      </w:r>
      <w:proofErr w:type="spellStart"/>
      <w:r w:rsidRPr="000262BB">
        <w:rPr>
          <w:szCs w:val="20"/>
        </w:rPr>
        <w:t>evaluación</w:t>
      </w:r>
      <w:proofErr w:type="spellEnd"/>
      <w:r w:rsidRPr="000262BB">
        <w:rPr>
          <w:szCs w:val="20"/>
        </w:rPr>
        <w:t xml:space="preserve"> de la credibilidad de los testigos y de la propia </w:t>
      </w:r>
      <w:proofErr w:type="spellStart"/>
      <w:r w:rsidRPr="000262BB">
        <w:rPr>
          <w:szCs w:val="20"/>
        </w:rPr>
        <w:t>víctima</w:t>
      </w:r>
      <w:proofErr w:type="spellEnd"/>
      <w:r w:rsidRPr="000262BB">
        <w:rPr>
          <w:szCs w:val="20"/>
        </w:rPr>
        <w:t>.</w:t>
      </w:r>
    </w:p>
    <w:p w14:paraId="55ACD030" w14:textId="77777777" w:rsidR="000262BB" w:rsidRPr="000262BB" w:rsidRDefault="000262BB" w:rsidP="000262BB">
      <w:pPr>
        <w:rPr>
          <w:szCs w:val="20"/>
        </w:rPr>
      </w:pPr>
      <w:r w:rsidRPr="000262BB">
        <w:rPr>
          <w:szCs w:val="20"/>
        </w:rPr>
        <w:t xml:space="preserve">142. En el presente caso, la investigadora a cargo del caso </w:t>
      </w:r>
      <w:proofErr w:type="spellStart"/>
      <w:r w:rsidRPr="000262BB">
        <w:rPr>
          <w:szCs w:val="20"/>
        </w:rPr>
        <w:t>señalo</w:t>
      </w:r>
      <w:proofErr w:type="spellEnd"/>
      <w:r w:rsidRPr="000262BB">
        <w:rPr>
          <w:szCs w:val="20"/>
        </w:rPr>
        <w:t>́ en el acta donde resumen los hechos que:</w:t>
      </w:r>
    </w:p>
    <w:p w14:paraId="7876DF79" w14:textId="77777777" w:rsidR="000262BB" w:rsidRPr="000262BB" w:rsidRDefault="000262BB" w:rsidP="000262BB">
      <w:pPr>
        <w:pStyle w:val="Citacuerpo"/>
      </w:pPr>
      <w:r w:rsidRPr="000262BB">
        <w:t xml:space="preserve">[N]o omito manifestar que como investigadora y mujer, opino que lo que hizo la </w:t>
      </w:r>
      <w:proofErr w:type="spellStart"/>
      <w:r w:rsidRPr="000262BB">
        <w:t>señora</w:t>
      </w:r>
      <w:proofErr w:type="spellEnd"/>
      <w:r w:rsidRPr="000262BB">
        <w:t xml:space="preserve"> [Manuela] no lo [h]</w:t>
      </w:r>
      <w:proofErr w:type="spellStart"/>
      <w:r w:rsidRPr="000262BB">
        <w:t>ubiera</w:t>
      </w:r>
      <w:proofErr w:type="spellEnd"/>
      <w:r w:rsidRPr="000262BB">
        <w:t xml:space="preserve"> hecho, si es que no </w:t>
      </w:r>
      <w:proofErr w:type="spellStart"/>
      <w:r w:rsidRPr="000262BB">
        <w:t>quería</w:t>
      </w:r>
      <w:proofErr w:type="spellEnd"/>
      <w:r w:rsidRPr="000262BB">
        <w:t xml:space="preserve"> a su hijo, le [h]</w:t>
      </w:r>
      <w:proofErr w:type="spellStart"/>
      <w:r w:rsidRPr="000262BB">
        <w:t>ubiera</w:t>
      </w:r>
      <w:proofErr w:type="spellEnd"/>
      <w:r w:rsidRPr="000262BB">
        <w:t xml:space="preserve"> dado la oportunidad de vivir, hay personas que ni pueden tener hijos y los desean con todo su </w:t>
      </w:r>
      <w:proofErr w:type="spellStart"/>
      <w:r w:rsidRPr="000262BB">
        <w:t>corazón</w:t>
      </w:r>
      <w:proofErr w:type="spellEnd"/>
      <w:r w:rsidRPr="000262BB">
        <w:t xml:space="preserve">, el bebé encontrado muerto y lleno de gusanos, era un varoncito, bien formado, piel moreno claro [...] y </w:t>
      </w:r>
      <w:proofErr w:type="spellStart"/>
      <w:r w:rsidRPr="000262BB">
        <w:t>físicamente</w:t>
      </w:r>
      <w:proofErr w:type="spellEnd"/>
      <w:r w:rsidRPr="000262BB">
        <w:t xml:space="preserve"> bien bonito, que cualquier mujer o madre le [h]</w:t>
      </w:r>
      <w:proofErr w:type="spellStart"/>
      <w:r w:rsidRPr="000262BB">
        <w:t>ubiera</w:t>
      </w:r>
      <w:proofErr w:type="spellEnd"/>
      <w:r w:rsidRPr="000262BB">
        <w:t xml:space="preserve"> crecido con amor [...].</w:t>
      </w:r>
    </w:p>
    <w:p w14:paraId="4EED560D" w14:textId="77777777" w:rsidR="000262BB" w:rsidRPr="000262BB" w:rsidRDefault="000262BB" w:rsidP="000262BB">
      <w:pPr>
        <w:rPr>
          <w:szCs w:val="20"/>
        </w:rPr>
      </w:pPr>
      <w:r w:rsidRPr="000262BB">
        <w:rPr>
          <w:szCs w:val="20"/>
        </w:rPr>
        <w:t xml:space="preserve">143. Estas consideraciones fueron transcritas en el requerimiento solicitando la </w:t>
      </w:r>
      <w:proofErr w:type="spellStart"/>
      <w:r w:rsidRPr="000262BB">
        <w:rPr>
          <w:szCs w:val="20"/>
        </w:rPr>
        <w:t>instrucción</w:t>
      </w:r>
      <w:proofErr w:type="spellEnd"/>
      <w:r w:rsidRPr="000262BB">
        <w:rPr>
          <w:szCs w:val="20"/>
        </w:rPr>
        <w:t xml:space="preserve"> formal con </w:t>
      </w:r>
      <w:proofErr w:type="spellStart"/>
      <w:r w:rsidRPr="000262BB">
        <w:rPr>
          <w:szCs w:val="20"/>
        </w:rPr>
        <w:t>detención</w:t>
      </w:r>
      <w:proofErr w:type="spellEnd"/>
      <w:r w:rsidRPr="000262BB">
        <w:rPr>
          <w:szCs w:val="20"/>
        </w:rPr>
        <w:t xml:space="preserve"> provisional contra Manuela.</w:t>
      </w:r>
    </w:p>
    <w:p w14:paraId="7FDA02DD" w14:textId="77777777" w:rsidR="000262BB" w:rsidRPr="000262BB" w:rsidRDefault="000262BB" w:rsidP="000262BB">
      <w:pPr>
        <w:rPr>
          <w:szCs w:val="20"/>
        </w:rPr>
      </w:pPr>
      <w:r w:rsidRPr="000262BB">
        <w:rPr>
          <w:szCs w:val="20"/>
        </w:rPr>
        <w:t xml:space="preserve">144. La Corte advierte, en primer lugar, que estas consideraciones parten del supuesto de que Manuela era responsable del delito que se le acusaba, ya que exteriorizaban un claro prejuicio sobre la culpabilidad de Manuela, lo que a su vez genera dudas sobre la objetividad de la </w:t>
      </w:r>
      <w:proofErr w:type="spellStart"/>
      <w:r w:rsidRPr="000262BB">
        <w:rPr>
          <w:szCs w:val="20"/>
        </w:rPr>
        <w:t>investigación</w:t>
      </w:r>
      <w:proofErr w:type="spellEnd"/>
      <w:r w:rsidRPr="000262BB">
        <w:rPr>
          <w:szCs w:val="20"/>
        </w:rPr>
        <w:t xml:space="preserve">. Adicionalmente, constituyeron un juicio de </w:t>
      </w:r>
      <w:proofErr w:type="spellStart"/>
      <w:r w:rsidRPr="000262BB">
        <w:rPr>
          <w:szCs w:val="20"/>
        </w:rPr>
        <w:t>valoración</w:t>
      </w:r>
      <w:proofErr w:type="spellEnd"/>
      <w:r w:rsidRPr="000262BB">
        <w:rPr>
          <w:szCs w:val="20"/>
        </w:rPr>
        <w:t xml:space="preserve"> personal por parte de la investigadora, </w:t>
      </w:r>
      <w:proofErr w:type="spellStart"/>
      <w:r w:rsidRPr="000262BB">
        <w:rPr>
          <w:szCs w:val="20"/>
        </w:rPr>
        <w:t>basándose</w:t>
      </w:r>
      <w:proofErr w:type="spellEnd"/>
      <w:r w:rsidRPr="000262BB">
        <w:rPr>
          <w:szCs w:val="20"/>
        </w:rPr>
        <w:t xml:space="preserve"> en ideas preconcebidas sobre el rol de las mujeres y la maternidad. Se trata de nociones basadas en estereotipos que condicionan el valor de una mujer a ser madre y, por tanto, asumen que las mujeres que deciden no ser madres tienen menos </w:t>
      </w:r>
      <w:proofErr w:type="spellStart"/>
      <w:r w:rsidRPr="000262BB">
        <w:rPr>
          <w:szCs w:val="20"/>
        </w:rPr>
        <w:t>valía</w:t>
      </w:r>
      <w:proofErr w:type="spellEnd"/>
      <w:r w:rsidRPr="000262BB">
        <w:rPr>
          <w:szCs w:val="20"/>
        </w:rPr>
        <w:t xml:space="preserve"> que otras, o son personas indeseables. En este sentido, </w:t>
      </w:r>
      <w:proofErr w:type="spellStart"/>
      <w:r w:rsidRPr="000262BB">
        <w:rPr>
          <w:szCs w:val="20"/>
        </w:rPr>
        <w:t>además</w:t>
      </w:r>
      <w:proofErr w:type="spellEnd"/>
      <w:r w:rsidRPr="000262BB">
        <w:rPr>
          <w:szCs w:val="20"/>
        </w:rPr>
        <w:t>, se impone a las mujeres la responsabilidad de, sin importar las circunstancias, priorizar el bienestar de sus hijos, incluso sobre su bienestar propio.</w:t>
      </w:r>
    </w:p>
    <w:p w14:paraId="27E2F1B0" w14:textId="77777777" w:rsidR="000262BB" w:rsidRPr="000262BB" w:rsidRDefault="000262BB" w:rsidP="000262BB">
      <w:pPr>
        <w:rPr>
          <w:szCs w:val="20"/>
        </w:rPr>
      </w:pPr>
      <w:r w:rsidRPr="000262BB">
        <w:rPr>
          <w:szCs w:val="20"/>
        </w:rPr>
        <w:t xml:space="preserve">145. Al respecto, este Tribunal resalta que estos estereotipos de </w:t>
      </w:r>
      <w:proofErr w:type="spellStart"/>
      <w:r w:rsidRPr="000262BB">
        <w:rPr>
          <w:szCs w:val="20"/>
        </w:rPr>
        <w:t>género</w:t>
      </w:r>
      <w:proofErr w:type="spellEnd"/>
      <w:r w:rsidRPr="000262BB">
        <w:rPr>
          <w:szCs w:val="20"/>
        </w:rPr>
        <w:t xml:space="preserve"> son incompatibles con el derecho internacional de los derechos humanos. </w:t>
      </w:r>
      <w:proofErr w:type="spellStart"/>
      <w:r w:rsidRPr="000262BB">
        <w:rPr>
          <w:szCs w:val="20"/>
        </w:rPr>
        <w:t>Además</w:t>
      </w:r>
      <w:proofErr w:type="spellEnd"/>
      <w:r w:rsidRPr="000262BB">
        <w:rPr>
          <w:szCs w:val="20"/>
        </w:rPr>
        <w:t xml:space="preserve">, el Tribunal reitera que la </w:t>
      </w:r>
      <w:proofErr w:type="spellStart"/>
      <w:r w:rsidRPr="000262BB">
        <w:rPr>
          <w:szCs w:val="20"/>
        </w:rPr>
        <w:t>utilización</w:t>
      </w:r>
      <w:proofErr w:type="spellEnd"/>
      <w:r w:rsidRPr="000262BB">
        <w:rPr>
          <w:szCs w:val="20"/>
        </w:rPr>
        <w:t xml:space="preserve"> de estereotipos por parte de autoridades estatales es particularmente alarmante, y por ende, se deben tomar medidas inmediatas para erradicarlo.</w:t>
      </w:r>
    </w:p>
    <w:p w14:paraId="485EA954" w14:textId="77777777" w:rsidR="000262BB" w:rsidRPr="000262BB" w:rsidRDefault="000262BB" w:rsidP="000262BB">
      <w:pPr>
        <w:rPr>
          <w:szCs w:val="20"/>
        </w:rPr>
      </w:pPr>
      <w:r w:rsidRPr="000262BB">
        <w:rPr>
          <w:szCs w:val="20"/>
        </w:rPr>
        <w:t xml:space="preserve">146. En </w:t>
      </w:r>
      <w:proofErr w:type="spellStart"/>
      <w:r w:rsidRPr="000262BB">
        <w:rPr>
          <w:szCs w:val="20"/>
        </w:rPr>
        <w:t>razón</w:t>
      </w:r>
      <w:proofErr w:type="spellEnd"/>
      <w:r w:rsidRPr="000262BB">
        <w:rPr>
          <w:szCs w:val="20"/>
        </w:rPr>
        <w:t xml:space="preserve"> de todo lo anterior, la Corte considera que desde las primeras etapas de la </w:t>
      </w:r>
      <w:proofErr w:type="spellStart"/>
      <w:r w:rsidRPr="000262BB">
        <w:rPr>
          <w:szCs w:val="20"/>
        </w:rPr>
        <w:t>investigación</w:t>
      </w:r>
      <w:proofErr w:type="spellEnd"/>
      <w:r w:rsidRPr="000262BB">
        <w:rPr>
          <w:szCs w:val="20"/>
        </w:rPr>
        <w:t xml:space="preserve"> se </w:t>
      </w:r>
      <w:proofErr w:type="spellStart"/>
      <w:r w:rsidRPr="000262BB">
        <w:rPr>
          <w:szCs w:val="20"/>
        </w:rPr>
        <w:t>presumio</w:t>
      </w:r>
      <w:proofErr w:type="spellEnd"/>
      <w:r w:rsidRPr="000262BB">
        <w:rPr>
          <w:szCs w:val="20"/>
        </w:rPr>
        <w:t xml:space="preserve">́ la culpabilidad de Manuela, se </w:t>
      </w:r>
      <w:proofErr w:type="spellStart"/>
      <w:r w:rsidRPr="000262BB">
        <w:rPr>
          <w:szCs w:val="20"/>
        </w:rPr>
        <w:t>eludio</w:t>
      </w:r>
      <w:proofErr w:type="spellEnd"/>
      <w:r w:rsidRPr="000262BB">
        <w:rPr>
          <w:szCs w:val="20"/>
        </w:rPr>
        <w:t xml:space="preserve">́ determinar la verdad de lo ocurrido y tomar en cuenta los elementos probatorios que </w:t>
      </w:r>
      <w:proofErr w:type="spellStart"/>
      <w:r w:rsidRPr="000262BB">
        <w:rPr>
          <w:szCs w:val="20"/>
        </w:rPr>
        <w:t>podían</w:t>
      </w:r>
      <w:proofErr w:type="spellEnd"/>
      <w:r w:rsidRPr="000262BB">
        <w:rPr>
          <w:szCs w:val="20"/>
        </w:rPr>
        <w:t xml:space="preserve"> desvirtuar la tesis de culpabilidad de la presunta </w:t>
      </w:r>
      <w:proofErr w:type="spellStart"/>
      <w:r w:rsidRPr="000262BB">
        <w:rPr>
          <w:szCs w:val="20"/>
        </w:rPr>
        <w:t>víctima</w:t>
      </w:r>
      <w:proofErr w:type="spellEnd"/>
      <w:r w:rsidRPr="000262BB">
        <w:rPr>
          <w:szCs w:val="20"/>
        </w:rPr>
        <w:t xml:space="preserve">. Este actuar, </w:t>
      </w:r>
      <w:proofErr w:type="spellStart"/>
      <w:r w:rsidRPr="000262BB">
        <w:rPr>
          <w:szCs w:val="20"/>
        </w:rPr>
        <w:t>además</w:t>
      </w:r>
      <w:proofErr w:type="spellEnd"/>
      <w:r w:rsidRPr="000262BB">
        <w:rPr>
          <w:szCs w:val="20"/>
        </w:rPr>
        <w:t xml:space="preserve">, se vio impulsado por los prejuicios de los investigadores en contra de las mujeres que no cumplen el rol de madres abnegadas que deben siempre lograr la protección de sus hijos. En efecto, los prejuicios y estereotipos negativos de </w:t>
      </w:r>
      <w:proofErr w:type="spellStart"/>
      <w:r w:rsidRPr="000262BB">
        <w:rPr>
          <w:szCs w:val="20"/>
        </w:rPr>
        <w:t>género</w:t>
      </w:r>
      <w:proofErr w:type="spellEnd"/>
      <w:r w:rsidRPr="000262BB">
        <w:rPr>
          <w:szCs w:val="20"/>
        </w:rPr>
        <w:t xml:space="preserve"> afectaron la objetividad de los agentes encargados de las investigaciones, cerrando </w:t>
      </w:r>
      <w:proofErr w:type="spellStart"/>
      <w:r w:rsidRPr="000262BB">
        <w:rPr>
          <w:szCs w:val="20"/>
        </w:rPr>
        <w:t>líneas</w:t>
      </w:r>
      <w:proofErr w:type="spellEnd"/>
      <w:r w:rsidRPr="000262BB">
        <w:rPr>
          <w:szCs w:val="20"/>
        </w:rPr>
        <w:t xml:space="preserve"> posibles de </w:t>
      </w:r>
      <w:proofErr w:type="spellStart"/>
      <w:r w:rsidRPr="000262BB">
        <w:rPr>
          <w:szCs w:val="20"/>
        </w:rPr>
        <w:t>investigación</w:t>
      </w:r>
      <w:proofErr w:type="spellEnd"/>
      <w:r w:rsidRPr="000262BB">
        <w:rPr>
          <w:szCs w:val="20"/>
        </w:rPr>
        <w:t xml:space="preserve"> sobre las circunstancias </w:t>
      </w:r>
      <w:proofErr w:type="spellStart"/>
      <w:r w:rsidRPr="000262BB">
        <w:rPr>
          <w:szCs w:val="20"/>
        </w:rPr>
        <w:t>fácticas</w:t>
      </w:r>
      <w:proofErr w:type="spellEnd"/>
      <w:r w:rsidRPr="000262BB">
        <w:rPr>
          <w:szCs w:val="20"/>
        </w:rPr>
        <w:t xml:space="preserve">. La Corte advierte </w:t>
      </w:r>
      <w:proofErr w:type="spellStart"/>
      <w:r w:rsidRPr="000262BB">
        <w:rPr>
          <w:szCs w:val="20"/>
        </w:rPr>
        <w:t>además</w:t>
      </w:r>
      <w:proofErr w:type="spellEnd"/>
      <w:r w:rsidRPr="000262BB">
        <w:rPr>
          <w:szCs w:val="20"/>
        </w:rPr>
        <w:t xml:space="preserve"> </w:t>
      </w:r>
      <w:r w:rsidRPr="000262BB">
        <w:rPr>
          <w:szCs w:val="20"/>
        </w:rPr>
        <w:lastRenderedPageBreak/>
        <w:t xml:space="preserve">que las falencias de la </w:t>
      </w:r>
      <w:proofErr w:type="spellStart"/>
      <w:r w:rsidRPr="000262BB">
        <w:rPr>
          <w:szCs w:val="20"/>
        </w:rPr>
        <w:t>investigación</w:t>
      </w:r>
      <w:proofErr w:type="spellEnd"/>
      <w:r w:rsidRPr="000262BB">
        <w:rPr>
          <w:szCs w:val="20"/>
        </w:rPr>
        <w:t xml:space="preserve"> en este caso, concuerdan con el contexto ya determinado por la Corte [...], en el cual es frecuente que no se investigue la posibilidad de que la madre no sea responsable de haber causado la muerte que se le imputa. </w:t>
      </w:r>
    </w:p>
    <w:p w14:paraId="7292E4CA" w14:textId="77777777" w:rsidR="000262BB" w:rsidRPr="000262BB" w:rsidRDefault="000262BB" w:rsidP="000262BB">
      <w:pPr>
        <w:rPr>
          <w:szCs w:val="20"/>
        </w:rPr>
      </w:pPr>
      <w:r w:rsidRPr="000262BB">
        <w:rPr>
          <w:szCs w:val="20"/>
        </w:rPr>
        <w:t>[...]</w:t>
      </w:r>
    </w:p>
    <w:p w14:paraId="085FFB18" w14:textId="77777777" w:rsidR="000262BB" w:rsidRPr="000262BB" w:rsidRDefault="000262BB" w:rsidP="000262BB">
      <w:pPr>
        <w:rPr>
          <w:szCs w:val="20"/>
        </w:rPr>
      </w:pPr>
      <w:r w:rsidRPr="000262BB">
        <w:rPr>
          <w:szCs w:val="20"/>
        </w:rPr>
        <w:t xml:space="preserve">158. La Corte ha determinado que puede haber una </w:t>
      </w:r>
      <w:proofErr w:type="spellStart"/>
      <w:r w:rsidRPr="000262BB">
        <w:rPr>
          <w:szCs w:val="20"/>
        </w:rPr>
        <w:t>aplicación</w:t>
      </w:r>
      <w:proofErr w:type="spellEnd"/>
      <w:r w:rsidRPr="000262BB">
        <w:rPr>
          <w:szCs w:val="20"/>
        </w:rPr>
        <w:t xml:space="preserve"> discriminatoria de la ley penal si el juez o tribunal condena a una persona </w:t>
      </w:r>
      <w:proofErr w:type="spellStart"/>
      <w:r w:rsidRPr="000262BB">
        <w:rPr>
          <w:szCs w:val="20"/>
        </w:rPr>
        <w:t>basándose</w:t>
      </w:r>
      <w:proofErr w:type="spellEnd"/>
      <w:r w:rsidRPr="000262BB">
        <w:rPr>
          <w:szCs w:val="20"/>
        </w:rPr>
        <w:t xml:space="preserve"> en un razonamiento fundado en estereotipos negativos para determinar alguno de los elementos de la responsabilidad penal.</w:t>
      </w:r>
    </w:p>
    <w:p w14:paraId="653075CC" w14:textId="77777777" w:rsidR="000262BB" w:rsidRPr="000262BB" w:rsidRDefault="000262BB" w:rsidP="000262BB">
      <w:pPr>
        <w:rPr>
          <w:szCs w:val="20"/>
        </w:rPr>
      </w:pPr>
      <w:r w:rsidRPr="000262BB">
        <w:rPr>
          <w:szCs w:val="20"/>
        </w:rPr>
        <w:t xml:space="preserve">159. En el presente caso, ya se determinó que el tribunal penal condenó a Manuela utilizando estereotipos de </w:t>
      </w:r>
      <w:proofErr w:type="spellStart"/>
      <w:r w:rsidRPr="000262BB">
        <w:rPr>
          <w:szCs w:val="20"/>
        </w:rPr>
        <w:t>género</w:t>
      </w:r>
      <w:proofErr w:type="spellEnd"/>
      <w:r w:rsidRPr="000262BB">
        <w:rPr>
          <w:szCs w:val="20"/>
        </w:rPr>
        <w:t xml:space="preserve"> para fundamentar su </w:t>
      </w:r>
      <w:proofErr w:type="spellStart"/>
      <w:r w:rsidRPr="000262BB">
        <w:rPr>
          <w:szCs w:val="20"/>
        </w:rPr>
        <w:t>decisión</w:t>
      </w:r>
      <w:proofErr w:type="spellEnd"/>
      <w:r w:rsidRPr="000262BB">
        <w:rPr>
          <w:szCs w:val="20"/>
        </w:rPr>
        <w:t xml:space="preserve">. La </w:t>
      </w:r>
      <w:proofErr w:type="spellStart"/>
      <w:r w:rsidRPr="000262BB">
        <w:rPr>
          <w:szCs w:val="20"/>
        </w:rPr>
        <w:t>aplicación</w:t>
      </w:r>
      <w:proofErr w:type="spellEnd"/>
      <w:r w:rsidRPr="000262BB">
        <w:rPr>
          <w:szCs w:val="20"/>
        </w:rPr>
        <w:t xml:space="preserve"> de dichos estereotipos solo fue posible en </w:t>
      </w:r>
      <w:proofErr w:type="spellStart"/>
      <w:r w:rsidRPr="000262BB">
        <w:rPr>
          <w:szCs w:val="20"/>
        </w:rPr>
        <w:t>razón</w:t>
      </w:r>
      <w:proofErr w:type="spellEnd"/>
      <w:r w:rsidRPr="000262BB">
        <w:rPr>
          <w:szCs w:val="20"/>
        </w:rPr>
        <w:t xml:space="preserve"> de que Manuela era mujer, cuyo impacto, como </w:t>
      </w:r>
      <w:proofErr w:type="spellStart"/>
      <w:r w:rsidRPr="000262BB">
        <w:rPr>
          <w:szCs w:val="20"/>
        </w:rPr>
        <w:t>sera</w:t>
      </w:r>
      <w:proofErr w:type="spellEnd"/>
      <w:r w:rsidRPr="000262BB">
        <w:rPr>
          <w:szCs w:val="20"/>
        </w:rPr>
        <w:t xml:space="preserve">́ analizado infra fue exacerbado por ser una mujer de escasos recursos </w:t>
      </w:r>
      <w:proofErr w:type="spellStart"/>
      <w:r w:rsidRPr="000262BB">
        <w:rPr>
          <w:szCs w:val="20"/>
        </w:rPr>
        <w:t>económicos</w:t>
      </w:r>
      <w:proofErr w:type="spellEnd"/>
      <w:r w:rsidRPr="000262BB">
        <w:rPr>
          <w:szCs w:val="20"/>
        </w:rPr>
        <w:t xml:space="preserve">, analfabeta y que </w:t>
      </w:r>
      <w:proofErr w:type="spellStart"/>
      <w:r w:rsidRPr="000262BB">
        <w:rPr>
          <w:szCs w:val="20"/>
        </w:rPr>
        <w:t>vivía</w:t>
      </w:r>
      <w:proofErr w:type="spellEnd"/>
      <w:r w:rsidRPr="000262BB">
        <w:rPr>
          <w:szCs w:val="20"/>
        </w:rPr>
        <w:t xml:space="preserve"> en una zona rural. Por tanto, la Corte considera que la </w:t>
      </w:r>
      <w:proofErr w:type="spellStart"/>
      <w:r w:rsidRPr="000262BB">
        <w:rPr>
          <w:szCs w:val="20"/>
        </w:rPr>
        <w:t>distinción</w:t>
      </w:r>
      <w:proofErr w:type="spellEnd"/>
      <w:r w:rsidRPr="000262BB">
        <w:rPr>
          <w:szCs w:val="20"/>
        </w:rPr>
        <w:t xml:space="preserve"> en la </w:t>
      </w:r>
      <w:proofErr w:type="spellStart"/>
      <w:r w:rsidRPr="000262BB">
        <w:rPr>
          <w:szCs w:val="20"/>
        </w:rPr>
        <w:t>aplicación</w:t>
      </w:r>
      <w:proofErr w:type="spellEnd"/>
      <w:r w:rsidRPr="000262BB">
        <w:rPr>
          <w:szCs w:val="20"/>
        </w:rPr>
        <w:t xml:space="preserve"> de la ley penal es arbitraria, y, por ende, discriminatoria.</w:t>
      </w:r>
    </w:p>
    <w:p w14:paraId="6E86AEB1" w14:textId="0F240827" w:rsidR="000262BB" w:rsidRPr="00BB63D0" w:rsidRDefault="000262BB" w:rsidP="000262BB">
      <w:pPr>
        <w:rPr>
          <w:szCs w:val="20"/>
        </w:rPr>
      </w:pPr>
      <w:r w:rsidRPr="000262BB">
        <w:rPr>
          <w:szCs w:val="20"/>
        </w:rPr>
        <w:t xml:space="preserve">160. Con base en lo expuesto, la Corte considera que el Estado es internacionalmente responsable por la </w:t>
      </w:r>
      <w:proofErr w:type="spellStart"/>
      <w:r w:rsidRPr="000262BB">
        <w:rPr>
          <w:szCs w:val="20"/>
        </w:rPr>
        <w:t>violación</w:t>
      </w:r>
      <w:proofErr w:type="spellEnd"/>
      <w:r w:rsidRPr="000262BB">
        <w:rPr>
          <w:szCs w:val="20"/>
        </w:rPr>
        <w:t xml:space="preserve"> del artículo 8.1 de la Convención que establece el deber de motivar las decisiones y el derecho a ser juzgada por un tribunal imparcial, el artículo 8.2 de la Convención Americana que reconoce la </w:t>
      </w:r>
      <w:proofErr w:type="spellStart"/>
      <w:r w:rsidRPr="000262BB">
        <w:rPr>
          <w:szCs w:val="20"/>
        </w:rPr>
        <w:t>presunción</w:t>
      </w:r>
      <w:proofErr w:type="spellEnd"/>
      <w:r w:rsidRPr="000262BB">
        <w:rPr>
          <w:szCs w:val="20"/>
        </w:rPr>
        <w:t xml:space="preserve"> de inocencia, y el artículo 24 que establece la igualdad ante la ley, en </w:t>
      </w:r>
      <w:proofErr w:type="spellStart"/>
      <w:r w:rsidRPr="000262BB">
        <w:rPr>
          <w:szCs w:val="20"/>
        </w:rPr>
        <w:t>relación</w:t>
      </w:r>
      <w:proofErr w:type="spellEnd"/>
      <w:r w:rsidRPr="000262BB">
        <w:rPr>
          <w:szCs w:val="20"/>
        </w:rPr>
        <w:t xml:space="preserve"> con el deber de respetar los derechos sin discriminación, establecido en el artículo 1.1 de la misma, en perjuicio de Manuela.</w:t>
      </w:r>
    </w:p>
    <w:p w14:paraId="3ADFF435" w14:textId="38F5241A" w:rsidR="007269CF" w:rsidRPr="00BB63D0" w:rsidRDefault="007269CF" w:rsidP="00326300">
      <w:pPr>
        <w:pStyle w:val="Ttulo2"/>
      </w:pPr>
      <w:bookmarkStart w:id="26" w:name="_Toc89017882"/>
      <w:r w:rsidRPr="00326300">
        <w:t>Aplicación</w:t>
      </w:r>
      <w:r w:rsidRPr="00BB63D0">
        <w:t xml:space="preserve"> de estereotipos en las resoluciones judiciales</w:t>
      </w:r>
      <w:bookmarkEnd w:id="26"/>
      <w:r w:rsidRPr="00BB63D0">
        <w:tab/>
      </w:r>
    </w:p>
    <w:p w14:paraId="3CA876BC" w14:textId="77777777" w:rsidR="007269CF" w:rsidRPr="00BB63D0" w:rsidRDefault="007269CF" w:rsidP="00BB63D0">
      <w:pPr>
        <w:pStyle w:val="Sinespaciado"/>
        <w:rPr>
          <w:szCs w:val="20"/>
        </w:rPr>
      </w:pPr>
    </w:p>
    <w:p w14:paraId="25DFF034" w14:textId="77777777" w:rsidR="007269CF" w:rsidRPr="00BB63D0" w:rsidRDefault="007269CF" w:rsidP="00BB63D0">
      <w:pPr>
        <w:rPr>
          <w:b/>
          <w:szCs w:val="20"/>
        </w:rPr>
      </w:pPr>
      <w:r w:rsidRPr="00BB63D0">
        <w:rPr>
          <w:b/>
          <w:szCs w:val="20"/>
        </w:rPr>
        <w:t>Corte IDH. Caso Atala Riffo y niñas Vs. Chile. Fondo, Reparaciones y Costas. Sentencia de 24 de febrero de 2012. Serie C No. 239</w:t>
      </w:r>
    </w:p>
    <w:p w14:paraId="1B0EAF91" w14:textId="77777777" w:rsidR="007269CF" w:rsidRPr="00BB63D0" w:rsidRDefault="007269CF" w:rsidP="00BB63D0">
      <w:pPr>
        <w:rPr>
          <w:szCs w:val="20"/>
        </w:rPr>
      </w:pPr>
      <w:r w:rsidRPr="00BB63D0">
        <w:rPr>
          <w:szCs w:val="20"/>
        </w:rPr>
        <w:t>125.</w:t>
      </w:r>
      <w:r w:rsidRPr="00BB63D0">
        <w:rPr>
          <w:szCs w:val="20"/>
        </w:rPr>
        <w:tab/>
        <w:t>En efecto, es el Estado el que tiene la carga de la prueba para mostrar que la decisión judicial objeto del debate se ha basado en la existencia de un daño concreto, específico y real en el desarrollo de las niñas. Para ello es necesario que en las decisiones judiciales sobre estos temas se definan de manera específica y concreta los elementos de conexidad y causalidad entre la conducta de la madre o el padre y el supuesto impacto en el desarrollo del niño. De lo contrario, se corre el riesgo de fundamentar la decisión en un estereotipo […] vinculado exclusivamente a la pre-concepción, no sustentada, de que los niños criados por parejas homosexuales necesariamente tendrían dificultades para definir roles de género o sexuales.</w:t>
      </w:r>
    </w:p>
    <w:p w14:paraId="1D721BC1" w14:textId="77777777" w:rsidR="007269CF" w:rsidRPr="00BB63D0" w:rsidRDefault="007269CF" w:rsidP="00BB63D0">
      <w:pPr>
        <w:rPr>
          <w:szCs w:val="20"/>
        </w:rPr>
      </w:pPr>
      <w:r w:rsidRPr="00BB63D0">
        <w:rPr>
          <w:szCs w:val="20"/>
        </w:rPr>
        <w:t>127.</w:t>
      </w:r>
      <w:r w:rsidRPr="00BB63D0">
        <w:rPr>
          <w:szCs w:val="20"/>
        </w:rPr>
        <w:tab/>
        <w:t>Por otra parte, diversas sentencias de tribunales internacionales permiten concluir que en decisiones judiciales respecto a la custodia de menores de edad, la consideración de la conducta parental, sólo es admisible cuando existen pruebas específicas que demuestren en concreto el impacto directo negativo de la conducta parental en el bienestar y desarrollo del niño o la niña. Esto en aras de la necesidad de aplicar un escrutinio mayor cuando la decisión judicial se relacione con el derecho a la igualdad de grupos poblacionales tradicionalmente discriminados como es el caso de los homosexuales […].</w:t>
      </w:r>
    </w:p>
    <w:p w14:paraId="3D9F78EE" w14:textId="77777777" w:rsidR="007269CF" w:rsidRPr="00BB63D0" w:rsidRDefault="007269CF" w:rsidP="00BB63D0">
      <w:pPr>
        <w:rPr>
          <w:szCs w:val="20"/>
        </w:rPr>
      </w:pPr>
      <w:r w:rsidRPr="00BB63D0">
        <w:rPr>
          <w:szCs w:val="20"/>
        </w:rPr>
        <w:t>145.</w:t>
      </w:r>
      <w:r w:rsidRPr="00BB63D0">
        <w:rPr>
          <w:szCs w:val="20"/>
        </w:rPr>
        <w:tab/>
        <w:t xml:space="preserve">En el presente caso, este Tribunal constata que el lenguaje utilizado por la Corte Suprema de Chile relacionado con la supuesta necesidad de las niñas de crecer en una “familia estructurada normalmente y apreciada en su medio social”, y no en una “familia excepcional”, refleja una percepción limitada y estereotipada del </w:t>
      </w:r>
      <w:r w:rsidRPr="00BB63D0">
        <w:rPr>
          <w:szCs w:val="20"/>
        </w:rPr>
        <w:lastRenderedPageBreak/>
        <w:t xml:space="preserve">concepto de familia que no tiene base en la Convención al no existir un modelo específico de familia (la “familia tradicional”). </w:t>
      </w:r>
    </w:p>
    <w:p w14:paraId="29EF16AF" w14:textId="77777777" w:rsidR="007269CF" w:rsidRPr="00BB63D0" w:rsidRDefault="007269CF" w:rsidP="00BB63D0">
      <w:pPr>
        <w:rPr>
          <w:szCs w:val="20"/>
        </w:rPr>
      </w:pPr>
      <w:r w:rsidRPr="00BB63D0">
        <w:rPr>
          <w:szCs w:val="20"/>
        </w:rPr>
        <w:t>146.</w:t>
      </w:r>
      <w:r w:rsidRPr="00BB63D0">
        <w:rPr>
          <w:szCs w:val="20"/>
        </w:rPr>
        <w:tab/>
        <w:t>Teniendo en cuenta todo lo anterior, este Tribunal concluye que si bien la sentencia de la Corte Suprema y la decisión de tuición provisoria pretendían la protección del interés superior de las niñas M., V. y R., no se probó que la motivación esgrimida en las decisiones fuera adecuada para alcanzar dicho fin, dado que la Corte Suprema de Justicia y el Juzgado de Menores de Villarrica no comprobaron en el caso concreto que la convivencia de la señora Atala con su pareja afectó de manera negativa el interés superior de las menores de edad […] y, por el contrario, utilizaron argumentos abstractos, estereotipados y/o discriminatorios para fundamentar la decisión […], por lo que dichas decisiones constituyen un trato discriminatorio en contra de la señora Atala. Por tanto, la Corte declara que el Estado vulneró el derecho a la igualdad consagrado en el artículo 24 en relación con el artículo 1.1. de la Convención Americana, en perjuicio de Karen Atala Riffo.</w:t>
      </w:r>
    </w:p>
    <w:p w14:paraId="5445F158" w14:textId="77777777" w:rsidR="007269CF" w:rsidRPr="00BB63D0" w:rsidRDefault="007269CF" w:rsidP="00BB63D0">
      <w:pPr>
        <w:rPr>
          <w:b/>
          <w:szCs w:val="20"/>
        </w:rPr>
      </w:pPr>
      <w:r w:rsidRPr="00BB63D0">
        <w:rPr>
          <w:b/>
          <w:szCs w:val="20"/>
        </w:rPr>
        <w:t>Corte IDH. Caso Norín Catrimán y otros (Dirigentes, miembros y activista del Pueblo Indígena Mapuche) Vs. Chile. Fondo, Reparaciones y Costas. Sentencia de 29 de mayo de 2014. Serie C No. 279</w:t>
      </w:r>
    </w:p>
    <w:p w14:paraId="1A489889" w14:textId="77777777" w:rsidR="007269CF" w:rsidRPr="00BB63D0" w:rsidRDefault="007269CF" w:rsidP="00BB63D0">
      <w:pPr>
        <w:rPr>
          <w:szCs w:val="20"/>
        </w:rPr>
      </w:pPr>
      <w:r w:rsidRPr="00BB63D0">
        <w:rPr>
          <w:szCs w:val="20"/>
        </w:rPr>
        <w:t>223.</w:t>
      </w:r>
      <w:r w:rsidRPr="00BB63D0">
        <w:rPr>
          <w:szCs w:val="20"/>
        </w:rPr>
        <w:tab/>
        <w:t xml:space="preserve">Puede </w:t>
      </w:r>
      <w:r w:rsidRPr="00F417AB">
        <w:rPr>
          <w:szCs w:val="20"/>
        </w:rPr>
        <w:t>haber una aplicación discriminatoria de la ley penal si el juez o tribunal condena a una persona basándose en un razonamiento fundado en estereotipos negativos que asocien a un grupo étnico con el terrorismo para</w:t>
      </w:r>
      <w:r w:rsidRPr="00BB63D0">
        <w:rPr>
          <w:szCs w:val="20"/>
        </w:rPr>
        <w:t xml:space="preserve"> determinar alguno de los elementos de la responsabilidad penal. Incumbe al juez penal verificar que todos los elementos del tipo penal hayan sido probados por la parte acusadora, puesto que, como ha expresado esta Corte, la demostración fehaciente de la culpabilidad constituye un requisito indispensable para la sanción penal, de modo que la carga de la prueba recaiga, como corresponde, en la parte acusadora y no en el acusado. </w:t>
      </w:r>
    </w:p>
    <w:p w14:paraId="6E1071E5" w14:textId="77777777" w:rsidR="007269CF" w:rsidRPr="00BB63D0" w:rsidRDefault="007269CF" w:rsidP="00BB63D0">
      <w:pPr>
        <w:rPr>
          <w:szCs w:val="20"/>
        </w:rPr>
      </w:pPr>
      <w:r w:rsidRPr="00BB63D0">
        <w:rPr>
          <w:szCs w:val="20"/>
        </w:rPr>
        <w:t>225.</w:t>
      </w:r>
      <w:r w:rsidRPr="00BB63D0">
        <w:rPr>
          <w:szCs w:val="20"/>
        </w:rPr>
        <w:tab/>
        <w:t>Varios de los peritos hicieron importantes aportes a este respecto. El perito Stavenhagen, propuesto por la Comisión y la FIDH, señaló que “[l]a aplicación discriminatoria de una norma puede derivarse del sustento mismo de su aplicación o de si las razones invocadas para su aplicación son objetivas o contienen algún elemento discriminatorio”. El perito Carlos del Valle Rojas, propuesto por la FIDH, hizo un análisis del “discurso jurídico-judicial” con el fin de determinar la eventual “existencia de estereotipos, prejuicios y discriminación en las sentencias penales” de las presuntas víctimas de este caso. Al respecto, el perito concluyó que las sentencias “utilizan expresiones discursivas cuya carga valorativa, moral y/o política, denota la aceptación y reproducción de estereotipos que incluyen fuertes prejuicios sociales y culturales contras las comunidades mapuche y elementos valorativos en pro de la parte acusadora”. El perito indicó que “una parte importante de la argumentación jurídica” de dichas decisiones judiciales se desprende de “estereotipos y prejuicios que recaen nocivamente sobre estas comunidades, […] sin que se desprenda de hechos probados en el proceso”. Además, sostuvo que “en diversos extractos de las sentencias [… se] usa[n] argumentos discriminatorios hacia las comunidades mapuche” y que “en diversas ocasiones se sustentan decisiones jurídicas perjudiciales para miembros o dirigentes mapuche en cadenas de razonamientos que se sustentan, a su vez, en expresiones discriminatorias, estereotipos o prejuicios preconcebidos, en relación al caso examinado”. El perito analizó distintos extractos de las sentencias internas que considera “dejan en evidencia” tal “asimilación de estereotipos y prejuicios y el empleo recurrente de razonamientos discriminatorios” por parte de los tribunales internos.</w:t>
      </w:r>
    </w:p>
    <w:p w14:paraId="07EE4BE4" w14:textId="77777777" w:rsidR="007269CF" w:rsidRPr="00BB63D0" w:rsidRDefault="007269CF" w:rsidP="00BB63D0">
      <w:pPr>
        <w:rPr>
          <w:szCs w:val="20"/>
        </w:rPr>
      </w:pPr>
      <w:r w:rsidRPr="00BB63D0">
        <w:rPr>
          <w:szCs w:val="20"/>
        </w:rPr>
        <w:t>226.</w:t>
      </w:r>
      <w:r w:rsidRPr="00BB63D0">
        <w:rPr>
          <w:szCs w:val="20"/>
        </w:rPr>
        <w:tab/>
        <w:t xml:space="preserve">Para establecer si una diferencia de trato se fundamentó en una categoría sospechosa y determinar si constituyó discriminación, es necesario analizar los </w:t>
      </w:r>
      <w:r w:rsidRPr="00BB63D0">
        <w:rPr>
          <w:szCs w:val="20"/>
        </w:rPr>
        <w:lastRenderedPageBreak/>
        <w:t>argumentos expuestos por las autoridades judiciales nacionales, sus conductas, el lenguaje utilizado y el contexto en que se produjeron las decisiones judiciales.</w:t>
      </w:r>
    </w:p>
    <w:p w14:paraId="5BE21A4E" w14:textId="77777777" w:rsidR="007269CF" w:rsidRPr="00BB63D0" w:rsidRDefault="007269CF" w:rsidP="00BB63D0">
      <w:pPr>
        <w:rPr>
          <w:szCs w:val="20"/>
        </w:rPr>
      </w:pPr>
      <w:r w:rsidRPr="00BB63D0">
        <w:rPr>
          <w:szCs w:val="20"/>
        </w:rPr>
        <w:t>227.</w:t>
      </w:r>
      <w:r w:rsidRPr="00BB63D0">
        <w:rPr>
          <w:szCs w:val="20"/>
        </w:rPr>
        <w:tab/>
        <w:t>Entre las expresiones particularmente señaladas como discriminatorias por la Comisión y los intervinientes comunes de los representantes se destacan las siguientes, que con algunas variantes aparecen en las distintas sentencias condenatorias:</w:t>
      </w:r>
    </w:p>
    <w:p w14:paraId="0C18102F" w14:textId="77777777" w:rsidR="007269CF" w:rsidRPr="00BB63D0" w:rsidRDefault="007269CF" w:rsidP="00F417AB">
      <w:pPr>
        <w:pStyle w:val="Citacuerpo"/>
      </w:pPr>
      <w:r w:rsidRPr="00BB63D0">
        <w:t xml:space="preserve">“[…] las acciones que causaron estos delitos demuestran que la forma, métodos y estrategias empleadas, tenían una finalidad dolosa de causar un estado de temor generalizado en la zona. </w:t>
      </w:r>
    </w:p>
    <w:p w14:paraId="1231997E" w14:textId="77777777" w:rsidR="007269CF" w:rsidRPr="00BB63D0" w:rsidRDefault="007269CF" w:rsidP="00F417AB">
      <w:pPr>
        <w:pStyle w:val="Citacuerpo"/>
      </w:pPr>
      <w:r w:rsidRPr="00BB63D0">
        <w:t xml:space="preserve">Los ilícitos antes referidos están insertos en un proceso de recuperación de tierras del pueblo mapuche, el que se ha llevado a efecto por vías de hecho, sin observar la institucionalidad y legalidad vigente, recurriendo a acciones de fuerza previamente planificadas, concertadas y preparadas por grupos exacerbados que buscan crear un clima de inseguridad, inestabilidad y temor en diversos sectores de la octava y novena regiones. Estas acciones se pueden sintetizar en la formulación de exigencias desproporcionadas, hechas bajo presión por grupos beligerantes a los dueños y propietarios, a quienes se les advierte que sufrirán diversos tipos de atentados en caso de no acceder a sus requerimientos, muchas de estas amenazas se han materializado mediante ataques a la integridad física, en acciones de robo, hurto, incendio, daños y ocupaciones de tierras, que han afectado tanto a los individuos y bienes de diversas personas dedicadas a las actividades agrícolas y forestales de esta zona del país. </w:t>
      </w:r>
    </w:p>
    <w:p w14:paraId="13DA3604" w14:textId="77777777" w:rsidR="007269CF" w:rsidRPr="00BB63D0" w:rsidRDefault="007269CF" w:rsidP="00F417AB">
      <w:pPr>
        <w:pStyle w:val="Citacuerpo"/>
      </w:pPr>
      <w:r w:rsidRPr="00BB63D0">
        <w:t>La finalidad perseguida es provocar en la gente un justo temor de ser víctima de atentados similares, y con ello obligarlas para que desistan de seguir explotando sus propiedades y hacer que las abandonen. La sensación de inseguridad e intranquilidad que generan dichos atentados, ha traído como consecuencias la disminución y encarecimiento de la mano de obra, aumento en el costo e hipotecas, tanto en la contratación de maquinarias para la explotación de los predios, como para cubrir las pólizas que aseguren las tierras, instalaciones y plantaciones. Es cada vez más frecuente ver trabajadores, maquinarias, vehículos y faenas instalados en los distintos predios, bajo protección policial que garantice la ejecución de las labores, todo lo cual afecta derechos garantizados constitucionalmente.</w:t>
      </w:r>
    </w:p>
    <w:p w14:paraId="3556F69E" w14:textId="77777777" w:rsidR="007269CF" w:rsidRPr="00BB63D0" w:rsidRDefault="007269CF" w:rsidP="00F417AB">
      <w:pPr>
        <w:pStyle w:val="Citacuerpo"/>
      </w:pPr>
      <w:r w:rsidRPr="00BB63D0">
        <w:t xml:space="preserve">Lo anterior fluye, aunque no necesariamente con los mismos caracteres, de los atestados contestes de Juan y Julio </w:t>
      </w:r>
      <w:proofErr w:type="spellStart"/>
      <w:r w:rsidRPr="00BB63D0">
        <w:t>Sagredo</w:t>
      </w:r>
      <w:proofErr w:type="spellEnd"/>
      <w:r w:rsidRPr="00BB63D0">
        <w:t xml:space="preserve"> Marín, Miguel [Á]</w:t>
      </w:r>
      <w:proofErr w:type="spellStart"/>
      <w:r w:rsidRPr="00BB63D0">
        <w:t>ngel</w:t>
      </w:r>
      <w:proofErr w:type="spellEnd"/>
      <w:r w:rsidRPr="00BB63D0">
        <w:t xml:space="preserve"> </w:t>
      </w:r>
      <w:proofErr w:type="spellStart"/>
      <w:r w:rsidRPr="00BB63D0">
        <w:t>Sagredo</w:t>
      </w:r>
      <w:proofErr w:type="spellEnd"/>
      <w:r w:rsidRPr="00BB63D0">
        <w:t xml:space="preserve"> Vidal, Mauricio Chaparro Melo, Raúl Arnoldo </w:t>
      </w:r>
      <w:proofErr w:type="spellStart"/>
      <w:r w:rsidRPr="00BB63D0">
        <w:t>Forcael</w:t>
      </w:r>
      <w:proofErr w:type="spellEnd"/>
      <w:r w:rsidRPr="00BB63D0">
        <w:t xml:space="preserve"> Silva, Juan Agustín Figueroa </w:t>
      </w:r>
      <w:proofErr w:type="spellStart"/>
      <w:r w:rsidRPr="00BB63D0">
        <w:t>Elgueta</w:t>
      </w:r>
      <w:proofErr w:type="spellEnd"/>
      <w:r w:rsidRPr="00BB63D0">
        <w:t xml:space="preserve">, Juan Agustín Figueroa </w:t>
      </w:r>
      <w:proofErr w:type="spellStart"/>
      <w:r w:rsidRPr="00BB63D0">
        <w:t>Yávar</w:t>
      </w:r>
      <w:proofErr w:type="spellEnd"/>
      <w:r w:rsidRPr="00BB63D0">
        <w:t xml:space="preserve">, </w:t>
      </w:r>
      <w:proofErr w:type="spellStart"/>
      <w:r w:rsidRPr="00BB63D0">
        <w:t>Armín</w:t>
      </w:r>
      <w:proofErr w:type="spellEnd"/>
      <w:r w:rsidRPr="00BB63D0">
        <w:t xml:space="preserve"> Enrique </w:t>
      </w:r>
      <w:proofErr w:type="spellStart"/>
      <w:r w:rsidRPr="00BB63D0">
        <w:t>Stappung</w:t>
      </w:r>
      <w:proofErr w:type="spellEnd"/>
      <w:r w:rsidRPr="00BB63D0">
        <w:t xml:space="preserve"> </w:t>
      </w:r>
      <w:proofErr w:type="spellStart"/>
      <w:r w:rsidRPr="00BB63D0">
        <w:t>Schwarzlose</w:t>
      </w:r>
      <w:proofErr w:type="spellEnd"/>
      <w:r w:rsidRPr="00BB63D0">
        <w:t xml:space="preserve">, Jorge Pablo </w:t>
      </w:r>
      <w:proofErr w:type="spellStart"/>
      <w:r w:rsidRPr="00BB63D0">
        <w:t>Luchsinger</w:t>
      </w:r>
      <w:proofErr w:type="spellEnd"/>
      <w:r w:rsidRPr="00BB63D0">
        <w:t xml:space="preserve"> </w:t>
      </w:r>
      <w:proofErr w:type="spellStart"/>
      <w:r w:rsidRPr="00BB63D0">
        <w:t>Villiger</w:t>
      </w:r>
      <w:proofErr w:type="spellEnd"/>
      <w:r w:rsidRPr="00BB63D0">
        <w:t xml:space="preserve">, Osvaldo Moisés Carvajal </w:t>
      </w:r>
      <w:proofErr w:type="spellStart"/>
      <w:r w:rsidRPr="00BB63D0">
        <w:t>Rondanelli</w:t>
      </w:r>
      <w:proofErr w:type="spellEnd"/>
      <w:r w:rsidRPr="00BB63D0">
        <w:t xml:space="preserve">, Gerardo </w:t>
      </w:r>
      <w:proofErr w:type="spellStart"/>
      <w:r w:rsidRPr="00BB63D0">
        <w:t>Jequier</w:t>
      </w:r>
      <w:proofErr w:type="spellEnd"/>
      <w:r w:rsidRPr="00BB63D0">
        <w:t xml:space="preserve"> </w:t>
      </w:r>
      <w:proofErr w:type="spellStart"/>
      <w:r w:rsidRPr="00BB63D0">
        <w:t>Shalhlí</w:t>
      </w:r>
      <w:proofErr w:type="spellEnd"/>
      <w:r w:rsidRPr="00BB63D0">
        <w:t xml:space="preserve"> y Antonio Arnoldo </w:t>
      </w:r>
      <w:proofErr w:type="spellStart"/>
      <w:r w:rsidRPr="00BB63D0">
        <w:t>Boisier</w:t>
      </w:r>
      <w:proofErr w:type="spellEnd"/>
      <w:r w:rsidRPr="00BB63D0">
        <w:t xml:space="preserve"> Cruces, quienes expresaron haber sido víctimas directas o tener conocimiento de amenazas y atentados contra personas o bienes, perpetrados por personas pertenecientes a la etnia mapuche; testigos que expresaron de diferente forma la sensación de temor que dichos actos les provocaron. Se relaciona lo anterior con los dichos del perito José Muñoz </w:t>
      </w:r>
      <w:proofErr w:type="spellStart"/>
      <w:r w:rsidRPr="00BB63D0">
        <w:t>Maulen</w:t>
      </w:r>
      <w:proofErr w:type="spellEnd"/>
      <w:r w:rsidRPr="00BB63D0">
        <w:t xml:space="preserve">, quien refirió haber respaldado en un </w:t>
      </w:r>
      <w:proofErr w:type="spellStart"/>
      <w:r w:rsidRPr="00BB63D0">
        <w:t>compac</w:t>
      </w:r>
      <w:proofErr w:type="spellEnd"/>
      <w:r w:rsidRPr="00BB63D0">
        <w:t xml:space="preserve"> disc computacional información obtenida de la pagina web denominada “sitio </w:t>
      </w:r>
      <w:proofErr w:type="spellStart"/>
      <w:r w:rsidRPr="00BB63D0">
        <w:t>htp</w:t>
      </w:r>
      <w:proofErr w:type="spellEnd"/>
      <w:r w:rsidRPr="00BB63D0">
        <w:t xml:space="preserve">/fortunecety.es/”, en la cual se describen diversas actividades relacionadas al movimiento de reivindicación de tierras que parte del pueblo perteneciente a la etnia mapuche desarrolla en las regiones octava y novena del país; los antecedentes contenidos en el informe de la Sesión de la Comisión Constitución, Legislación, Justicia y Reglamento del Honorable Senado de la República, realizada el 1 de julio del 2002 que concluyó en la constatación de </w:t>
      </w:r>
      <w:r w:rsidRPr="00BB63D0">
        <w:lastRenderedPageBreak/>
        <w:t>la falta de servicio por parte del Estado; las informaciones no desvirtuadas y contenidas en el cuerpo C, páginas 10 y 11 de la edición del diario El Mercurio del 10 de marzo de 2002 relativa a la cantidad de conflictos causados por grupos de mapuches en actos terroristas, publicaciones de la Tercera en Internet, [l]a Segunda en Internet y El Mercurio electrónico, publicadas los días 26 de marzo de 1999, 15 de diciembre de 2001, 15 de marzo de 2002 y 15 de junio de 2002, respectivamente, y tres cuadros gráficos extraídas de las páginas Web de la Comisión Nacional de Inversión Extranjera en Chile, dividido en sectores y por regiones, de acuerdo a la división político administrativa del país, que permite hacer comparaciones de dólares efectivamente invertidos en las demás regiones y la Novena, y demuestran que la inversión privada en la región ha disminuido.</w:t>
      </w:r>
    </w:p>
    <w:p w14:paraId="643FE9F5" w14:textId="77777777" w:rsidR="007269CF" w:rsidRPr="00BB63D0" w:rsidRDefault="007269CF" w:rsidP="00F417AB">
      <w:pPr>
        <w:pStyle w:val="Citacuerpo"/>
      </w:pPr>
      <w:r w:rsidRPr="00BB63D0">
        <w:t>* * *</w:t>
      </w:r>
    </w:p>
    <w:p w14:paraId="02FF3EB0" w14:textId="77777777" w:rsidR="007269CF" w:rsidRPr="00BB63D0" w:rsidRDefault="007269CF" w:rsidP="00F417AB">
      <w:pPr>
        <w:pStyle w:val="Citacuerpo"/>
      </w:pPr>
      <w:r w:rsidRPr="00BB63D0">
        <w:t>[…] Respecto a la participación de ambos enjuiciados es preciso considerar lo siguiente:</w:t>
      </w:r>
    </w:p>
    <w:p w14:paraId="1514A1E2" w14:textId="77777777" w:rsidR="007269CF" w:rsidRPr="00BB63D0" w:rsidRDefault="007269CF" w:rsidP="00F417AB">
      <w:pPr>
        <w:pStyle w:val="Citacuerpo"/>
      </w:pPr>
      <w:r w:rsidRPr="00BB63D0">
        <w:t xml:space="preserve">1.- Como antecedentes generales y de acuerdo a la prueba aportada durante el juicio por el Ministerio Público y los querellantes particulares, es un hecho público y notorio que en la zona, desde hace un tiempo a la fecha, están actuando organizaciones de hecho que usando como argumento reivindicaciones territoriales, realizan actos de violencia o incitan a ellos. Entre sus métodos de acción se emplea la realización de diversos actos de fuerza que se dirigen contra empresas forestales, pequeños y medianos agricultores, todos los cuales tienen en común ser propietarios de terrenos contiguos, aledaños o cercanos a comunidades indígenas que pretenden derechos históricos sobre las mismas. Tales acciones apuntan a la reivindicación de tierras estimadas como ancestrales, siendo la ocupación ilegal un medio para alcanzar el fin más ambicioso, a través de ellas se irán recuperando parte de los espacios territoriales ancestrales y se fortalecerá la identidad territorial del Pueblo Mapuche. Así se desprende del testimonio conteste de los ofendidos Juan y Julio </w:t>
      </w:r>
      <w:proofErr w:type="spellStart"/>
      <w:r w:rsidRPr="00BB63D0">
        <w:t>Sagredo</w:t>
      </w:r>
      <w:proofErr w:type="spellEnd"/>
      <w:r w:rsidRPr="00BB63D0">
        <w:t xml:space="preserve"> </w:t>
      </w:r>
      <w:proofErr w:type="spellStart"/>
      <w:r w:rsidRPr="00BB63D0">
        <w:t>Marin</w:t>
      </w:r>
      <w:proofErr w:type="spellEnd"/>
      <w:r w:rsidRPr="00BB63D0">
        <w:t xml:space="preserve">, Juan </w:t>
      </w:r>
      <w:proofErr w:type="spellStart"/>
      <w:r w:rsidRPr="00BB63D0">
        <w:t>Agustin</w:t>
      </w:r>
      <w:proofErr w:type="spellEnd"/>
      <w:r w:rsidRPr="00BB63D0">
        <w:t xml:space="preserve"> Figueroa </w:t>
      </w:r>
      <w:proofErr w:type="spellStart"/>
      <w:r w:rsidRPr="00BB63D0">
        <w:t>Elgueta</w:t>
      </w:r>
      <w:proofErr w:type="spellEnd"/>
      <w:r w:rsidRPr="00BB63D0">
        <w:t xml:space="preserve"> y Juan </w:t>
      </w:r>
      <w:proofErr w:type="spellStart"/>
      <w:r w:rsidRPr="00BB63D0">
        <w:t>Agustin</w:t>
      </w:r>
      <w:proofErr w:type="spellEnd"/>
      <w:r w:rsidRPr="00BB63D0">
        <w:t xml:space="preserve"> Figueroa </w:t>
      </w:r>
      <w:proofErr w:type="spellStart"/>
      <w:r w:rsidRPr="00BB63D0">
        <w:t>Yávar</w:t>
      </w:r>
      <w:proofErr w:type="spellEnd"/>
      <w:r w:rsidRPr="00BB63D0">
        <w:t xml:space="preserve">, sustentados por el atestado de Armin </w:t>
      </w:r>
      <w:proofErr w:type="spellStart"/>
      <w:r w:rsidRPr="00BB63D0">
        <w:t>Stappung</w:t>
      </w:r>
      <w:proofErr w:type="spellEnd"/>
      <w:r w:rsidRPr="00BB63D0">
        <w:t xml:space="preserve"> </w:t>
      </w:r>
      <w:proofErr w:type="spellStart"/>
      <w:r w:rsidRPr="00BB63D0">
        <w:t>Schwarzlose</w:t>
      </w:r>
      <w:proofErr w:type="spellEnd"/>
      <w:r w:rsidRPr="00BB63D0">
        <w:t xml:space="preserve">, Gerardo </w:t>
      </w:r>
      <w:proofErr w:type="spellStart"/>
      <w:r w:rsidRPr="00BB63D0">
        <w:t>Jequier</w:t>
      </w:r>
      <w:proofErr w:type="spellEnd"/>
      <w:r w:rsidRPr="00BB63D0">
        <w:t xml:space="preserve"> Salí, Jorge Pablo </w:t>
      </w:r>
      <w:proofErr w:type="spellStart"/>
      <w:r w:rsidRPr="00BB63D0">
        <w:t>Luchsinger</w:t>
      </w:r>
      <w:proofErr w:type="spellEnd"/>
      <w:r w:rsidRPr="00BB63D0">
        <w:t xml:space="preserve"> </w:t>
      </w:r>
      <w:proofErr w:type="spellStart"/>
      <w:r w:rsidRPr="00BB63D0">
        <w:t>Villiger</w:t>
      </w:r>
      <w:proofErr w:type="spellEnd"/>
      <w:r w:rsidRPr="00BB63D0">
        <w:t xml:space="preserve">, Antonio Arnaldo </w:t>
      </w:r>
      <w:proofErr w:type="spellStart"/>
      <w:r w:rsidRPr="00BB63D0">
        <w:t>Boisier</w:t>
      </w:r>
      <w:proofErr w:type="spellEnd"/>
      <w:r w:rsidRPr="00BB63D0">
        <w:t xml:space="preserve"> cruces y Osvaldo Moisés Carvajal </w:t>
      </w:r>
      <w:proofErr w:type="spellStart"/>
      <w:r w:rsidRPr="00BB63D0">
        <w:t>Rondanelli</w:t>
      </w:r>
      <w:proofErr w:type="spellEnd"/>
      <w:r w:rsidRPr="00BB63D0">
        <w:t>, analizadas.</w:t>
      </w:r>
    </w:p>
    <w:p w14:paraId="53931A91" w14:textId="77777777" w:rsidR="007269CF" w:rsidRPr="00BB63D0" w:rsidRDefault="007269CF" w:rsidP="00F417AB">
      <w:pPr>
        <w:pStyle w:val="Citacuerpo"/>
      </w:pPr>
      <w:r w:rsidRPr="00BB63D0">
        <w:t>2.- No se encuentra suficientemente acreditado que estos hechos fueron provocados por personas extrañas a las comunidades mapuches, debido a que obedecen al propósito de crear un clima de total hostigamiento a los propietarios del sector, con el objeto de infundirles temor y lograr así que accedan a sus demandas, y que respondan a una lógica relacionada con la llamada "Problemática Mapuche", porque sus autores conocían las áreas reclamadas o por el hecho de que ninguna comunidad o propiedad mapuche ha resultado perjudicada.</w:t>
      </w:r>
    </w:p>
    <w:p w14:paraId="4D6F17BF" w14:textId="77777777" w:rsidR="007269CF" w:rsidRPr="00BB63D0" w:rsidRDefault="007269CF" w:rsidP="00F417AB">
      <w:pPr>
        <w:pStyle w:val="Citacuerpo"/>
      </w:pPr>
      <w:r w:rsidRPr="00BB63D0">
        <w:t>3.-</w:t>
      </w:r>
      <w:r w:rsidRPr="00BB63D0">
        <w:tab/>
        <w:t xml:space="preserve">Se encuentra probado que el acusado Pascual </w:t>
      </w:r>
      <w:proofErr w:type="spellStart"/>
      <w:r w:rsidRPr="00BB63D0">
        <w:t>Pichún</w:t>
      </w:r>
      <w:proofErr w:type="spellEnd"/>
      <w:r w:rsidRPr="00BB63D0">
        <w:t xml:space="preserve"> es </w:t>
      </w:r>
      <w:proofErr w:type="spellStart"/>
      <w:r w:rsidRPr="00BB63D0">
        <w:t>Lonko</w:t>
      </w:r>
      <w:proofErr w:type="spellEnd"/>
      <w:r w:rsidRPr="00BB63D0">
        <w:t xml:space="preserve"> de la Comunidad "Antonio </w:t>
      </w:r>
      <w:proofErr w:type="spellStart"/>
      <w:r w:rsidRPr="00BB63D0">
        <w:t>Ñirripil</w:t>
      </w:r>
      <w:proofErr w:type="spellEnd"/>
      <w:r w:rsidRPr="00BB63D0">
        <w:t>" y Segundo Norín lo es de la Comunidad "Lorenzo Norín", lo que importa jerarquía en su interior y determinada capacidad de mando y liderazgo sobre ellas.</w:t>
      </w:r>
    </w:p>
    <w:p w14:paraId="39EEE9E1" w14:textId="77777777" w:rsidR="007269CF" w:rsidRPr="00BB63D0" w:rsidRDefault="007269CF" w:rsidP="00F417AB">
      <w:pPr>
        <w:pStyle w:val="Citacuerpo"/>
      </w:pPr>
      <w:r w:rsidRPr="00BB63D0">
        <w:t>4.-</w:t>
      </w:r>
      <w:r w:rsidRPr="00BB63D0">
        <w:tab/>
        <w:t xml:space="preserve">Asimismo, es preciso resaltar que los imputados </w:t>
      </w:r>
      <w:proofErr w:type="spellStart"/>
      <w:r w:rsidRPr="00BB63D0">
        <w:t>Pichún</w:t>
      </w:r>
      <w:proofErr w:type="spellEnd"/>
      <w:r w:rsidRPr="00BB63D0">
        <w:t xml:space="preserve"> y Norín se encuentran condenados por otros delitos relativos a ocupaciones de tierras cometidos con anterioridad a estos hechos en contra de predios forestales, ubicados en lugares aledaños a las respectivas comunidades, según consta de la causa Rol N° 22.530 y acumuladas por la cual se condenó a Pascual </w:t>
      </w:r>
      <w:proofErr w:type="spellStart"/>
      <w:r w:rsidRPr="00BB63D0">
        <w:t>Pichún</w:t>
      </w:r>
      <w:proofErr w:type="spellEnd"/>
      <w:r w:rsidRPr="00BB63D0">
        <w:t xml:space="preserve"> </w:t>
      </w:r>
      <w:r w:rsidRPr="00BB63D0">
        <w:lastRenderedPageBreak/>
        <w:t xml:space="preserve">a la pena de 4 años de presidio menor en su grado máximo y a Segundo Norín a una pena de 800 días de presidio menor en su grado medio, en ambos casos, a las accesorias legales y costas por el delito de. [sic] Además, </w:t>
      </w:r>
      <w:proofErr w:type="spellStart"/>
      <w:r w:rsidRPr="00BB63D0">
        <w:t>Pichún</w:t>
      </w:r>
      <w:proofErr w:type="spellEnd"/>
      <w:r w:rsidRPr="00BB63D0">
        <w:t xml:space="preserve"> </w:t>
      </w:r>
      <w:proofErr w:type="spellStart"/>
      <w:r w:rsidRPr="00BB63D0">
        <w:t>Paillalao</w:t>
      </w:r>
      <w:proofErr w:type="spellEnd"/>
      <w:r w:rsidRPr="00BB63D0">
        <w:t xml:space="preserve"> fue condenado a la pena de 41 días de prisión en su grado máximo y al pago de una multa de 10 unidades tributarias mensuales como autor del delito de manejo en estado de ebriedad; así consta de sus respectivos extractos de filiación y antecedentes y de las copias de las sentencias definitiva debidamente certificada e incorporadas.</w:t>
      </w:r>
    </w:p>
    <w:p w14:paraId="1D8F415F" w14:textId="77777777" w:rsidR="007269CF" w:rsidRPr="00BB63D0" w:rsidRDefault="007269CF" w:rsidP="00F417AB">
      <w:pPr>
        <w:pStyle w:val="Citacuerpo"/>
      </w:pPr>
      <w:r w:rsidRPr="00BB63D0">
        <w:t>5.</w:t>
      </w:r>
      <w:r w:rsidRPr="00BB63D0">
        <w:tab/>
        <w:t xml:space="preserve">Las Comunidades mapuches de </w:t>
      </w:r>
      <w:proofErr w:type="spellStart"/>
      <w:r w:rsidRPr="00BB63D0">
        <w:t>Didaico</w:t>
      </w:r>
      <w:proofErr w:type="spellEnd"/>
      <w:r w:rsidRPr="00BB63D0">
        <w:t xml:space="preserve"> y </w:t>
      </w:r>
      <w:proofErr w:type="spellStart"/>
      <w:r w:rsidRPr="00BB63D0">
        <w:t>Temulemu</w:t>
      </w:r>
      <w:proofErr w:type="spellEnd"/>
      <w:r w:rsidRPr="00BB63D0">
        <w:t xml:space="preserve"> son colindantes con el predio </w:t>
      </w:r>
      <w:proofErr w:type="spellStart"/>
      <w:r w:rsidRPr="00BB63D0">
        <w:t>Nancahue</w:t>
      </w:r>
      <w:proofErr w:type="spellEnd"/>
      <w:r w:rsidRPr="00BB63D0">
        <w:t>, y</w:t>
      </w:r>
    </w:p>
    <w:p w14:paraId="1BCB8AD1" w14:textId="77777777" w:rsidR="007269CF" w:rsidRPr="00BB63D0" w:rsidRDefault="007269CF" w:rsidP="00F417AB">
      <w:pPr>
        <w:pStyle w:val="Citacuerpo"/>
      </w:pPr>
      <w:r w:rsidRPr="00BB63D0">
        <w:t>6.-</w:t>
      </w:r>
      <w:r w:rsidRPr="00BB63D0">
        <w:tab/>
        <w:t xml:space="preserve">Ambos acusados pertenecerían, según lo declarado por Osvaldo Carvajal, a la Coordinadora Arauco </w:t>
      </w:r>
      <w:proofErr w:type="spellStart"/>
      <w:r w:rsidRPr="00BB63D0">
        <w:t>Malleco</w:t>
      </w:r>
      <w:proofErr w:type="spellEnd"/>
      <w:r w:rsidRPr="00BB63D0">
        <w:t xml:space="preserve"> C.A.M, organización de hecho — según reitero - y de carácter violentista. </w:t>
      </w:r>
    </w:p>
    <w:p w14:paraId="6A993B55" w14:textId="77777777" w:rsidR="007269CF" w:rsidRPr="00BB63D0" w:rsidRDefault="007269CF" w:rsidP="00F417AB">
      <w:pPr>
        <w:pStyle w:val="Citacuerpo"/>
      </w:pPr>
      <w:r w:rsidRPr="00BB63D0">
        <w:t>* * *</w:t>
      </w:r>
    </w:p>
    <w:p w14:paraId="138609B1" w14:textId="77777777" w:rsidR="007269CF" w:rsidRPr="00BB63D0" w:rsidRDefault="007269CF" w:rsidP="00F417AB">
      <w:pPr>
        <w:pStyle w:val="Citacuerpo"/>
      </w:pPr>
      <w:r w:rsidRPr="00BB63D0">
        <w:t xml:space="preserve">Que los hechos descritos en el considerando precedente son constitutivos del delito terrorista contemplado en el artículo 2º N° 4 de la Ley N° 18.314, en relación con el artículo 1º del mismo texto legal, desde que de ellos aparece que se realizaron acciones tendientes a producir en parte de la población temor justificado a ser víctima de delitos, teniendo presente las circunstancias y la naturaleza y efectos de los medios empleados, como por la evidencia de que ellos obedecen a un plan premeditado de atentar contra bienes de terceros que se encuentran realizando labores para la construcción de la Central </w:t>
      </w:r>
      <w:proofErr w:type="spellStart"/>
      <w:r w:rsidRPr="00BB63D0">
        <w:t>Ralco</w:t>
      </w:r>
      <w:proofErr w:type="spellEnd"/>
      <w:r w:rsidRPr="00BB63D0">
        <w:t xml:space="preserve"> del Alto </w:t>
      </w:r>
      <w:proofErr w:type="spellStart"/>
      <w:r w:rsidRPr="00BB63D0">
        <w:t>Bío</w:t>
      </w:r>
      <w:proofErr w:type="spellEnd"/>
      <w:r w:rsidRPr="00BB63D0">
        <w:t xml:space="preserve"> </w:t>
      </w:r>
      <w:proofErr w:type="spellStart"/>
      <w:r w:rsidRPr="00BB63D0">
        <w:t>Bío</w:t>
      </w:r>
      <w:proofErr w:type="spellEnd"/>
      <w:r w:rsidRPr="00BB63D0">
        <w:t xml:space="preserve">, todo con el objeto de arrancar resoluciones de la autoridad que tiendan a impedir la construcción de estas obras. </w:t>
      </w:r>
    </w:p>
    <w:p w14:paraId="182E8EAA" w14:textId="77777777" w:rsidR="007269CF" w:rsidRPr="00BB63D0" w:rsidRDefault="007269CF" w:rsidP="00F417AB">
      <w:pPr>
        <w:pStyle w:val="Citacuerpo"/>
      </w:pPr>
      <w:r w:rsidRPr="00BB63D0">
        <w:t>* * *</w:t>
      </w:r>
    </w:p>
    <w:p w14:paraId="4D23CE8C" w14:textId="77777777" w:rsidR="007269CF" w:rsidRPr="00BB63D0" w:rsidRDefault="007269CF" w:rsidP="00F417AB">
      <w:pPr>
        <w:pStyle w:val="Citacuerpo"/>
      </w:pPr>
      <w:r w:rsidRPr="00BB63D0">
        <w:t xml:space="preserve">19º. -Que los elementos de juicios referidos en los fundamentos primero, séptimo y decimotercero, del fallo de primera instancia, constituyen presunciones judiciales, que apreciadas en conciencia, acreditan que los incendios de los camiones y retroexcavadora se encuentran circunscritos dentro del conflicto Pehuenche, en la Octava Región, Provincia de </w:t>
      </w:r>
      <w:proofErr w:type="spellStart"/>
      <w:r w:rsidRPr="00BB63D0">
        <w:t>Bio</w:t>
      </w:r>
      <w:proofErr w:type="spellEnd"/>
      <w:r w:rsidRPr="00BB63D0">
        <w:t xml:space="preserve"> </w:t>
      </w:r>
      <w:proofErr w:type="spellStart"/>
      <w:r w:rsidRPr="00BB63D0">
        <w:t>Bio</w:t>
      </w:r>
      <w:proofErr w:type="spellEnd"/>
      <w:r w:rsidRPr="00BB63D0">
        <w:t xml:space="preserve">, comuna de Santa Bárbara, sector cordillerano denominado Alto </w:t>
      </w:r>
      <w:proofErr w:type="spellStart"/>
      <w:r w:rsidRPr="00BB63D0">
        <w:t>Bio</w:t>
      </w:r>
      <w:proofErr w:type="spellEnd"/>
      <w:r w:rsidRPr="00BB63D0">
        <w:t xml:space="preserve"> </w:t>
      </w:r>
      <w:proofErr w:type="spellStart"/>
      <w:r w:rsidRPr="00BB63D0">
        <w:t>Bio</w:t>
      </w:r>
      <w:proofErr w:type="spellEnd"/>
      <w:r w:rsidRPr="00BB63D0">
        <w:t xml:space="preserve">, lo que se relaciona con la oposición a la construcción de la Central Hidroeléctrica </w:t>
      </w:r>
      <w:proofErr w:type="spellStart"/>
      <w:r w:rsidRPr="00BB63D0">
        <w:t>Ralco</w:t>
      </w:r>
      <w:proofErr w:type="spellEnd"/>
      <w:r w:rsidRPr="00BB63D0">
        <w:t xml:space="preserve">, donde además, es de público conocimiento que las hermanas Berta y Nicolasa </w:t>
      </w:r>
      <w:proofErr w:type="spellStart"/>
      <w:r w:rsidRPr="00BB63D0">
        <w:t>Quintremán</w:t>
      </w:r>
      <w:proofErr w:type="spellEnd"/>
      <w:r w:rsidRPr="00BB63D0">
        <w:t xml:space="preserve"> </w:t>
      </w:r>
      <w:proofErr w:type="spellStart"/>
      <w:r w:rsidRPr="00BB63D0">
        <w:t>Calpán</w:t>
      </w:r>
      <w:proofErr w:type="spellEnd"/>
      <w:r w:rsidRPr="00BB63D0">
        <w:t xml:space="preserve"> son las que se oponen al proyecto de Endesa, porque sus terrenos serán inundados con la construcción de la Central y en los cuales se encuentran sus ancestros, sus orígenes, su cultura y sus tradiciones. </w:t>
      </w:r>
    </w:p>
    <w:p w14:paraId="71B7B2F0" w14:textId="77777777" w:rsidR="007269CF" w:rsidRPr="00BB63D0" w:rsidRDefault="007269CF" w:rsidP="00F417AB">
      <w:pPr>
        <w:pStyle w:val="Citacuerpo"/>
      </w:pPr>
      <w:r w:rsidRPr="00BB63D0">
        <w:t>En este contexto han acontecidos los hechos, como una manera de exigir a las autoridades resoluciones o imponer exigencias para revertir la situación existente en la construcción de la Central.</w:t>
      </w:r>
    </w:p>
    <w:p w14:paraId="2F58987A" w14:textId="77777777" w:rsidR="007269CF" w:rsidRPr="00BB63D0" w:rsidRDefault="007269CF" w:rsidP="00F417AB">
      <w:pPr>
        <w:pStyle w:val="Citacuerpo"/>
      </w:pPr>
      <w:r w:rsidRPr="00BB63D0">
        <w:t xml:space="preserve">20º. -Que para ello, el 29 de septiembre de 2001, 03 y 17 de marzo de 2002, se incendiaron dos camiones y una retroexcavadora y posteriormente dos camiones, vehículos que trabajaban para Endesa. La primera vez actuaron varios individuos encapuchados, excepto uno, utilizando un arma de fuego, lesionando al conductor del camión con un palo. La segunda vez participaron a lo menos dos individuos, con rostro cubierto, premunido uno de ellos con escopeta, efectuando dos disparos al aire, y en la tercera oportunidad fue un grupo de personas encapuchadas, uno de los cuales portaba un arma de fuego, </w:t>
      </w:r>
      <w:r w:rsidRPr="00BB63D0">
        <w:lastRenderedPageBreak/>
        <w:t xml:space="preserve">haciendo disparos al aire. En todos estos actos usaron combustible inflamable, como bencina u otro semejante. </w:t>
      </w:r>
    </w:p>
    <w:p w14:paraId="74DE3A63" w14:textId="77777777" w:rsidR="007269CF" w:rsidRPr="00BB63D0" w:rsidRDefault="007269CF" w:rsidP="00F417AB">
      <w:pPr>
        <w:pStyle w:val="Citacuerpo"/>
      </w:pPr>
      <w:r w:rsidRPr="00BB63D0">
        <w:t xml:space="preserve">Las acciones ilícitas antes referidas se han llevado a efecto por vías de hecho, sin observar la institucionalidad y legalidad vigente, recurriendo a acciones de fuerza previamente planificadas, concertadas de acuerdo como acontecieron los hechos, lugar y modus operandi, con la finalidad de crear situaciones de inseguridad, inestabilidad y temor, infundiendo miedo para la formulación, bajo presión delictual de peticiones a las autoridades imponiéndole exigencias para lograr sus fines. </w:t>
      </w:r>
    </w:p>
    <w:p w14:paraId="0C72DF67" w14:textId="77777777" w:rsidR="007269CF" w:rsidRPr="00BB63D0" w:rsidRDefault="007269CF" w:rsidP="00BB63D0">
      <w:pPr>
        <w:rPr>
          <w:szCs w:val="20"/>
        </w:rPr>
      </w:pPr>
      <w:r w:rsidRPr="00BB63D0">
        <w:rPr>
          <w:szCs w:val="20"/>
        </w:rPr>
        <w:t>228.</w:t>
      </w:r>
      <w:r w:rsidRPr="00BB63D0">
        <w:rPr>
          <w:szCs w:val="20"/>
        </w:rPr>
        <w:tab/>
        <w:t xml:space="preserve">La Corte considera que la sola utilización de esos razonamientos que denotan estereotipos y prejuicios en la fundamentación de las sentencias configuraron una violación del principio de igualdad y no discriminación y el derecho a la igual protección de la ley, consagrados en el artículo 24 de la Convención Americana, en relación con el artículo 1.1 del mismo instrumento. </w:t>
      </w:r>
    </w:p>
    <w:p w14:paraId="2DF13A93" w14:textId="77777777" w:rsidR="007269CF" w:rsidRPr="00BB63D0" w:rsidRDefault="007269CF" w:rsidP="00BB63D0">
      <w:pPr>
        <w:rPr>
          <w:szCs w:val="20"/>
        </w:rPr>
      </w:pPr>
      <w:r w:rsidRPr="00BB63D0">
        <w:rPr>
          <w:szCs w:val="20"/>
        </w:rPr>
        <w:t>229.</w:t>
      </w:r>
      <w:r w:rsidRPr="00BB63D0">
        <w:rPr>
          <w:szCs w:val="20"/>
        </w:rPr>
        <w:tab/>
        <w:t>Las alegaciones de violación del derecho a un juez o tribunal imparcial, consagrado en el artículo 8.1 de la Convención Americana, están estrechamente relacionadas con la presunción de la intención terrorista de “producir […] temor en la población en general” (elemento subjetivo del tipo), que según ya se ha declarado […] vulnera el principio de legalidad y la garantía de presunción de inocencia previstos, respectivamente, en los artículos 9 y 8.2 de la Convención. La alegada violación del artículo 8.1 debe considerarse subsumida en la ya declarada violación de los artículos 9 y 8.2. En consecuencia, la Corte considera que no es necesario pronunciarse a su respecto.</w:t>
      </w:r>
    </w:p>
    <w:p w14:paraId="1A60F02C" w14:textId="77777777" w:rsidR="007269CF" w:rsidRPr="00BB63D0" w:rsidRDefault="007269CF" w:rsidP="00BB63D0">
      <w:pPr>
        <w:rPr>
          <w:szCs w:val="20"/>
        </w:rPr>
      </w:pPr>
      <w:r w:rsidRPr="00BB63D0">
        <w:rPr>
          <w:szCs w:val="20"/>
        </w:rPr>
        <w:t>230.</w:t>
      </w:r>
      <w:r w:rsidRPr="00BB63D0">
        <w:rPr>
          <w:szCs w:val="20"/>
        </w:rPr>
        <w:tab/>
        <w:t xml:space="preserve">La Corte concluye que el Estado ha vulnerado el principio de igualdad y no discriminación y el derecho a la igual protección de la ley, consagrados en el artículo 24 de la Convención Americana, en relación con el artículo 1.1 del mismo instrumento, en perjuicio de Segundo Aniceto Norín Catrimán, Pascual </w:t>
      </w:r>
      <w:proofErr w:type="spellStart"/>
      <w:r w:rsidRPr="00BB63D0">
        <w:rPr>
          <w:szCs w:val="20"/>
        </w:rPr>
        <w:t>Huentequeo</w:t>
      </w:r>
      <w:proofErr w:type="spellEnd"/>
      <w:r w:rsidRPr="00BB63D0">
        <w:rPr>
          <w:szCs w:val="20"/>
        </w:rPr>
        <w:t xml:space="preserve"> </w:t>
      </w:r>
      <w:proofErr w:type="spellStart"/>
      <w:r w:rsidRPr="00BB63D0">
        <w:rPr>
          <w:szCs w:val="20"/>
        </w:rPr>
        <w:t>Pichún</w:t>
      </w:r>
      <w:proofErr w:type="spellEnd"/>
      <w:r w:rsidRPr="00BB63D0">
        <w:rPr>
          <w:szCs w:val="20"/>
        </w:rPr>
        <w:t xml:space="preserve"> </w:t>
      </w:r>
      <w:proofErr w:type="spellStart"/>
      <w:r w:rsidRPr="00BB63D0">
        <w:rPr>
          <w:szCs w:val="20"/>
        </w:rPr>
        <w:t>Paillalao</w:t>
      </w:r>
      <w:proofErr w:type="spellEnd"/>
      <w:r w:rsidRPr="00BB63D0">
        <w:rPr>
          <w:szCs w:val="20"/>
        </w:rPr>
        <w:t xml:space="preserve">, Juan Patricio </w:t>
      </w:r>
      <w:proofErr w:type="spellStart"/>
      <w:r w:rsidRPr="00BB63D0">
        <w:rPr>
          <w:szCs w:val="20"/>
        </w:rPr>
        <w:t>Marileo</w:t>
      </w:r>
      <w:proofErr w:type="spellEnd"/>
      <w:r w:rsidRPr="00BB63D0">
        <w:rPr>
          <w:szCs w:val="20"/>
        </w:rPr>
        <w:t xml:space="preserve"> Saravia, Florencio Jaime </w:t>
      </w:r>
      <w:proofErr w:type="spellStart"/>
      <w:r w:rsidRPr="00BB63D0">
        <w:rPr>
          <w:szCs w:val="20"/>
        </w:rPr>
        <w:t>Marileo</w:t>
      </w:r>
      <w:proofErr w:type="spellEnd"/>
      <w:r w:rsidRPr="00BB63D0">
        <w:rPr>
          <w:szCs w:val="20"/>
        </w:rPr>
        <w:t xml:space="preserve"> Saravia, José </w:t>
      </w:r>
      <w:proofErr w:type="spellStart"/>
      <w:r w:rsidRPr="00BB63D0">
        <w:rPr>
          <w:szCs w:val="20"/>
        </w:rPr>
        <w:t>Benicio</w:t>
      </w:r>
      <w:proofErr w:type="spellEnd"/>
      <w:r w:rsidRPr="00BB63D0">
        <w:rPr>
          <w:szCs w:val="20"/>
        </w:rPr>
        <w:t xml:space="preserve"> </w:t>
      </w:r>
      <w:proofErr w:type="spellStart"/>
      <w:r w:rsidRPr="00BB63D0">
        <w:rPr>
          <w:szCs w:val="20"/>
        </w:rPr>
        <w:t>Huenchunao</w:t>
      </w:r>
      <w:proofErr w:type="spellEnd"/>
      <w:r w:rsidRPr="00BB63D0">
        <w:rPr>
          <w:szCs w:val="20"/>
        </w:rPr>
        <w:t xml:space="preserve"> </w:t>
      </w:r>
      <w:proofErr w:type="spellStart"/>
      <w:r w:rsidRPr="00BB63D0">
        <w:rPr>
          <w:szCs w:val="20"/>
        </w:rPr>
        <w:t>Mariñán</w:t>
      </w:r>
      <w:proofErr w:type="spellEnd"/>
      <w:r w:rsidRPr="00BB63D0">
        <w:rPr>
          <w:szCs w:val="20"/>
        </w:rPr>
        <w:t xml:space="preserve">, Juan Ciriaco </w:t>
      </w:r>
      <w:proofErr w:type="spellStart"/>
      <w:r w:rsidRPr="00BB63D0">
        <w:rPr>
          <w:szCs w:val="20"/>
        </w:rPr>
        <w:t>Millacheo</w:t>
      </w:r>
      <w:proofErr w:type="spellEnd"/>
      <w:r w:rsidRPr="00BB63D0">
        <w:rPr>
          <w:szCs w:val="20"/>
        </w:rPr>
        <w:t xml:space="preserve"> </w:t>
      </w:r>
      <w:proofErr w:type="spellStart"/>
      <w:r w:rsidRPr="00BB63D0">
        <w:rPr>
          <w:szCs w:val="20"/>
        </w:rPr>
        <w:t>Licán</w:t>
      </w:r>
      <w:proofErr w:type="spellEnd"/>
      <w:r w:rsidRPr="00BB63D0">
        <w:rPr>
          <w:szCs w:val="20"/>
        </w:rPr>
        <w:t xml:space="preserve">, Patricia Roxana Troncoso Robles y Víctor Manuel </w:t>
      </w:r>
      <w:proofErr w:type="spellStart"/>
      <w:r w:rsidRPr="00BB63D0">
        <w:rPr>
          <w:szCs w:val="20"/>
        </w:rPr>
        <w:t>Ancalaf</w:t>
      </w:r>
      <w:proofErr w:type="spellEnd"/>
      <w:r w:rsidRPr="00BB63D0">
        <w:rPr>
          <w:szCs w:val="20"/>
        </w:rPr>
        <w:t xml:space="preserve"> </w:t>
      </w:r>
      <w:proofErr w:type="spellStart"/>
      <w:r w:rsidRPr="00BB63D0">
        <w:rPr>
          <w:szCs w:val="20"/>
        </w:rPr>
        <w:t>Llaupe</w:t>
      </w:r>
      <w:proofErr w:type="spellEnd"/>
      <w:r w:rsidRPr="00BB63D0">
        <w:rPr>
          <w:szCs w:val="20"/>
        </w:rPr>
        <w:t>.</w:t>
      </w:r>
    </w:p>
    <w:p w14:paraId="13EA8880" w14:textId="77777777" w:rsidR="007269CF" w:rsidRPr="00BB63D0" w:rsidRDefault="007269CF" w:rsidP="00BB63D0">
      <w:pPr>
        <w:rPr>
          <w:b/>
          <w:szCs w:val="20"/>
        </w:rPr>
      </w:pPr>
      <w:r w:rsidRPr="00BB63D0">
        <w:rPr>
          <w:b/>
          <w:szCs w:val="20"/>
        </w:rPr>
        <w:t>Corte IDH. Caso Espinoza Gonzáles Vs. Perú. Excepciones Preliminares, Fondo, Reparaciones y Costas. Sentencia de 20 de noviembre de 2014. Serie C No. 289</w:t>
      </w:r>
    </w:p>
    <w:p w14:paraId="2783590A" w14:textId="77777777" w:rsidR="007269CF" w:rsidRPr="00BB63D0" w:rsidRDefault="007269CF" w:rsidP="00BB63D0">
      <w:pPr>
        <w:rPr>
          <w:szCs w:val="20"/>
        </w:rPr>
      </w:pPr>
      <w:r w:rsidRPr="00BB63D0">
        <w:rPr>
          <w:szCs w:val="20"/>
        </w:rPr>
        <w:t>267.</w:t>
      </w:r>
      <w:r w:rsidRPr="00BB63D0">
        <w:rPr>
          <w:szCs w:val="20"/>
        </w:rPr>
        <w:tab/>
        <w:t xml:space="preserve">En relación a este punto, según los representantes, durante el proceso llevado a cabo en contra de Gladys Espinoza en el año 2004, la Sala Nacional de Terrorismo y la Sala Penal Permanente de la Corte Suprema de Justicia que conocieron del mismo aplicaron un estereotipo de género al valorar sus declaraciones de que había sufrido torturas y otros maltratos dentro en la DIVISE y la DINCOTE, descalificándolas y, en consecuencia, omitiendo ordenar una investigación en relación a dichos hechos. </w:t>
      </w:r>
    </w:p>
    <w:p w14:paraId="74FB937F" w14:textId="77777777" w:rsidR="007269CF" w:rsidRPr="00BB63D0" w:rsidRDefault="007269CF" w:rsidP="00BB63D0">
      <w:pPr>
        <w:rPr>
          <w:szCs w:val="20"/>
        </w:rPr>
      </w:pPr>
      <w:r w:rsidRPr="00BB63D0">
        <w:rPr>
          <w:szCs w:val="20"/>
        </w:rPr>
        <w:t>277.</w:t>
      </w:r>
      <w:r w:rsidRPr="00BB63D0">
        <w:rPr>
          <w:szCs w:val="20"/>
        </w:rPr>
        <w:tab/>
        <w:t xml:space="preserve">Más aún, la Corte recuerda que en el Perú existió un patrón de tortura y de violencia sexual aplicada discriminatoriamente en perjuicio de las mujeres en el marco de investigaciones por razón de terrorismo y traición a la patria en la época de los hechos […]. Además, tal como se señaló previamente, para la fecha en que se emitió la sentencia de la Sala Penal, en casos de violencia sexual, los tribunales del Perú sobrevaloraban las pruebas médicas, incurriendo además en valoraciones estereotipadas y limitadas a la verificación de la integridad del himen, la pérdida de la virginidad, y las huellas físicas de la violencia […]. </w:t>
      </w:r>
    </w:p>
    <w:p w14:paraId="7256582F" w14:textId="77777777" w:rsidR="007269CF" w:rsidRPr="00BB63D0" w:rsidRDefault="007269CF" w:rsidP="00BB63D0">
      <w:pPr>
        <w:rPr>
          <w:szCs w:val="20"/>
        </w:rPr>
      </w:pPr>
      <w:r w:rsidRPr="00BB63D0">
        <w:rPr>
          <w:szCs w:val="20"/>
        </w:rPr>
        <w:t>278.</w:t>
      </w:r>
      <w:r w:rsidRPr="00BB63D0">
        <w:rPr>
          <w:szCs w:val="20"/>
        </w:rPr>
        <w:tab/>
        <w:t xml:space="preserve">En este sentido, la Corte considera pertinente resaltar que una garantía para el acceso a la justicia de las mujeres víctimas de violencia sexual debe ser la previsión </w:t>
      </w:r>
      <w:r w:rsidRPr="00BB63D0">
        <w:rPr>
          <w:szCs w:val="20"/>
        </w:rPr>
        <w:lastRenderedPageBreak/>
        <w:t>de reglas para la valoración de la prueba que evite afirmaciones, insinuaciones y alusiones estereotipadas. Al respecto, la Corte observa que, en el Acuerdo Plenario N° 1-2011/CJ-116 de 6 de diciembre de 2011 de la Corte Suprema de Justicia, en donde se “</w:t>
      </w:r>
      <w:proofErr w:type="spellStart"/>
      <w:r w:rsidRPr="00BB63D0">
        <w:rPr>
          <w:szCs w:val="20"/>
        </w:rPr>
        <w:t>establec</w:t>
      </w:r>
      <w:proofErr w:type="spellEnd"/>
      <w:r w:rsidRPr="00BB63D0">
        <w:rPr>
          <w:szCs w:val="20"/>
        </w:rPr>
        <w:t>[</w:t>
      </w:r>
      <w:proofErr w:type="spellStart"/>
      <w:r w:rsidRPr="00BB63D0">
        <w:rPr>
          <w:szCs w:val="20"/>
        </w:rPr>
        <w:t>ieron</w:t>
      </w:r>
      <w:proofErr w:type="spellEnd"/>
      <w:r w:rsidRPr="00BB63D0">
        <w:rPr>
          <w:szCs w:val="20"/>
        </w:rPr>
        <w:t>] como doctrina legal” los criterios para la apreciación de la prueba de delitos sexuales en el Perú a partir de dicha fecha, se afirma que “algunos sectores de la comunidad asumen que esta apreciación probatoria está gobernada por estereotipos de género en los Policías, Fiscales y Jueces” y se reconoce la necesidad de “que se lleve a cabo una adecuada apreciación y selección de la prueba a fin de neutralizar la posibilidad de que se produzca algún defecto que lesione la dignidad humana y sea fuente de impunidad”. Así, la Corte considera que en el presente caso la ausencia de normas que regularan, en el año 2004, la especial valoración de la prueba requerida en casos de violencia sexual favoreció el uso de estereotipos de género en la valoración de la Sala Penal Permanente de los indicios de que Gladys Espinoza había sido víctima de tortura y violencia sexual.</w:t>
      </w:r>
    </w:p>
    <w:p w14:paraId="7581F663" w14:textId="77777777" w:rsidR="007269CF" w:rsidRPr="00BB63D0" w:rsidRDefault="007269CF" w:rsidP="00BB63D0">
      <w:pPr>
        <w:rPr>
          <w:szCs w:val="20"/>
        </w:rPr>
      </w:pPr>
      <w:r w:rsidRPr="00BB63D0">
        <w:rPr>
          <w:szCs w:val="20"/>
        </w:rPr>
        <w:t>279.</w:t>
      </w:r>
      <w:r w:rsidRPr="00BB63D0">
        <w:rPr>
          <w:szCs w:val="20"/>
        </w:rPr>
        <w:tab/>
        <w:t xml:space="preserve"> En vista de todo lo anterior, la Corte considera que la aseveración de la Sala Penal Permanente de la Corte Suprema de que Gladys Espinoza manipulaba la realidad a su conveniencia es consistente con lo señalado por la perita Dador, en sentido que, en casos de violencia sexual, las autoridades judiciales en el Perú incurrían en </w:t>
      </w:r>
      <w:proofErr w:type="spellStart"/>
      <w:r w:rsidRPr="00BB63D0">
        <w:rPr>
          <w:szCs w:val="20"/>
        </w:rPr>
        <w:t>estereotipación</w:t>
      </w:r>
      <w:proofErr w:type="spellEnd"/>
      <w:r w:rsidRPr="00BB63D0">
        <w:rPr>
          <w:szCs w:val="20"/>
        </w:rPr>
        <w:t xml:space="preserve"> por razón de género en la valoración de la prueba, restando valor a las declaraciones de mujeres </w:t>
      </w:r>
      <w:r w:rsidRPr="00BB68EA">
        <w:rPr>
          <w:szCs w:val="20"/>
        </w:rPr>
        <w:t>víctimas de estos hechos. Sumado a ello, la Corte considera que los siguientes elementos demuestran que dicho tribunal eligió selectivamente la prueba en perjuicio de Gladys Espinoza: i) el hecho de que el juez descartó el alegato de la posible existencia</w:t>
      </w:r>
      <w:r w:rsidRPr="00BB63D0">
        <w:rPr>
          <w:szCs w:val="20"/>
        </w:rPr>
        <w:t xml:space="preserve"> de tortura al señalar que ella es una persona que manipulaba la realidad; ii) la existencia de peritajes médicos que no negaban la posibilidad de que Gladys Espinoza hubiese sido víctima de torturas, y iii) la falta de análisis de los demás elementos contenidos en el expediente judicial, tales como los exámenes médicos practicados a ésta, de donde se desprendían elementos que razonablemente configuraban indicios de tortura. Asimismo, la falta de normas sobre la valoración de la prueba en este tipo de casos favoreció la elección selectiva de las pruebas para descartar los alegatos de tortura esgrimidos por Gladys Espinoza, con la consecuencia de que no se ordenaran investigaciones al respecto. Esto constituyó un trato discriminatorio en su perjuicio por parte de la Sala Penal Permanente de la Corte Suprema de Justicia de Perú, toda vez que ésta se fundamentó en un estereotipo de género sobre la falta de confiabilidad en sus declaraciones, de las mujeres sospechosas de haber cometido un delito.</w:t>
      </w:r>
    </w:p>
    <w:p w14:paraId="15D622C9" w14:textId="77777777" w:rsidR="007269CF" w:rsidRPr="00BB63D0" w:rsidRDefault="007269CF" w:rsidP="00BB63D0">
      <w:pPr>
        <w:rPr>
          <w:b/>
          <w:szCs w:val="20"/>
        </w:rPr>
      </w:pPr>
      <w:r w:rsidRPr="00BB63D0">
        <w:rPr>
          <w:b/>
          <w:szCs w:val="20"/>
        </w:rPr>
        <w:t>Corte IDH. Caso Gonzales Lluy y otros Vs. Ecuador. Excepciones Preliminares, Fondo, Reparaciones y Costas. Sentencia de 1 de septiembre de 2015. Serie C No. 298</w:t>
      </w:r>
    </w:p>
    <w:p w14:paraId="5301455F" w14:textId="77777777" w:rsidR="007269CF" w:rsidRPr="00BB63D0" w:rsidRDefault="007269CF" w:rsidP="00BB63D0">
      <w:pPr>
        <w:rPr>
          <w:szCs w:val="20"/>
        </w:rPr>
      </w:pPr>
      <w:r w:rsidRPr="00BB63D0">
        <w:rPr>
          <w:szCs w:val="20"/>
        </w:rPr>
        <w:t>267.</w:t>
      </w:r>
      <w:r w:rsidRPr="00BB63D0">
        <w:rPr>
          <w:szCs w:val="20"/>
        </w:rPr>
        <w:tab/>
        <w:t>La restricción al derecho a la educación se establece en virtud de tres razones en la providencia del Tercer Tribunal de lo Contencioso de Cuenca: 1) el diagnóstico de VIH Talía, 2) las hemorragias de Talía como posible fuente de contagio, y 3) el conflicto de intereses entre la vida e integridad de los compañeros de Talía y el derecho a la educación de Talía.</w:t>
      </w:r>
    </w:p>
    <w:p w14:paraId="72CF2ADF" w14:textId="77777777" w:rsidR="007269CF" w:rsidRPr="00BB63D0" w:rsidRDefault="007269CF" w:rsidP="00BB63D0">
      <w:pPr>
        <w:rPr>
          <w:szCs w:val="20"/>
        </w:rPr>
      </w:pPr>
      <w:r w:rsidRPr="00BB63D0">
        <w:rPr>
          <w:szCs w:val="20"/>
        </w:rPr>
        <w:t>268.</w:t>
      </w:r>
      <w:r w:rsidRPr="00BB63D0">
        <w:rPr>
          <w:szCs w:val="20"/>
        </w:rPr>
        <w:tab/>
        <w:t xml:space="preserve">Al respecto, la Corte resalta que el objetivo general de proteger la vida e integridad personal de las niñas y los niños que compartían su estancia con Talía en la escuela constituye, en sí mismo, un fin legítimo y es, además, imperioso. En relación al interés superior del niño, la Corte reitera que este principio regulador de la normativa de los derechos de las niñas y los niños se funda en la dignidad misma del ser humano, en las características propias de los niños y las niñas, y en la necesidad de propiciar el desarrollo de éstos, con pleno aprovechamiento de sus potencialidades. En el mismo sentido, conviene observar que para asegurar, en la mayor medida posible, la prevalencia del interés superior del niño, el preámbulo de la Convención sobre los Derechos del Niño establece que éste requiere “cuidados </w:t>
      </w:r>
      <w:r w:rsidRPr="00BB63D0">
        <w:rPr>
          <w:szCs w:val="20"/>
        </w:rPr>
        <w:lastRenderedPageBreak/>
        <w:t>especiales”, y el artículo 19 de la Convención Americana señala que debe recibir “medidas especiales de protección”.</w:t>
      </w:r>
    </w:p>
    <w:p w14:paraId="10AC934B" w14:textId="77777777" w:rsidR="007269CF" w:rsidRPr="00BB63D0" w:rsidRDefault="007269CF" w:rsidP="00BB63D0">
      <w:pPr>
        <w:rPr>
          <w:szCs w:val="20"/>
        </w:rPr>
      </w:pPr>
      <w:r w:rsidRPr="00BB63D0">
        <w:rPr>
          <w:szCs w:val="20"/>
        </w:rPr>
        <w:t>269.</w:t>
      </w:r>
      <w:r w:rsidRPr="00BB63D0">
        <w:rPr>
          <w:szCs w:val="20"/>
        </w:rPr>
        <w:tab/>
        <w:t xml:space="preserve">El tribunal interno fundamentó la decisión en un supuesto conflicto entre bienes jurídicos, a saber, el derecho a la vida de los estudiantes y el derecho a la educación de Talía, tomando como referencia las supuestas hemorragias que tenía Talía. Empero, la determinación del riesgo y por ende la identificación del bien jurídico de vida e integridad de los estudiantes como aquel que debía primar, fue una identificación errónea a partir de presunciones sobre los alcances que podría tener la enfermedad hematológica padecida por Talía, sus síntomas, y su potencial para contagiar a los demás niños y niñas con el virus del VIH. </w:t>
      </w:r>
    </w:p>
    <w:p w14:paraId="479B5579" w14:textId="77777777" w:rsidR="007269CF" w:rsidRPr="00BB63D0" w:rsidRDefault="007269CF" w:rsidP="00BB63D0">
      <w:pPr>
        <w:rPr>
          <w:szCs w:val="20"/>
        </w:rPr>
      </w:pPr>
      <w:r w:rsidRPr="00BB63D0">
        <w:rPr>
          <w:szCs w:val="20"/>
        </w:rPr>
        <w:t>270.</w:t>
      </w:r>
      <w:r w:rsidRPr="00BB63D0">
        <w:rPr>
          <w:szCs w:val="20"/>
        </w:rPr>
        <w:tab/>
        <w:t xml:space="preserve">La Corte considera que la valoración de la prueba en relación al presente caso, para efectos de establecer la inminencia del supuesto riesgo, no tuvo en cuenta los aspectos médicos aportados y privilegió, a partir de prejuicios sobre la enfermedad, los testimonios genéricos referidos a las hemorragias. En efecto, la Corte observa que constaba un informe médico que aseguraba que Talía se encontraba en buenas condiciones hematológicas. Asimismo, la institución tuvo conocimiento del diagnóstico de la púrpura </w:t>
      </w:r>
      <w:proofErr w:type="spellStart"/>
      <w:r w:rsidRPr="00BB63D0">
        <w:rPr>
          <w:szCs w:val="20"/>
        </w:rPr>
        <w:t>trombocitopénica</w:t>
      </w:r>
      <w:proofErr w:type="spellEnd"/>
      <w:r w:rsidRPr="00BB63D0">
        <w:rPr>
          <w:szCs w:val="20"/>
        </w:rPr>
        <w:t xml:space="preserve"> idiopática mediante una entrevista con Teresa Lluy, momento en el cual se precisó que Talía padecía VIH aunque para ese momento fuese una paciente asintomática.</w:t>
      </w:r>
    </w:p>
    <w:p w14:paraId="2D2AE9C3" w14:textId="77777777" w:rsidR="007269CF" w:rsidRPr="00BB63D0" w:rsidRDefault="007269CF" w:rsidP="00BB63D0">
      <w:pPr>
        <w:rPr>
          <w:szCs w:val="20"/>
        </w:rPr>
      </w:pPr>
      <w:r w:rsidRPr="00BB63D0">
        <w:rPr>
          <w:szCs w:val="20"/>
        </w:rPr>
        <w:t>271.</w:t>
      </w:r>
      <w:r w:rsidRPr="00BB63D0">
        <w:rPr>
          <w:szCs w:val="20"/>
        </w:rPr>
        <w:tab/>
        <w:t xml:space="preserve">En esa línea, en la decisión del juez interno no se evidencia un juicio estricto sobre la necesidad de la medida, en orden a determinar si no existían otras medidas diferentes a las del retiro del centro educativo y el confinamiento a “una instrucción particularizada y a </w:t>
      </w:r>
      <w:r w:rsidRPr="00BB68EA">
        <w:rPr>
          <w:szCs w:val="20"/>
        </w:rPr>
        <w:t xml:space="preserve">distancia”. La argumentación respecto a las pruebas aportadas está guiada en torno a prejuicios sobre el peligro que puede implicar el VIH o la púrpura </w:t>
      </w:r>
      <w:proofErr w:type="spellStart"/>
      <w:r w:rsidRPr="00BB68EA">
        <w:rPr>
          <w:szCs w:val="20"/>
        </w:rPr>
        <w:t>trombocitopénica</w:t>
      </w:r>
      <w:proofErr w:type="spellEnd"/>
      <w:r w:rsidRPr="00BB68EA">
        <w:rPr>
          <w:szCs w:val="20"/>
        </w:rPr>
        <w:t xml:space="preserve"> idiopática, que no constaban claramente en ninguna de las pruebas aportadas al proceso y que el</w:t>
      </w:r>
      <w:r w:rsidRPr="00BB63D0">
        <w:rPr>
          <w:szCs w:val="20"/>
        </w:rPr>
        <w:t xml:space="preserve"> Tribunal tomó como ciertas al establecer que las afirmaciones sobre estas “no fue[ron] impugnada[s] ni redargüida[s] de falsa[s]”. Esta consideración no tenía en cuenta el bajo e ínfimo porcentaje de riesgo de contagio al que aludían tanto las experticias médicas como la profesora que rindió su testimonio en el proceso.</w:t>
      </w:r>
    </w:p>
    <w:p w14:paraId="62569968" w14:textId="77777777" w:rsidR="007269CF" w:rsidRPr="00BB63D0" w:rsidRDefault="007269CF" w:rsidP="00BB63D0">
      <w:pPr>
        <w:rPr>
          <w:szCs w:val="20"/>
        </w:rPr>
      </w:pPr>
      <w:r w:rsidRPr="00BB63D0">
        <w:rPr>
          <w:szCs w:val="20"/>
        </w:rPr>
        <w:t>272.</w:t>
      </w:r>
      <w:r w:rsidRPr="00BB63D0">
        <w:rPr>
          <w:szCs w:val="20"/>
        </w:rPr>
        <w:tab/>
        <w:t xml:space="preserve">Atendiendo a que el criterio utilizado para determinar si Talía constituía un riesgo a la salud de los otros estudiantes de la escuela era su </w:t>
      </w:r>
      <w:r w:rsidRPr="00BB68EA">
        <w:rPr>
          <w:szCs w:val="20"/>
        </w:rPr>
        <w:t>situación de salud, se evidencia que el juez debía tener una carga argumentativa mayor, relativa a la determinación de razones objetivas y razonables que pudiesen</w:t>
      </w:r>
      <w:r w:rsidRPr="00BB63D0">
        <w:rPr>
          <w:szCs w:val="20"/>
        </w:rPr>
        <w:t xml:space="preserve"> generar una restricción al derecho a la educación de Talía. Dichas razones, amparadas en el sustento probatorio obtenido, debían fundamentarse en criterios médicos atendiendo a lo especializado del análisis para establecer el peligro o riesgo supuesto que se cernía sobre los estudiantes de la escuela.</w:t>
      </w:r>
    </w:p>
    <w:p w14:paraId="2F481422" w14:textId="77777777" w:rsidR="007269CF" w:rsidRPr="00BB63D0" w:rsidRDefault="007269CF" w:rsidP="00BB63D0">
      <w:pPr>
        <w:rPr>
          <w:szCs w:val="20"/>
        </w:rPr>
      </w:pPr>
      <w:r w:rsidRPr="00BB63D0">
        <w:rPr>
          <w:szCs w:val="20"/>
        </w:rPr>
        <w:t>273.</w:t>
      </w:r>
      <w:r w:rsidRPr="00BB63D0">
        <w:rPr>
          <w:szCs w:val="20"/>
        </w:rPr>
        <w:tab/>
        <w:t>La carga que tuvo que asumir Talía como consecuencia del estigma y los estereotipos en torno al VIH la acompañó en diversos momentos. Según las declaraciones de la familia Lluy y de Talía, no controvertidas por el Estado, tenían que ocultar el VIH y la expulsión de la escuela para poder ser aceptados en otras instituciones. Talía estuvo matriculada en el jardín infantil “El Cebollar”, la escuela “</w:t>
      </w:r>
      <w:proofErr w:type="spellStart"/>
      <w:r w:rsidRPr="00BB63D0">
        <w:rPr>
          <w:szCs w:val="20"/>
        </w:rPr>
        <w:t>Brumel</w:t>
      </w:r>
      <w:proofErr w:type="spellEnd"/>
      <w:r w:rsidRPr="00BB63D0">
        <w:rPr>
          <w:szCs w:val="20"/>
        </w:rPr>
        <w:t xml:space="preserve">”, la escuela “12 de Abril” y “Ángel </w:t>
      </w:r>
      <w:proofErr w:type="spellStart"/>
      <w:r w:rsidRPr="00BB63D0">
        <w:rPr>
          <w:szCs w:val="20"/>
        </w:rPr>
        <w:t>Polibio</w:t>
      </w:r>
      <w:proofErr w:type="spellEnd"/>
      <w:r w:rsidRPr="00BB63D0">
        <w:rPr>
          <w:szCs w:val="20"/>
        </w:rPr>
        <w:t xml:space="preserve"> Chávez”. Según la declaración de Teresa Lluy, “cada vez que se enteraban quienes [e]</w:t>
      </w:r>
      <w:proofErr w:type="spellStart"/>
      <w:r w:rsidRPr="00BB63D0">
        <w:rPr>
          <w:szCs w:val="20"/>
        </w:rPr>
        <w:t>ra</w:t>
      </w:r>
      <w:proofErr w:type="spellEnd"/>
      <w:r w:rsidRPr="00BB63D0">
        <w:rPr>
          <w:szCs w:val="20"/>
        </w:rPr>
        <w:t xml:space="preserve">[n], en algunos establecimientos educativos fue relegada [su] hija […] alegando que no podían tener una niña con VIH, pues era un riesgo para todos los otros estudiantes. Tanto los profesores como los padres de familia, [l]os discriminaban, [l]os aislaban, [l]os insultaban”. </w:t>
      </w:r>
    </w:p>
    <w:p w14:paraId="7B391EA9" w14:textId="77777777" w:rsidR="007269CF" w:rsidRPr="00BB63D0" w:rsidRDefault="007269CF" w:rsidP="00BB63D0">
      <w:pPr>
        <w:rPr>
          <w:szCs w:val="20"/>
        </w:rPr>
      </w:pPr>
      <w:r w:rsidRPr="00BB63D0">
        <w:rPr>
          <w:szCs w:val="20"/>
        </w:rPr>
        <w:t>274.</w:t>
      </w:r>
      <w:r w:rsidRPr="00BB63D0">
        <w:rPr>
          <w:szCs w:val="20"/>
        </w:rPr>
        <w:tab/>
        <w:t xml:space="preserve">La Corte concluye que el riesgo real y significativo de contagio que pusiese en riesgo la salud de las niñas y niños compañeros de Talía era sumamente reducido. En el marco de un juicio de necesidad y estricta proporcionalidad de la medida, este </w:t>
      </w:r>
      <w:r w:rsidRPr="00BB63D0">
        <w:rPr>
          <w:szCs w:val="20"/>
        </w:rPr>
        <w:lastRenderedPageBreak/>
        <w:t xml:space="preserve">Tribunal resalta que el medio escogido constituía la alternativa más lesiva y desproporcionada de las disponibles para cumplir con la finalidad de proteger la integridad de los demás niños del colegio. Si bien la sentencia del tribunal interno pretendía la protección de los compañeros de clase de Talía, no se probó que la motivación esgrimida en la decisión fuera adecuada para alcanzar dicho fin. En este sentido, en la valoración de la autoridad interna debía existir suficiente prueba de que las razones que </w:t>
      </w:r>
      <w:r w:rsidRPr="00BB68EA">
        <w:rPr>
          <w:szCs w:val="20"/>
        </w:rPr>
        <w:t>justificaban la diferencia de trato no estaban fundadas en estereotipos y suposiciones. En el presente caso la decisión utilizó argumentos abstractos y estereotipados para fundamentar una decisión que resultó extrema e innecesaria por lo que dichas decisiones constituyen un trato discriminatorio en contra de Talía. Este trato evidencia además q</w:t>
      </w:r>
      <w:r w:rsidRPr="00BB63D0">
        <w:rPr>
          <w:szCs w:val="20"/>
        </w:rPr>
        <w:t>ue no existió adaptabilidad del entorno educativo a la situación de Talía, a través de medidas de bioseguridad o similares que deben existir en todo establecimiento educativo para la prevención general de la transmisión de enfermedades.</w:t>
      </w:r>
    </w:p>
    <w:p w14:paraId="595A3014" w14:textId="77777777" w:rsidR="007269CF" w:rsidRPr="00BB63D0" w:rsidRDefault="007269CF" w:rsidP="00BB68EA">
      <w:pPr>
        <w:pStyle w:val="Caso"/>
      </w:pPr>
      <w:r w:rsidRPr="00BB63D0">
        <w:t>Corte IDH. Caso López Soto y otros Vs. Venezuela. Fondo, Reparaciones y Costas. Sentencia de 26 de septiembre de 2018. Serie C No. 362</w:t>
      </w:r>
    </w:p>
    <w:p w14:paraId="73F364AD" w14:textId="77777777" w:rsidR="007269CF" w:rsidRPr="00BB63D0" w:rsidRDefault="007269CF" w:rsidP="00BB63D0">
      <w:pPr>
        <w:rPr>
          <w:szCs w:val="20"/>
        </w:rPr>
      </w:pPr>
      <w:r w:rsidRPr="00BB63D0">
        <w:rPr>
          <w:szCs w:val="20"/>
        </w:rPr>
        <w:t>235.</w:t>
      </w:r>
      <w:r w:rsidRPr="00BB63D0">
        <w:rPr>
          <w:szCs w:val="20"/>
        </w:rPr>
        <w:tab/>
        <w:t>La Corte reitera que el estereotipo de género se refiere a una pre-concepción de atributos, conductas o características poseídas o papeles que son o deberían ser ejecutados por hombres y mujeres respectivamente, y que es posible asociar la subordinación de la mujer a prácticas basadas en estereotipos de género socialmente dominantes y socialmente persistentes. En este sentido, su creación y uso se convierte en una de las causas y consecuencias de la violencia de género en contra de la mujer, condiciones que se agravan cuando se reflejan, implícita o explícitamente, en políticas y prácticas, particularmente en el razonamiento y el lenguaje de las autoridades estatales.</w:t>
      </w:r>
    </w:p>
    <w:p w14:paraId="5B6A32E3" w14:textId="77777777" w:rsidR="007269CF" w:rsidRPr="00BB63D0" w:rsidRDefault="007269CF" w:rsidP="00BB63D0">
      <w:pPr>
        <w:rPr>
          <w:szCs w:val="20"/>
        </w:rPr>
      </w:pPr>
      <w:r w:rsidRPr="00BB63D0">
        <w:rPr>
          <w:szCs w:val="20"/>
        </w:rPr>
        <w:t>236.</w:t>
      </w:r>
      <w:r w:rsidRPr="00BB63D0">
        <w:rPr>
          <w:szCs w:val="20"/>
        </w:rPr>
        <w:tab/>
        <w:t>En particular, la Corte ha reconocido que los prejuicios personales y los estereotipos de género afectan la objetividad de los funcionarios estatales encargados de investigar las denuncias que se les presentan, influyendo en su percepción para determinar si ocurrió́ o no un hecho de violencia, en su evaluación de la credibilidad de los testigos y de la propia víctima. Los estereotipos “distorsionan las percepciones y dan lugar a decisiones basadas en creencias preconcebidas y mitos, en lugar de hechos”, lo que a su vez puede dar lugar a la denegación de justicia, incluida la revictimización de las denunciantes. Cuando se utilizan estereotipos en las investigaciones de violencia contra la mujer se afecta el derecho a una vida libre de violencia, más aún en los casos en que su empleo por parte de los operadores jurídicos impide el desarrollo de investigaciones apropiadas, denegándose, además, el derecho de acceso a la justicia de las mujeres. A su vez, cuando el Estado no desarrolla acciones concretas para erradicarlos, los refuerza e institucionaliza, lo cual genera y reproduce la violencia contra la mujer.</w:t>
      </w:r>
    </w:p>
    <w:p w14:paraId="142F19FD" w14:textId="77777777" w:rsidR="007269CF" w:rsidRPr="00BB63D0" w:rsidRDefault="007269CF" w:rsidP="00BB63D0">
      <w:pPr>
        <w:rPr>
          <w:szCs w:val="20"/>
        </w:rPr>
      </w:pPr>
      <w:r w:rsidRPr="00BB63D0">
        <w:rPr>
          <w:szCs w:val="20"/>
        </w:rPr>
        <w:t>237.</w:t>
      </w:r>
      <w:r w:rsidRPr="00BB63D0">
        <w:rPr>
          <w:szCs w:val="20"/>
        </w:rPr>
        <w:tab/>
        <w:t>En este caso, la Corte comprueba que el hecho de que en reiteradas ocasiones se hiciera alusión a que Linda Loaiza se encontraba en una relación de pareja con su agresor, implicó que en la práctica las autoridades no dieran una respuesta oportuna e inmediata, minimizaran institucionalmente la gravedad de la situación y de las afectaciones en su integridad personal, y no trataran el caso en sus etapas iniciales con la exhaustividad que requería. No pasa inadvertido para la Corte que tradicionalmente el ámbito de las parejas y la familia se consideraba exento del escrutinio público, es decir, que se circunscribía a la esfera privada y era, por tanto, menos serio o no merecía la atención de las autoridades. Por el otro lado, debido a la normativa penal discriminatoria existente, durante la investigación y enjuiciamiento de este caso se vertieron expresiones relativas a la supuesta promiscuidad de la víctima que la culpabilizaban de lo acontecido.</w:t>
      </w:r>
    </w:p>
    <w:p w14:paraId="6E04CB7C" w14:textId="77777777" w:rsidR="007269CF" w:rsidRPr="00BB63D0" w:rsidRDefault="007269CF" w:rsidP="00BB63D0">
      <w:pPr>
        <w:rPr>
          <w:szCs w:val="20"/>
        </w:rPr>
      </w:pPr>
      <w:r w:rsidRPr="00BB63D0">
        <w:rPr>
          <w:szCs w:val="20"/>
        </w:rPr>
        <w:t>238.</w:t>
      </w:r>
      <w:r w:rsidRPr="00BB63D0">
        <w:rPr>
          <w:szCs w:val="20"/>
        </w:rPr>
        <w:tab/>
        <w:t xml:space="preserve">En este sentido, la Corte advierte que las autoridades judiciales en la primera sentencia, que determinó que no había pruebas suficientes para concluir que el </w:t>
      </w:r>
      <w:r w:rsidRPr="00BB63D0">
        <w:rPr>
          <w:szCs w:val="20"/>
        </w:rPr>
        <w:lastRenderedPageBreak/>
        <w:t>acusado era responsable por los delitos que se le imputaban, incluyendo la tortura y violencia sexual, así como en la segunda sentencia, que también lo absolvió del delito de violación por falta de pruebas, desacreditando el valor probatorio de la declaración de Linda Loaiza, requirieron que lo dicho por la víctima fuera corroborado por pruebas adicionales o se valoró supuestos antecedentes de la vida sexual de la víctima, en contravención con los parámetros internacionales</w:t>
      </w:r>
      <w:r w:rsidRPr="00BB68EA">
        <w:rPr>
          <w:szCs w:val="20"/>
        </w:rPr>
        <w:t>. La Corte recuerda que una garantía para el acceso a la justicia de las mujeres víctimas de violencia sexual debe ser la previsión de reglas para la valoración de la prueba que evite afirmaciones, insinuaciones y alusiones estereotipadas.</w:t>
      </w:r>
    </w:p>
    <w:p w14:paraId="48FF4650" w14:textId="77777777" w:rsidR="007269CF" w:rsidRPr="00BB63D0" w:rsidRDefault="007269CF" w:rsidP="00BB63D0">
      <w:pPr>
        <w:rPr>
          <w:szCs w:val="20"/>
        </w:rPr>
      </w:pPr>
      <w:r w:rsidRPr="00BB63D0">
        <w:rPr>
          <w:szCs w:val="20"/>
        </w:rPr>
        <w:t>239.</w:t>
      </w:r>
      <w:r w:rsidRPr="00BB63D0">
        <w:rPr>
          <w:szCs w:val="20"/>
        </w:rPr>
        <w:tab/>
        <w:t>La Corte reafirma que prácticas como las señaladas, tendentes a devaluar a la víctima en función de cualquier estereotipo negativo y neutralizar la desvaloración de eventuales responsables, deben ser rechazadas y calificadas como incompatibles con el derecho internacional de los derechos humanos. En este sentido, el Tribunal rechaza toda práctica estatal mediante la cual se justifica la violencia contra la mujer y se le culpabiliza de ésta, toda vez que valoraciones de esta naturaleza muestran un criterio discrecional y discriminatorio con base en el comportamiento de la víctima por el solo hecho de ser mujer.</w:t>
      </w:r>
    </w:p>
    <w:p w14:paraId="0439450E" w14:textId="77777777" w:rsidR="007269CF" w:rsidRPr="00BB63D0" w:rsidRDefault="007269CF" w:rsidP="00BB63D0">
      <w:pPr>
        <w:rPr>
          <w:szCs w:val="20"/>
        </w:rPr>
      </w:pPr>
      <w:r w:rsidRPr="00BB63D0">
        <w:rPr>
          <w:szCs w:val="20"/>
        </w:rPr>
        <w:t>240.</w:t>
      </w:r>
      <w:r w:rsidRPr="00BB63D0">
        <w:rPr>
          <w:szCs w:val="20"/>
        </w:rPr>
        <w:tab/>
        <w:t>En consecuencia, la Corte establece que, tanto en la etapa inicial como durante el proceso, diversos funcionarios públicos recurrieron a estereotipos, los que influyeron negativamente y se erigieron en obstáculos para el acceso a la justicia y la efectiva investigación y juzgamiento de los hechos de este caso.</w:t>
      </w:r>
    </w:p>
    <w:p w14:paraId="241AE355" w14:textId="15C9956F" w:rsidR="007269CF" w:rsidRPr="00BB63D0" w:rsidRDefault="007269CF" w:rsidP="00BB63D0">
      <w:pPr>
        <w:pStyle w:val="Ttulo1"/>
        <w:pBdr>
          <w:bottom w:val="none" w:sz="0" w:space="0" w:color="auto"/>
        </w:pBdr>
        <w:rPr>
          <w:sz w:val="20"/>
          <w:szCs w:val="20"/>
        </w:rPr>
      </w:pPr>
      <w:r w:rsidRPr="00BB63D0">
        <w:rPr>
          <w:sz w:val="20"/>
          <w:szCs w:val="20"/>
        </w:rPr>
        <w:br w:type="page"/>
      </w:r>
    </w:p>
    <w:p w14:paraId="4768DC1A" w14:textId="77777777" w:rsidR="007269CF" w:rsidRDefault="007269CF" w:rsidP="00BB68EA">
      <w:pPr>
        <w:pStyle w:val="Ttulo1"/>
      </w:pPr>
    </w:p>
    <w:p w14:paraId="36900507" w14:textId="48CBA43F" w:rsidR="007269CF" w:rsidRPr="00BB63D0" w:rsidRDefault="007269CF" w:rsidP="00BB68EA">
      <w:pPr>
        <w:pStyle w:val="Ttulo1"/>
      </w:pPr>
      <w:bookmarkStart w:id="27" w:name="_Toc89017883"/>
      <w:r w:rsidRPr="00BB63D0">
        <w:t xml:space="preserve">4. </w:t>
      </w:r>
      <w:r w:rsidRPr="00BB63D0">
        <w:tab/>
      </w:r>
      <w:r w:rsidRPr="00BB68EA">
        <w:t>Grupos</w:t>
      </w:r>
      <w:r w:rsidRPr="00BB63D0">
        <w:t xml:space="preserve"> en situación de discriminación</w:t>
      </w:r>
      <w:bookmarkEnd w:id="27"/>
      <w:r w:rsidRPr="00BB63D0">
        <w:tab/>
      </w:r>
    </w:p>
    <w:p w14:paraId="4E1DAC84" w14:textId="14DE9BA9" w:rsidR="007269CF" w:rsidRPr="00BB63D0" w:rsidRDefault="007269CF" w:rsidP="00BB63D0">
      <w:pPr>
        <w:rPr>
          <w:szCs w:val="20"/>
          <w:lang w:val="es-ES_tradnl"/>
        </w:rPr>
      </w:pPr>
      <w:r>
        <w:rPr>
          <w:szCs w:val="20"/>
          <w:lang w:val="es-ES_tradnl"/>
        </w:rPr>
        <w:t>En relación con el derecho</w:t>
      </w:r>
      <w:r w:rsidRPr="00BB63D0">
        <w:rPr>
          <w:szCs w:val="20"/>
          <w:lang w:val="es-ES_tradnl"/>
        </w:rPr>
        <w:t xml:space="preserve"> a la igualdad y no discriminación, </w:t>
      </w:r>
      <w:r>
        <w:rPr>
          <w:szCs w:val="20"/>
          <w:lang w:val="es-ES_tradnl"/>
        </w:rPr>
        <w:t xml:space="preserve">hay grupos que han sido tratados en forma individual en Cuadernillos particulares, </w:t>
      </w:r>
      <w:r w:rsidR="00E35085">
        <w:rPr>
          <w:szCs w:val="20"/>
          <w:lang w:val="es-ES_tradnl"/>
        </w:rPr>
        <w:t xml:space="preserve">tales </w:t>
      </w:r>
      <w:r>
        <w:rPr>
          <w:szCs w:val="20"/>
          <w:lang w:val="es-ES_tradnl"/>
        </w:rPr>
        <w:t>como</w:t>
      </w:r>
      <w:r w:rsidR="00E35085">
        <w:rPr>
          <w:szCs w:val="20"/>
          <w:lang w:val="es-ES_tradnl"/>
        </w:rPr>
        <w:t>,</w:t>
      </w:r>
      <w:r w:rsidRPr="00BB63D0">
        <w:rPr>
          <w:szCs w:val="20"/>
          <w:lang w:val="es-ES_tradnl"/>
        </w:rPr>
        <w:t xml:space="preserve"> </w:t>
      </w:r>
      <w:r w:rsidR="00E35085" w:rsidRPr="00BB63D0">
        <w:rPr>
          <w:szCs w:val="20"/>
          <w:lang w:val="es-ES_tradnl"/>
        </w:rPr>
        <w:t xml:space="preserve">personas </w:t>
      </w:r>
      <w:r w:rsidR="00E35085">
        <w:rPr>
          <w:szCs w:val="20"/>
          <w:lang w:val="es-ES_tradnl"/>
        </w:rPr>
        <w:t>en situación de migración (Nº 2)</w:t>
      </w:r>
      <w:r w:rsidR="00E35085" w:rsidRPr="00BB63D0">
        <w:rPr>
          <w:szCs w:val="20"/>
          <w:lang w:val="es-ES_tradnl"/>
        </w:rPr>
        <w:t>, mujeres</w:t>
      </w:r>
      <w:r w:rsidR="00E35085">
        <w:rPr>
          <w:szCs w:val="20"/>
          <w:lang w:val="es-ES_tradnl"/>
        </w:rPr>
        <w:t xml:space="preserve"> (Nº 4), </w:t>
      </w:r>
      <w:r w:rsidRPr="00BB63D0">
        <w:rPr>
          <w:szCs w:val="20"/>
          <w:lang w:val="es-ES_tradnl"/>
        </w:rPr>
        <w:t>niños, niñas y adolescentes</w:t>
      </w:r>
      <w:r w:rsidR="00E35085">
        <w:rPr>
          <w:szCs w:val="20"/>
          <w:lang w:val="es-ES_tradnl"/>
        </w:rPr>
        <w:t xml:space="preserve"> (Nº 5)</w:t>
      </w:r>
      <w:r w:rsidRPr="00BB63D0">
        <w:rPr>
          <w:szCs w:val="20"/>
          <w:lang w:val="es-ES_tradnl"/>
        </w:rPr>
        <w:t xml:space="preserve">, </w:t>
      </w:r>
      <w:r w:rsidR="00E35085">
        <w:rPr>
          <w:szCs w:val="20"/>
          <w:lang w:val="es-ES_tradnl"/>
        </w:rPr>
        <w:t xml:space="preserve">personas privadas de libertad (Nº 9), </w:t>
      </w:r>
      <w:r>
        <w:rPr>
          <w:szCs w:val="20"/>
          <w:lang w:val="es-ES_tradnl"/>
        </w:rPr>
        <w:t>pueblos</w:t>
      </w:r>
      <w:r w:rsidRPr="00BB63D0">
        <w:rPr>
          <w:szCs w:val="20"/>
          <w:lang w:val="es-ES_tradnl"/>
        </w:rPr>
        <w:t xml:space="preserve"> indígenas</w:t>
      </w:r>
      <w:r w:rsidR="00E35085">
        <w:rPr>
          <w:szCs w:val="20"/>
          <w:lang w:val="es-ES_tradnl"/>
        </w:rPr>
        <w:t xml:space="preserve"> (Nº 11)</w:t>
      </w:r>
      <w:r w:rsidRPr="00BB63D0">
        <w:rPr>
          <w:szCs w:val="20"/>
          <w:lang w:val="es-ES_tradnl"/>
        </w:rPr>
        <w:t xml:space="preserve">, </w:t>
      </w:r>
      <w:r>
        <w:rPr>
          <w:szCs w:val="20"/>
          <w:lang w:val="es-ES_tradnl"/>
        </w:rPr>
        <w:t>personas LGTBI</w:t>
      </w:r>
      <w:r w:rsidR="00E35085">
        <w:rPr>
          <w:szCs w:val="20"/>
          <w:lang w:val="es-ES_tradnl"/>
        </w:rPr>
        <w:t xml:space="preserve"> (Nº 19)</w:t>
      </w:r>
      <w:r>
        <w:rPr>
          <w:szCs w:val="20"/>
          <w:lang w:val="es-ES_tradnl"/>
        </w:rPr>
        <w:t>. En el caso de</w:t>
      </w:r>
      <w:r w:rsidRPr="00BB63D0">
        <w:rPr>
          <w:szCs w:val="20"/>
          <w:lang w:val="es-ES_tradnl"/>
        </w:rPr>
        <w:t xml:space="preserve"> personas en situación de discapacidad</w:t>
      </w:r>
      <w:r>
        <w:rPr>
          <w:szCs w:val="20"/>
          <w:lang w:val="es-ES_tradnl"/>
        </w:rPr>
        <w:t xml:space="preserve"> y afrodescendiente, no hay un Cuadernillo especial para estos grupos históricamente discri</w:t>
      </w:r>
      <w:r w:rsidR="00E35085">
        <w:rPr>
          <w:szCs w:val="20"/>
          <w:lang w:val="es-ES_tradnl"/>
        </w:rPr>
        <w:t>m</w:t>
      </w:r>
      <w:r>
        <w:rPr>
          <w:szCs w:val="20"/>
          <w:lang w:val="es-ES_tradnl"/>
        </w:rPr>
        <w:t xml:space="preserve">inados, por lo que los tratamos en particular en esta sección. </w:t>
      </w:r>
    </w:p>
    <w:p w14:paraId="099E42AA" w14:textId="21C45FE0" w:rsidR="007269CF" w:rsidRPr="00BB63D0" w:rsidRDefault="007269CF" w:rsidP="003C5913">
      <w:pPr>
        <w:pStyle w:val="Ttulo2"/>
      </w:pPr>
      <w:bookmarkStart w:id="28" w:name="_Toc89017884"/>
      <w:r w:rsidRPr="00BB63D0">
        <w:t>Afectaciones particulares a personas en situación de discapacidad</w:t>
      </w:r>
      <w:bookmarkEnd w:id="28"/>
    </w:p>
    <w:p w14:paraId="17701E8B" w14:textId="77777777" w:rsidR="007269CF" w:rsidRPr="00BB63D0" w:rsidRDefault="007269CF" w:rsidP="00BB63D0">
      <w:pPr>
        <w:pStyle w:val="Sinespaciado"/>
        <w:rPr>
          <w:szCs w:val="20"/>
          <w:lang w:val="es-ES_tradnl"/>
        </w:rPr>
      </w:pPr>
    </w:p>
    <w:p w14:paraId="43508978" w14:textId="6F1CE2AF" w:rsidR="007269CF" w:rsidRPr="00DB5A6A" w:rsidRDefault="007269CF" w:rsidP="007D0C7F">
      <w:pPr>
        <w:pStyle w:val="Caso"/>
      </w:pPr>
      <w:r w:rsidRPr="00BB63D0">
        <w:rPr>
          <w:lang w:val="es-ES_tradnl"/>
        </w:rPr>
        <w:t xml:space="preserve">Corte IDH. Caso </w:t>
      </w:r>
      <w:proofErr w:type="spellStart"/>
      <w:r w:rsidRPr="00BB63D0">
        <w:rPr>
          <w:lang w:val="es-ES_tradnl"/>
        </w:rPr>
        <w:t>Ximenes</w:t>
      </w:r>
      <w:proofErr w:type="spellEnd"/>
      <w:r w:rsidRPr="00BB63D0">
        <w:rPr>
          <w:lang w:val="es-ES_tradnl"/>
        </w:rPr>
        <w:t xml:space="preserve"> </w:t>
      </w:r>
      <w:proofErr w:type="spellStart"/>
      <w:r w:rsidRPr="00BB63D0">
        <w:rPr>
          <w:lang w:val="es-ES_tradnl"/>
        </w:rPr>
        <w:t>Lopes</w:t>
      </w:r>
      <w:proofErr w:type="spellEnd"/>
      <w:r w:rsidRPr="00BB63D0">
        <w:rPr>
          <w:lang w:val="es-ES_tradnl"/>
        </w:rPr>
        <w:t xml:space="preserve"> Vs. Brasil. Sentencia de 4 de julio de 2006. Serie C No. 149</w:t>
      </w:r>
      <w:r w:rsidRPr="00E259EA">
        <w:rPr>
          <w:rStyle w:val="Refdenotaalpie"/>
        </w:rPr>
        <w:footnoteReference w:id="44"/>
      </w:r>
    </w:p>
    <w:p w14:paraId="03B6ABAC" w14:textId="77777777" w:rsidR="007269CF" w:rsidRPr="00BB63D0" w:rsidRDefault="007269CF" w:rsidP="00BB63D0">
      <w:pPr>
        <w:rPr>
          <w:szCs w:val="20"/>
          <w:lang w:val="es-ES_tradnl"/>
        </w:rPr>
      </w:pPr>
      <w:r w:rsidRPr="00BB63D0">
        <w:rPr>
          <w:szCs w:val="20"/>
          <w:lang w:val="es-ES_tradnl"/>
        </w:rPr>
        <w:t>96.</w:t>
      </w:r>
      <w:r w:rsidRPr="00BB63D0">
        <w:rPr>
          <w:szCs w:val="20"/>
          <w:lang w:val="es-ES_tradnl"/>
        </w:rPr>
        <w:tab/>
        <w:t xml:space="preserve">La prestación de servicios públicos implica la protección de bienes públicos, la cual es una de las finalidades de los Estados. Si bien </w:t>
      </w:r>
      <w:r w:rsidRPr="00587D7D">
        <w:rPr>
          <w:szCs w:val="20"/>
          <w:lang w:val="es-ES_tradnl"/>
        </w:rPr>
        <w:t xml:space="preserve">los Estados pueden delegar su prestación, a través de la llamada tercerización, mantienen la titularidad de la obligación de proveer los servicios públicos y de proteger el bien público respectivo. La delegación a la iniciativa privada de proveer esos servicios, exige como elemento </w:t>
      </w:r>
      <w:r w:rsidRPr="00BB63D0">
        <w:rPr>
          <w:szCs w:val="20"/>
          <w:lang w:val="es-ES_tradnl"/>
        </w:rPr>
        <w:t xml:space="preserve">fundamental la responsabilidad de los Estados en fiscalizar su ejecución, para garantizar una efectiva protección de los derechos humanos de las personas bajo su jurisdicción y para que los servicios públicos sean provistos a la colectividad sin cualquier tipo de discriminación, y de la forma más efectiva posible. </w:t>
      </w:r>
    </w:p>
    <w:p w14:paraId="11E48841" w14:textId="77777777" w:rsidR="007269CF" w:rsidRPr="00BB63D0" w:rsidRDefault="007269CF" w:rsidP="00BB63D0">
      <w:pPr>
        <w:rPr>
          <w:szCs w:val="20"/>
          <w:lang w:val="es-ES_tradnl"/>
        </w:rPr>
      </w:pPr>
      <w:r w:rsidRPr="00BB63D0">
        <w:rPr>
          <w:szCs w:val="20"/>
          <w:lang w:val="es-ES_tradnl"/>
        </w:rPr>
        <w:t>104.</w:t>
      </w:r>
      <w:r w:rsidRPr="00BB63D0">
        <w:rPr>
          <w:szCs w:val="20"/>
          <w:lang w:val="es-ES_tradnl"/>
        </w:rPr>
        <w:tab/>
        <w:t xml:space="preserve">En tal sentido, los Estados deben tomar en </w:t>
      </w:r>
      <w:r w:rsidRPr="00587D7D">
        <w:rPr>
          <w:szCs w:val="20"/>
          <w:lang w:val="es-ES_tradnl"/>
        </w:rPr>
        <w:t>cuenta que los grupos de personas que viven en circunstancias adversas y con menos recursos, tales como las personas que viven en condiciones de extrema pobreza; niños y</w:t>
      </w:r>
      <w:r w:rsidRPr="00BB63D0">
        <w:rPr>
          <w:szCs w:val="20"/>
          <w:lang w:val="es-ES_tradnl"/>
        </w:rPr>
        <w:t xml:space="preserve"> adolescentes en situación de riesgo, y poblaciones indígenas, enfrentan un incremento del riesgo para padecer discapacidades mentales, como era el caso del señor </w:t>
      </w:r>
      <w:proofErr w:type="spellStart"/>
      <w:r w:rsidRPr="00BB63D0">
        <w:rPr>
          <w:szCs w:val="20"/>
          <w:lang w:val="es-ES_tradnl"/>
        </w:rPr>
        <w:t>Damião</w:t>
      </w:r>
      <w:proofErr w:type="spellEnd"/>
      <w:r w:rsidRPr="00BB63D0">
        <w:rPr>
          <w:szCs w:val="20"/>
          <w:lang w:val="es-ES_tradnl"/>
        </w:rPr>
        <w:t xml:space="preserve"> </w:t>
      </w:r>
      <w:proofErr w:type="spellStart"/>
      <w:r w:rsidRPr="00BB63D0">
        <w:rPr>
          <w:szCs w:val="20"/>
          <w:lang w:val="es-ES_tradnl"/>
        </w:rPr>
        <w:t>Ximenes</w:t>
      </w:r>
      <w:proofErr w:type="spellEnd"/>
      <w:r w:rsidRPr="00BB63D0">
        <w:rPr>
          <w:szCs w:val="20"/>
          <w:lang w:val="es-ES_tradnl"/>
        </w:rPr>
        <w:t xml:space="preserve"> </w:t>
      </w:r>
      <w:proofErr w:type="spellStart"/>
      <w:r w:rsidRPr="00BB63D0">
        <w:rPr>
          <w:szCs w:val="20"/>
          <w:lang w:val="es-ES_tradnl"/>
        </w:rPr>
        <w:t>Lopes</w:t>
      </w:r>
      <w:proofErr w:type="spellEnd"/>
      <w:r w:rsidRPr="00BB63D0">
        <w:rPr>
          <w:szCs w:val="20"/>
          <w:lang w:val="es-ES_tradnl"/>
        </w:rPr>
        <w:t xml:space="preserve">. Es directo y significativo el vínculo existente entre la discapacidad, por un lado, y la pobreza y la exclusión social, por otro. En razón de lo anterior, entre las medidas positivas a cargo de los Estados se encuentran aquellas necesarias para prevenir todas las formas de discapacidad prevenibles, y dar a las personas que padecen de discapacidades mentales el tratamiento preferencial apropiado a su condición. </w:t>
      </w:r>
    </w:p>
    <w:p w14:paraId="074BE3E2" w14:textId="77777777" w:rsidR="007269CF" w:rsidRPr="00BB63D0" w:rsidRDefault="007269CF" w:rsidP="00BB63D0">
      <w:pPr>
        <w:rPr>
          <w:szCs w:val="20"/>
          <w:lang w:val="es-ES_tradnl"/>
        </w:rPr>
      </w:pPr>
      <w:r w:rsidRPr="00BB63D0">
        <w:rPr>
          <w:szCs w:val="20"/>
          <w:lang w:val="es-ES_tradnl"/>
        </w:rPr>
        <w:t>105.</w:t>
      </w:r>
      <w:r w:rsidRPr="00BB63D0">
        <w:rPr>
          <w:szCs w:val="20"/>
          <w:lang w:val="es-ES_tradnl"/>
        </w:rPr>
        <w:tab/>
        <w:t>Las personas con discapacidad a menudo son objeto de discriminación a raíz de su condición, por lo que los Estados deben adoptar las medidas de carácter legislativo, social, educativo, laboral o de cualquier otra índole, necesarias para que toda discriminación asociada con las discapacidades mentales sea eliminada, y para propiciar la plena integración de esas personas en la sociedad.</w:t>
      </w:r>
    </w:p>
    <w:p w14:paraId="05720669" w14:textId="77777777" w:rsidR="007269CF" w:rsidRPr="00BB63D0" w:rsidRDefault="007269CF" w:rsidP="00BB63D0">
      <w:pPr>
        <w:rPr>
          <w:szCs w:val="20"/>
          <w:lang w:val="es-ES_tradnl"/>
        </w:rPr>
      </w:pPr>
      <w:r w:rsidRPr="00BB63D0">
        <w:rPr>
          <w:szCs w:val="20"/>
          <w:lang w:val="es-ES_tradnl"/>
        </w:rPr>
        <w:t>106.</w:t>
      </w:r>
      <w:r w:rsidRPr="00BB63D0">
        <w:rPr>
          <w:szCs w:val="20"/>
          <w:lang w:val="es-ES_tradnl"/>
        </w:rPr>
        <w:tab/>
        <w:t xml:space="preserve">Con relación a la salvaguarda de la vida y la integridad personal, es necesario considerar que las personas con discapacidad que viven o son sometidas a tratamientos en instituciones psiquiátricas, son particularmente vulnerables a la </w:t>
      </w:r>
      <w:r w:rsidRPr="00BB63D0">
        <w:rPr>
          <w:szCs w:val="20"/>
          <w:lang w:val="es-ES_tradnl"/>
        </w:rPr>
        <w:lastRenderedPageBreak/>
        <w:t>tortura u otras formas de trato cruel, inhumano o degradante</w:t>
      </w:r>
      <w:r w:rsidRPr="00587D7D">
        <w:rPr>
          <w:szCs w:val="20"/>
          <w:lang w:val="es-ES_tradnl"/>
        </w:rPr>
        <w:t>. La vulnerabilidad</w:t>
      </w:r>
      <w:r w:rsidRPr="00BB63D0">
        <w:rPr>
          <w:szCs w:val="20"/>
          <w:shd w:val="clear" w:color="auto" w:fill="EAF1DD" w:themeFill="accent3" w:themeFillTint="33"/>
          <w:lang w:val="es-ES_tradnl"/>
        </w:rPr>
        <w:t xml:space="preserve"> </w:t>
      </w:r>
      <w:r w:rsidRPr="00587D7D">
        <w:rPr>
          <w:szCs w:val="20"/>
          <w:lang w:val="es-ES_tradnl"/>
        </w:rPr>
        <w:t>intrínseca de las personas con discapacidades mentales es agravada por el alto grado de intimidad que caracteriza los tratamientos de las enfermedades psiquiátricas, que torna a esas personas más susceptibles a tratos abusivos cuando son sometidos a internación</w:t>
      </w:r>
      <w:r w:rsidRPr="00BB63D0">
        <w:rPr>
          <w:szCs w:val="20"/>
          <w:lang w:val="es-ES_tradnl"/>
        </w:rPr>
        <w:t xml:space="preserve"> </w:t>
      </w:r>
      <w:r w:rsidRPr="00BB63D0">
        <w:rPr>
          <w:szCs w:val="20"/>
        </w:rPr>
        <w:t>[…]</w:t>
      </w:r>
      <w:r w:rsidRPr="00BB63D0">
        <w:rPr>
          <w:szCs w:val="20"/>
          <w:lang w:val="es-ES_tradnl"/>
        </w:rPr>
        <w:t xml:space="preserve">. </w:t>
      </w:r>
    </w:p>
    <w:p w14:paraId="026C8B31" w14:textId="77777777" w:rsidR="007269CF" w:rsidRPr="00BB63D0" w:rsidRDefault="007269CF" w:rsidP="00BB63D0">
      <w:pPr>
        <w:rPr>
          <w:szCs w:val="20"/>
          <w:lang w:val="es-ES_tradnl"/>
        </w:rPr>
      </w:pPr>
      <w:r w:rsidRPr="00BB63D0">
        <w:rPr>
          <w:szCs w:val="20"/>
          <w:lang w:val="es-ES_tradnl"/>
        </w:rPr>
        <w:t>107.</w:t>
      </w:r>
      <w:r w:rsidRPr="00BB63D0">
        <w:rPr>
          <w:szCs w:val="20"/>
          <w:lang w:val="es-ES_tradnl"/>
        </w:rPr>
        <w:tab/>
        <w:t xml:space="preserve">En los entornos institucionales, ya sea en </w:t>
      </w:r>
      <w:r w:rsidRPr="00587D7D">
        <w:rPr>
          <w:szCs w:val="20"/>
          <w:lang w:val="es-ES_tradnl"/>
        </w:rPr>
        <w:t>hospitales públicos o privados, el personal médico encargado del cuidado de los pacientes, ejerce un fuerte control o dominio sobre las personas que se encuentran sujetas</w:t>
      </w:r>
      <w:r w:rsidRPr="00BB63D0">
        <w:rPr>
          <w:szCs w:val="20"/>
          <w:lang w:val="es-ES_tradnl"/>
        </w:rPr>
        <w:t xml:space="preserve"> a su custodia. Este desequilibrio intrínseco de poder entre una persona internada y las personas que tienen la autoridad, se multiplica muchas veces en las instituciones psiquiátricas. La tortura y otras formas de trato cruel, inhumano o degradante, cuando infligidas a esas personas afectan su integridad psíquica, física y moral, suponen una afrenta para su dignidad y restringen gravemente su autonomía, lo cual podría tener como consecuencia agravar la enfermedad.</w:t>
      </w:r>
    </w:p>
    <w:p w14:paraId="19248E40" w14:textId="77777777" w:rsidR="007269CF" w:rsidRPr="00BB63D0" w:rsidRDefault="007269CF" w:rsidP="00BB63D0">
      <w:pPr>
        <w:rPr>
          <w:szCs w:val="20"/>
          <w:lang w:val="es-ES_tradnl"/>
        </w:rPr>
      </w:pPr>
      <w:r w:rsidRPr="00BB63D0">
        <w:rPr>
          <w:szCs w:val="20"/>
          <w:lang w:val="es-ES_tradnl"/>
        </w:rPr>
        <w:t>108.</w:t>
      </w:r>
      <w:r w:rsidRPr="00BB63D0">
        <w:rPr>
          <w:szCs w:val="20"/>
          <w:lang w:val="es-ES_tradnl"/>
        </w:rPr>
        <w:tab/>
        <w:t>Todas las anteriores circunstancias exigen que se ejerza una estricta vigilancia sobre dichos establecimientos. Los Estados tienen el deber de supervisar y garantizar que en toda institución psiquiátrica, pública o privada, sea preservado el derecho de los pacientes de recibir un tratamiento digno, humano y profesional, y de ser protegidos contra la explotación, el abuso y la degradación.</w:t>
      </w:r>
    </w:p>
    <w:p w14:paraId="2A71F09D" w14:textId="77777777" w:rsidR="007269CF" w:rsidRPr="00BB63D0" w:rsidRDefault="007269CF" w:rsidP="00BB63D0">
      <w:pPr>
        <w:rPr>
          <w:szCs w:val="20"/>
          <w:lang w:val="es-ES_tradnl"/>
        </w:rPr>
      </w:pPr>
      <w:r w:rsidRPr="00BB63D0">
        <w:rPr>
          <w:szCs w:val="20"/>
          <w:lang w:val="es-ES_tradnl"/>
        </w:rPr>
        <w:t>109.</w:t>
      </w:r>
      <w:r w:rsidRPr="00BB63D0">
        <w:rPr>
          <w:szCs w:val="20"/>
          <w:lang w:val="es-ES_tradnl"/>
        </w:rPr>
        <w:tab/>
        <w:t xml:space="preserve">La atención de salud mental debe estar disponible a toda persona que lo necesite. Todo tratamiento de personas que padecen de discapacidades mentales debe estar dirigido al mejor interés del paciente, debe tener como objetivo preservar su dignidad y su autonomía, reducir el impacto de la enfermedad, y mejorar su calidad de vida </w:t>
      </w:r>
      <w:r w:rsidRPr="00BB63D0">
        <w:rPr>
          <w:szCs w:val="20"/>
        </w:rPr>
        <w:t>[…]</w:t>
      </w:r>
      <w:r w:rsidRPr="00BB63D0">
        <w:rPr>
          <w:szCs w:val="20"/>
          <w:lang w:val="es-ES_tradnl"/>
        </w:rPr>
        <w:t>.</w:t>
      </w:r>
    </w:p>
    <w:p w14:paraId="70288CD3" w14:textId="77777777" w:rsidR="007269CF" w:rsidRPr="00BB63D0" w:rsidRDefault="007269CF" w:rsidP="00BB63D0">
      <w:pPr>
        <w:rPr>
          <w:b/>
          <w:szCs w:val="20"/>
        </w:rPr>
      </w:pPr>
      <w:r w:rsidRPr="00BB63D0">
        <w:rPr>
          <w:b/>
          <w:szCs w:val="20"/>
        </w:rPr>
        <w:t xml:space="preserve">Corte IDH. Caso </w:t>
      </w:r>
      <w:proofErr w:type="spellStart"/>
      <w:r w:rsidRPr="00BB63D0">
        <w:rPr>
          <w:b/>
          <w:szCs w:val="20"/>
        </w:rPr>
        <w:t>Furlan</w:t>
      </w:r>
      <w:proofErr w:type="spellEnd"/>
      <w:r w:rsidRPr="00BB63D0">
        <w:rPr>
          <w:b/>
          <w:szCs w:val="20"/>
        </w:rPr>
        <w:t xml:space="preserve"> y familiares Vs. Argentina. Excepciones Preliminares, Fondo, Reparaciones y Costas. Sentencia de 31 de agosto de 2012. Serie C No. 246</w:t>
      </w:r>
    </w:p>
    <w:p w14:paraId="5EAF7A07" w14:textId="489641AF" w:rsidR="007269CF" w:rsidRPr="00BB63D0" w:rsidRDefault="007269CF" w:rsidP="00BB63D0">
      <w:pPr>
        <w:rPr>
          <w:szCs w:val="20"/>
          <w:lang w:val="es-ES_tradnl"/>
        </w:rPr>
      </w:pPr>
      <w:r w:rsidRPr="00BB63D0">
        <w:rPr>
          <w:szCs w:val="20"/>
        </w:rPr>
        <w:t>133.</w:t>
      </w:r>
      <w:r w:rsidRPr="00BB63D0">
        <w:rPr>
          <w:szCs w:val="20"/>
        </w:rPr>
        <w:tab/>
        <w:t xml:space="preserve">Al respecto, la Corte observa que en las mencionadas Convenciones se tiene en </w:t>
      </w:r>
      <w:r w:rsidRPr="00587D7D">
        <w:rPr>
          <w:szCs w:val="20"/>
        </w:rPr>
        <w:t>cuenta el modelo social para abordar la discapacidad, lo cual implica que la discapacidad no se define exclusivamente</w:t>
      </w:r>
      <w:r w:rsidRPr="00BB63D0">
        <w:rPr>
          <w:szCs w:val="20"/>
        </w:rPr>
        <w:t xml:space="preserve"> por la presencia de una deficiencia física, mental, intelectual o sensorial, sino que se interrelaciona con las barreras o limitaciones que socialmente existen para que las personas puedan ejercer sus derechos de manera efectiva. Los tipos de límites o barreras que comúnmente encuentran las personas con diversidad funcional en la sociedad, son, entre otras, barreras físicas o arquitectónicas, comunicativas, actitudinales o socioeconómicas. </w:t>
      </w:r>
      <w:r w:rsidR="00651730">
        <w:rPr>
          <w:rStyle w:val="EnelmismoCar"/>
        </w:rPr>
        <w:t>En similar sentido, ver entre otros</w:t>
      </w:r>
      <w:r w:rsidRPr="00587D7D">
        <w:rPr>
          <w:rStyle w:val="EnelmismoCar"/>
        </w:rPr>
        <w:t>: Caso Artavia Murillo y otros ("Fecundación in vitro") Vs. Costa Rica. Excepciones Preliminares, Fondo, Reparaciones y Costas Sentencia de 28 noviembre de 2012. Serie C No. 257, párr. 290; Caso Chinchilla Sandoval y otros Vs. Guatemala. Excepción Preliminar, Fondo, Reparaciones y Costas. Sentencia de 29 de febrero de 2016. Serie C No. 312, párr. 207.</w:t>
      </w:r>
    </w:p>
    <w:p w14:paraId="0CE956A8" w14:textId="2FF145DD" w:rsidR="007269CF" w:rsidRPr="00587D7D" w:rsidRDefault="007269CF" w:rsidP="00BB63D0">
      <w:pPr>
        <w:rPr>
          <w:rStyle w:val="EnelmismoCar"/>
        </w:rPr>
      </w:pPr>
      <w:r w:rsidRPr="00BB63D0">
        <w:rPr>
          <w:szCs w:val="20"/>
        </w:rPr>
        <w:t>134.</w:t>
      </w:r>
      <w:r w:rsidRPr="00BB63D0">
        <w:rPr>
          <w:szCs w:val="20"/>
        </w:rPr>
        <w:tab/>
        <w:t xml:space="preserve">En este sentido, la Corte Interamericana reitera que toda persona que se encuentre en </w:t>
      </w:r>
      <w:r w:rsidRPr="00587D7D">
        <w:rPr>
          <w:szCs w:val="20"/>
        </w:rPr>
        <w:t xml:space="preserve">una situación de vulnerabilidad es titular de una protección especial, en razón de los deberes especiales cuyo cumplimiento por parte del Estado es necesario para satisfacer las obligaciones generales de respeto y garantía de los derechos humanos. El Tribunal recuerda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 En este sentido, es obligación de los Estados propender por la inclusión de las personas con discapacidad por medio de la igualdad de condiciones, oportunidades y participación en todas las esferas de la sociedad, con el fin de garantizar que las limitaciones anteriormente descritas sean </w:t>
      </w:r>
      <w:r w:rsidRPr="00587D7D">
        <w:rPr>
          <w:szCs w:val="20"/>
        </w:rPr>
        <w:lastRenderedPageBreak/>
        <w:t>desmanteladas. Por tanto, es necesario que los Estados promuevan prácticas de</w:t>
      </w:r>
      <w:r w:rsidRPr="00BB63D0">
        <w:rPr>
          <w:szCs w:val="20"/>
          <w:shd w:val="clear" w:color="auto" w:fill="EAF1DD" w:themeFill="accent3" w:themeFillTint="33"/>
        </w:rPr>
        <w:t xml:space="preserve"> </w:t>
      </w:r>
      <w:r w:rsidRPr="00587D7D">
        <w:rPr>
          <w:szCs w:val="20"/>
        </w:rPr>
        <w:t>inclusión social y adopten medidas de diferenciación positiva para remover dichas barreras.</w:t>
      </w:r>
      <w:r w:rsidRPr="00BB63D0">
        <w:rPr>
          <w:szCs w:val="20"/>
        </w:rPr>
        <w:t xml:space="preserve"> </w:t>
      </w:r>
      <w:r w:rsidR="00651730">
        <w:rPr>
          <w:rStyle w:val="EnelmismoCar"/>
        </w:rPr>
        <w:t>En similar sentido, ver entre otros</w:t>
      </w:r>
      <w:r w:rsidRPr="00587D7D">
        <w:rPr>
          <w:rStyle w:val="EnelmismoCar"/>
        </w:rPr>
        <w:t>: Caso Artavia Murillo y otros ("Fecundación in vitro") Vs. Costa Rica. Excepciones Preliminares, Fondo, Reparaciones y Costas Sentencia de 28 noviembre de 2012. Serie C No. 257, párr. 292; Caso Chinchilla Sandoval y otros Vs. Guatemala. Excepción Preliminar, Fondo, Reparaciones y Costas. Sentencia de 29 de febrero de 2016. Serie C No. 312, párr. 208</w:t>
      </w:r>
    </w:p>
    <w:p w14:paraId="6EAE2506" w14:textId="77777777" w:rsidR="007269CF" w:rsidRPr="00BB63D0" w:rsidRDefault="007269CF" w:rsidP="00BB63D0">
      <w:pPr>
        <w:rPr>
          <w:szCs w:val="20"/>
        </w:rPr>
      </w:pPr>
      <w:r w:rsidRPr="00BB63D0">
        <w:rPr>
          <w:szCs w:val="20"/>
        </w:rPr>
        <w:t>135.</w:t>
      </w:r>
      <w:r w:rsidRPr="00BB63D0">
        <w:rPr>
          <w:szCs w:val="20"/>
        </w:rPr>
        <w:tab/>
        <w:t xml:space="preserve">Asimismo, la Corte considera que las personas con discapacidad a menudo son objeto de discriminación a raíz de su condición, por lo que los Estados deben adoptar las medidas de carácter legislativo, social, educativo, laboral o de cualquier otra índole, necesarias para que toda discriminación asociada con las discapacidades sea </w:t>
      </w:r>
      <w:r w:rsidRPr="00587D7D">
        <w:rPr>
          <w:szCs w:val="20"/>
        </w:rPr>
        <w:t>eliminada, y para propiciar la plena integración de esas personas en la sociedad. El debido acceso a la justicia juega un rol fundamental para enfrentar dichas formas de discriminación</w:t>
      </w:r>
      <w:r w:rsidRPr="00BB63D0">
        <w:rPr>
          <w:szCs w:val="20"/>
        </w:rPr>
        <w:t>.</w:t>
      </w:r>
    </w:p>
    <w:p w14:paraId="29CF47A6" w14:textId="77777777" w:rsidR="007269CF" w:rsidRPr="00BB63D0" w:rsidRDefault="007269CF" w:rsidP="00BB63D0">
      <w:pPr>
        <w:rPr>
          <w:szCs w:val="20"/>
        </w:rPr>
      </w:pPr>
      <w:r w:rsidRPr="00BB63D0">
        <w:rPr>
          <w:szCs w:val="20"/>
        </w:rPr>
        <w:t>136.</w:t>
      </w:r>
      <w:r w:rsidRPr="00BB63D0">
        <w:rPr>
          <w:szCs w:val="20"/>
        </w:rPr>
        <w:tab/>
        <w:t>Respecto a las obligaciones reforzadas que ostentan los Estados con los niños y las niñas con discapacidad, la CDPD establece que : i) “[l]os Estados Partes tomarán todas las medidas necesarias para asegurar que todos los niños y las niñas con discapacidad gocen plenamente de todos los derechos humanos y libertades fundamentales en igualdad de condiciones con los demás niños y niñas”; ii) “[e]n todas las actividades relacionadas con los niños y las niñas con discapacidad, una consideración primordial será la protección del interés superior del niño”, y iii) “que los niños y las niñas con discapacidad tienen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 Por su parte, en la Observación General No. 9, el Comité sobre los Derechos del Niño indicó que “el principio rector para la aplicación de la Convención con respecto a los niños con discapacidad [es] el disfrute de una vida plena y decente en condiciones que aseguren su dignidad, le permitan llegar a bastarse a sí mismo y faciliten la participación activa del niño en la comunidad”.</w:t>
      </w:r>
    </w:p>
    <w:p w14:paraId="0FFC7783" w14:textId="77777777" w:rsidR="007269CF" w:rsidRPr="00BB63D0" w:rsidRDefault="007269CF" w:rsidP="00BB63D0">
      <w:pPr>
        <w:rPr>
          <w:szCs w:val="20"/>
        </w:rPr>
      </w:pPr>
      <w:r w:rsidRPr="00BB63D0">
        <w:rPr>
          <w:szCs w:val="20"/>
        </w:rPr>
        <w:t>137.</w:t>
      </w:r>
      <w:r w:rsidRPr="00BB63D0">
        <w:rPr>
          <w:szCs w:val="20"/>
        </w:rPr>
        <w:tab/>
        <w:t>Asimismo, la CDPD contiene un artículo específico sobre los alcances del derecho al acceso a la justicia y las obligaciones que los Estados deben asumir frente a personas con discapacidad. En particular, se indica que : i)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 y ii) los Estados Partes promoverán la capacitación adecuada de los que trabajan en la administración de justicia, incluido el personal policial y penitenciario.</w:t>
      </w:r>
    </w:p>
    <w:p w14:paraId="638185A6" w14:textId="77777777" w:rsidR="007269CF" w:rsidRPr="00BB63D0" w:rsidRDefault="007269CF" w:rsidP="00BB63D0">
      <w:pPr>
        <w:rPr>
          <w:szCs w:val="20"/>
        </w:rPr>
      </w:pPr>
      <w:r w:rsidRPr="00BB63D0">
        <w:rPr>
          <w:szCs w:val="20"/>
        </w:rPr>
        <w:t>138.</w:t>
      </w:r>
      <w:r w:rsidRPr="00BB63D0">
        <w:rPr>
          <w:szCs w:val="20"/>
        </w:rPr>
        <w:tab/>
        <w:t>Asimismo, la Convención sobre los Derechos del Niño obliga a los Estados a la adopción de medidas especiales de protección en materia de salud y seguridad social, que incluso deben ser mayores en casos de niños con discapacidad. Respecto de los niños con discapacidad, el Comité sobre los Derechos del Niño señaló que:</w:t>
      </w:r>
    </w:p>
    <w:p w14:paraId="7AF11FD2" w14:textId="77777777" w:rsidR="007269CF" w:rsidRPr="00BB63D0" w:rsidRDefault="007269CF" w:rsidP="007D0C7F">
      <w:pPr>
        <w:pStyle w:val="Citacuerpo"/>
      </w:pPr>
      <w:r w:rsidRPr="00BB63D0">
        <w:t xml:space="preserve">[e]l logro del mejor posible estado de salud, así como el acceso y la asequibilidad de la atención de la salud de calidad es un derecho inherente para todos los niños. Los niños con discapacidad muchas veces se quedan al margen de todo ello debido a múltiples problemas, en particular la discriminación, la falta de acceso y la ausencia de información y/o recursos </w:t>
      </w:r>
      <w:r w:rsidRPr="00BB63D0">
        <w:lastRenderedPageBreak/>
        <w:t>financieros, el transporte, la distribución geográfica y el acceso físico a los servicios de atención de salud.</w:t>
      </w:r>
    </w:p>
    <w:p w14:paraId="0F5EB86C" w14:textId="77777777" w:rsidR="007269CF" w:rsidRPr="00BB63D0" w:rsidRDefault="007269CF" w:rsidP="00BB63D0">
      <w:pPr>
        <w:rPr>
          <w:szCs w:val="20"/>
        </w:rPr>
      </w:pPr>
      <w:r w:rsidRPr="00BB63D0">
        <w:rPr>
          <w:szCs w:val="20"/>
        </w:rPr>
        <w:t>139.</w:t>
      </w:r>
      <w:r w:rsidRPr="00BB63D0">
        <w:rPr>
          <w:szCs w:val="20"/>
        </w:rPr>
        <w:tab/>
        <w:t xml:space="preserve">Una vez establecidos estos estándares generales, la Corte considera que al haber sido Sebastián </w:t>
      </w:r>
      <w:proofErr w:type="spellStart"/>
      <w:r w:rsidRPr="00BB63D0">
        <w:rPr>
          <w:szCs w:val="20"/>
        </w:rPr>
        <w:t>Furlan</w:t>
      </w:r>
      <w:proofErr w:type="spellEnd"/>
      <w:r w:rsidRPr="00BB63D0">
        <w:rPr>
          <w:szCs w:val="20"/>
        </w:rPr>
        <w:t xml:space="preserve"> un niño y, actualmente, ser un adulto con discapacidad, es necesario analizar la controversia entre las partes a partir de una interpretación de los derechos de la Convención Americana y las obligaciones que de estos se deprenden, a la luz de las medidas especiales de protección que se derivan de dichos estándares. Dicho marco brinda mecanismos para garantizar y proteger de manera adecuada los derechos de las personas con discapacidad, en igualdad de condiciones y teniendo en cuenta sus necesidades concretas.</w:t>
      </w:r>
    </w:p>
    <w:p w14:paraId="3FD5C7E6" w14:textId="77777777" w:rsidR="007269CF" w:rsidRPr="00BB63D0" w:rsidRDefault="007269CF" w:rsidP="00BB63D0">
      <w:pPr>
        <w:rPr>
          <w:szCs w:val="20"/>
        </w:rPr>
      </w:pPr>
      <w:r w:rsidRPr="00BB63D0">
        <w:rPr>
          <w:szCs w:val="20"/>
        </w:rPr>
        <w:t>268.</w:t>
      </w:r>
      <w:r w:rsidRPr="00BB63D0">
        <w:rPr>
          <w:szCs w:val="20"/>
        </w:rPr>
        <w:tab/>
        <w:t xml:space="preserve">En el presente caso la Corte resalta que los menores de edad y las personas con discapacidad deben disfrutar de </w:t>
      </w:r>
      <w:r w:rsidRPr="00587D7D">
        <w:rPr>
          <w:szCs w:val="20"/>
        </w:rPr>
        <w:t>un verdadero acceso a la justicia y ser beneficiarios de un debido proceso legal en condiciones de igualdad con quienes no afrontan esas desventajas. Para alcanzar sus</w:t>
      </w:r>
      <w:r w:rsidRPr="00BB63D0">
        <w:rPr>
          <w:szCs w:val="20"/>
        </w:rPr>
        <w:t xml:space="preserve"> objetivos, el proceso debe reconocer y resolver los factores de desigualdad real de quienes son llevados ante la justicia. La presencia de condiciones de desigualdad real obliga a adoptar medidas de compensación que contribuyan a reducir o eliminar los obstáculos y deficiencias que impidan o reduzcan la defensa eficaz de los propios intereses. </w:t>
      </w:r>
    </w:p>
    <w:p w14:paraId="07629308" w14:textId="77777777" w:rsidR="007269CF" w:rsidRPr="00BB63D0" w:rsidRDefault="007269CF" w:rsidP="00BB63D0">
      <w:pPr>
        <w:rPr>
          <w:szCs w:val="20"/>
        </w:rPr>
      </w:pPr>
      <w:r w:rsidRPr="00BB63D0">
        <w:rPr>
          <w:szCs w:val="20"/>
        </w:rPr>
        <w:t>269.</w:t>
      </w:r>
      <w:r w:rsidRPr="00BB63D0">
        <w:rPr>
          <w:szCs w:val="20"/>
        </w:rPr>
        <w:tab/>
        <w:t xml:space="preserve">El Tribunal ha hecho referencia a la situación agravada de vulnerabilidad de Sebastián </w:t>
      </w:r>
      <w:proofErr w:type="spellStart"/>
      <w:r w:rsidRPr="00BB63D0">
        <w:rPr>
          <w:szCs w:val="20"/>
        </w:rPr>
        <w:t>Furlan</w:t>
      </w:r>
      <w:proofErr w:type="spellEnd"/>
      <w:r w:rsidRPr="00BB63D0">
        <w:rPr>
          <w:szCs w:val="20"/>
        </w:rPr>
        <w:t xml:space="preserve">, por ser menor de edad con discapacidad viviendo en una familia de bajos recursos económicos, razón por la cual correspondía al Estado el deber de adoptar todas las medidas adecuadas y necesarias para enfrentar dicha situación. En efecto, ha sido precisado el deber de celeridad en los procesos civiles analizados, de los cuales dependía una mayor oportunidad de rehabilitación. Además, la Corte concluyó que era necesaria la debida intervención del asesor de menores e incapaces o una aplicación diferenciada de la ley que reguló las condiciones de ejecución de la sentencia, como medidas que permitieran remediar de algún modo las situaciones de desventaja en las que se encontraba Sebastián </w:t>
      </w:r>
      <w:proofErr w:type="spellStart"/>
      <w:r w:rsidRPr="00BB63D0">
        <w:rPr>
          <w:szCs w:val="20"/>
        </w:rPr>
        <w:t>Furlan</w:t>
      </w:r>
      <w:proofErr w:type="spellEnd"/>
      <w:r w:rsidRPr="00BB63D0">
        <w:rPr>
          <w:szCs w:val="20"/>
        </w:rPr>
        <w:t xml:space="preserve">. Estos elementos demuestran que existió una discriminación de hecho asociada a las violaciones de garantías judiciales, protección judicial y derecho a la propiedad ya declaradas. Además, teniendo en cuenta los hechos reseñados en el capítulo sobre la afectación jurídica producida a Sebastián </w:t>
      </w:r>
      <w:proofErr w:type="spellStart"/>
      <w:r w:rsidRPr="00BB63D0">
        <w:rPr>
          <w:szCs w:val="20"/>
        </w:rPr>
        <w:t>Furlan</w:t>
      </w:r>
      <w:proofErr w:type="spellEnd"/>
      <w:r w:rsidRPr="00BB63D0">
        <w:rPr>
          <w:szCs w:val="20"/>
        </w:rPr>
        <w:t xml:space="preserve"> en el marco del proceso civil […], así como el impacto que la denegación al acceso a la justicia tuvo en la posibilidad de acceder a una adecuada </w:t>
      </w:r>
      <w:r w:rsidRPr="00587D7D">
        <w:rPr>
          <w:szCs w:val="20"/>
        </w:rPr>
        <w:t>rehabilitación y atención en salud […], la Corte considera que se encuentra probada, a su vez, la vulneración del derecho a la integridad personal. En consecuencia, la Corte declara que el</w:t>
      </w:r>
      <w:r w:rsidRPr="00BB63D0">
        <w:rPr>
          <w:szCs w:val="20"/>
        </w:rPr>
        <w:t xml:space="preserve"> Estado incumplió su obligación de garantizar, sin discriminación, el derecho de acceso a la justicia y el derecho a la integridad personal en los términos de los artículos 5.1, 8.1, 21, 25.1 y 25.2.c, en relación con los artículos 1.1 y 19 de la Convención Americana en perjuicio de Sebastián Claus </w:t>
      </w:r>
      <w:proofErr w:type="spellStart"/>
      <w:r w:rsidRPr="00BB63D0">
        <w:rPr>
          <w:szCs w:val="20"/>
        </w:rPr>
        <w:t>Furlan</w:t>
      </w:r>
      <w:proofErr w:type="spellEnd"/>
      <w:r w:rsidRPr="00BB63D0">
        <w:rPr>
          <w:szCs w:val="20"/>
        </w:rPr>
        <w:t>.</w:t>
      </w:r>
    </w:p>
    <w:p w14:paraId="6BAF5087" w14:textId="77777777" w:rsidR="007269CF" w:rsidRPr="00BB63D0" w:rsidRDefault="007269CF" w:rsidP="00BB63D0">
      <w:pPr>
        <w:rPr>
          <w:b/>
          <w:szCs w:val="20"/>
        </w:rPr>
      </w:pPr>
      <w:r w:rsidRPr="00BB63D0">
        <w:rPr>
          <w:b/>
          <w:szCs w:val="20"/>
        </w:rPr>
        <w:t>Corte IDH. Caso Artavia Murillo y otros ("Fecundación in vitro") Vs. Costa Rica. Excepciones Preliminares, Fondo, Reparaciones y Costas Sentencia de 28 noviembre de 2012. Serie C No. 257</w:t>
      </w:r>
    </w:p>
    <w:p w14:paraId="3FB134D8" w14:textId="77777777" w:rsidR="007269CF" w:rsidRPr="00BB63D0" w:rsidRDefault="007269CF" w:rsidP="00BB63D0">
      <w:pPr>
        <w:rPr>
          <w:szCs w:val="20"/>
        </w:rPr>
      </w:pPr>
      <w:r w:rsidRPr="00BB63D0">
        <w:rPr>
          <w:szCs w:val="20"/>
        </w:rPr>
        <w:t>293.</w:t>
      </w:r>
      <w:r w:rsidRPr="00BB63D0">
        <w:rPr>
          <w:szCs w:val="20"/>
        </w:rPr>
        <w:tab/>
        <w:t>Con base en estas consideraciones y teniendo en cuenta la definición desarrollada por la OMS según la cual la infertilidad es una enfermedad del sistema reproductivo […], la Corte considera que la infertilidad es una limitación funcional reconocida como una enfermedad y que las personas con infertilidad en Costa Rica, al enfrentar las barreras generadas por la decisión de la Sala Constitucional, debían considerarse protegidas por los derechos de las personas con discapacidad, que incluyen el derecho de acceder a las técnicas necesarias para resolver problemas de salud reproductiva. Dicha condición demanda una atención especial para que se desarrolle la autonomía reproductiva.</w:t>
      </w:r>
    </w:p>
    <w:p w14:paraId="0C45083B" w14:textId="77777777" w:rsidR="007269CF" w:rsidRPr="00BB63D0" w:rsidRDefault="007269CF" w:rsidP="00BB63D0">
      <w:pPr>
        <w:rPr>
          <w:szCs w:val="20"/>
          <w:lang w:val="es-ES_tradnl"/>
        </w:rPr>
      </w:pPr>
      <w:r w:rsidRPr="00BB63D0">
        <w:rPr>
          <w:b/>
          <w:bCs/>
          <w:szCs w:val="20"/>
          <w:lang w:val="es-ES_tradnl"/>
        </w:rPr>
        <w:lastRenderedPageBreak/>
        <w:t>Corte IDH. Caso Chinchilla Sandoval y otros Vs. Guatemala. Excepción Preliminar, Fondo, Reparaciones y Costas. Sentencia de 29 de febrero de 2016. Serie C No. 312</w:t>
      </w:r>
      <w:r w:rsidRPr="00BB63D0">
        <w:rPr>
          <w:rStyle w:val="Refdenotaalpie"/>
          <w:b/>
          <w:bCs/>
          <w:szCs w:val="20"/>
          <w:lang w:val="es-ES_tradnl"/>
        </w:rPr>
        <w:footnoteReference w:id="45"/>
      </w:r>
    </w:p>
    <w:p w14:paraId="4F597708" w14:textId="77777777" w:rsidR="007269CF" w:rsidRPr="00BB63D0" w:rsidRDefault="007269CF" w:rsidP="00BB63D0">
      <w:pPr>
        <w:rPr>
          <w:szCs w:val="20"/>
          <w:lang w:val="es-CR"/>
        </w:rPr>
      </w:pPr>
      <w:r w:rsidRPr="00BB63D0">
        <w:rPr>
          <w:szCs w:val="20"/>
          <w:lang w:val="es-CR"/>
        </w:rPr>
        <w:t>202.</w:t>
      </w:r>
      <w:r w:rsidRPr="00BB63D0">
        <w:rPr>
          <w:szCs w:val="20"/>
          <w:lang w:val="es-CR"/>
        </w:rPr>
        <w:tab/>
        <w:t>No ha sido controvertido que, tal como indicó el Estado, desde entonces ella se movilizaba en silla de ruedas y fue trasladada a una celda en el hogar de maternidad del COF, la cual contaba con suficiente luz natural y artificial y ventilación adecuada, así como un servicio sanitario y lava manos que fueron adaptados en atención a sus necesidades. La controversia se mantiene en cuanto a la alegada falta de ajustes razonables dentro de su celda y para su desplazamiento dentro del centro de reclusión o para su traslado hacia los hospitales para atender citas médicas, entre otras dificultades. Por ello, corresponde determinar si el Estado es responsable por no haber respondido adecuada y efectivamente a las necesidades de la presunta víctima, para lo cual debe observarse cómo se ven particularizadas las obligaciones de los Estados frente a las personas con discapacidades cuando éstas se encuentran privadas de libertad.</w:t>
      </w:r>
    </w:p>
    <w:p w14:paraId="36383F34" w14:textId="77777777" w:rsidR="007269CF" w:rsidRPr="00BB63D0" w:rsidRDefault="007269CF" w:rsidP="00BB63D0">
      <w:pPr>
        <w:rPr>
          <w:szCs w:val="20"/>
          <w:lang w:val="es-CR"/>
        </w:rPr>
      </w:pPr>
      <w:r w:rsidRPr="00BB63D0">
        <w:rPr>
          <w:szCs w:val="20"/>
          <w:lang w:val="es-CR"/>
        </w:rPr>
        <w:t>203.</w:t>
      </w:r>
      <w:r w:rsidRPr="00BB63D0">
        <w:rPr>
          <w:szCs w:val="20"/>
          <w:lang w:val="es-CR"/>
        </w:rPr>
        <w:tab/>
        <w:t xml:space="preserve">La Corte Interamericana ha destacado que, desde los inicios y evolución del Sistema Interamericano se han reivindicado los derechos de las personas con discapacidades. Así, desde 1948 tal preocupación fue expresada en la Declaración Americana de los Derechos y Deberes del Hombre. Luego, el Protocolo Adicional a la Convención Americana en materia de Derechos Económicos, Sociales y Culturales ("Protocolo de San Salvador"), en su artículo 18, señala que “[t]oda persona afectada por una disminución de sus capacidades físicas o mentales tiene derecho a recibir una atención especial con el fin de alcanzar el máximo desarrollo de su personalidad”. </w:t>
      </w:r>
    </w:p>
    <w:p w14:paraId="26DD8ACE" w14:textId="77777777" w:rsidR="007269CF" w:rsidRPr="00BB63D0" w:rsidRDefault="007269CF" w:rsidP="00BB63D0">
      <w:pPr>
        <w:rPr>
          <w:szCs w:val="20"/>
          <w:lang w:val="es-CR"/>
        </w:rPr>
      </w:pPr>
      <w:r w:rsidRPr="00BB63D0">
        <w:rPr>
          <w:szCs w:val="20"/>
          <w:lang w:val="es-CR"/>
        </w:rPr>
        <w:t>204.</w:t>
      </w:r>
      <w:r w:rsidRPr="00BB63D0">
        <w:rPr>
          <w:szCs w:val="20"/>
          <w:lang w:val="es-CR"/>
        </w:rPr>
        <w:tab/>
        <w:t xml:space="preserve">La Convención Interamericana para la Eliminación de todas las Formas de Discriminación contra las Personas con Discapacidad (en adelante “CIADDIS”) es el primer instrumento internacional de derechos humanos específicamente dedicado a personas con discapacidad y representa un invaluable compromiso de los Estados Americanos para garantizarles el goce de los mismos derechos que gozan los demás. Indica en su Preámbulo que los Estados Partes reafirman “que las personas con discapacidad tienen los mismos derechos humanos y libertades fundamentales que otras personas; y que estos derechos, incluido el de no verse sometidos a discriminación fundamentada en la discapacidad, dimanan de la dignidad y la igualdad que son inherentes a todo ser humano”. Asimismo, dicha Convención reconoció un catálogo de obligaciones que los Estados deben cumplir con el objetivo de alcanzar “la prevención y eliminación de todas las formas de discriminación contra las personas con discapacidad y propiciar su plena integración en la sociedad ”. Esta Convención fue ratificada por Guatemala el 8 de agosto de 2002. Más recientemente, se aprobó en la Asamblea General de la OEA la “Declaración del Decenio de las Américas por los Derechos y la Dignidad de las personas con discapacidad (2006-2016)”. </w:t>
      </w:r>
    </w:p>
    <w:p w14:paraId="1C22BD4E" w14:textId="77777777" w:rsidR="007269CF" w:rsidRPr="00BB63D0" w:rsidRDefault="007269CF" w:rsidP="00BB63D0">
      <w:pPr>
        <w:rPr>
          <w:szCs w:val="20"/>
          <w:lang w:val="es-CR"/>
        </w:rPr>
      </w:pPr>
      <w:r w:rsidRPr="00BB63D0">
        <w:rPr>
          <w:szCs w:val="20"/>
          <w:lang w:val="es-CR"/>
        </w:rPr>
        <w:t>205.</w:t>
      </w:r>
      <w:r w:rsidRPr="00BB63D0">
        <w:rPr>
          <w:szCs w:val="20"/>
          <w:lang w:val="es-CR"/>
        </w:rPr>
        <w:tab/>
        <w:t xml:space="preserve">Por otra parte, el 3 de mayo de 2008 entró en vigor, en el sistema universal, la Convención sobre los Derechos de las Personas con Discapacidad (en adelante “CDPD”), que establece los siguientes principios rectores en la materia : i) el respeto de la dignidad inherente, la autonomía individual, incluida la libertad de tomar las </w:t>
      </w:r>
      <w:r w:rsidRPr="00BB63D0">
        <w:rPr>
          <w:szCs w:val="20"/>
          <w:lang w:val="es-CR"/>
        </w:rPr>
        <w:lastRenderedPageBreak/>
        <w:t>propias decisiones, y la independencia de las personas; ii) la no discriminación; iii) la participación e inclusión plenas y efectivas en la sociedad; iv) el respeto por la diferencia y la aceptación de las personas con discapacidad como parte de la diversidad y la condición humanas; v) la igualdad de oportunidades; vi) la accesibilidad; vii) la igualdad entre el hombre y la mujer, y viii) el respeto a la evolución de las facultades de los niños y las niñas con discapacidad y de su derecho a preservar su identidad. Guatemala ratificó esta Convención el 7 de abril de 2009.</w:t>
      </w:r>
    </w:p>
    <w:p w14:paraId="7BC52336" w14:textId="77777777" w:rsidR="007269CF" w:rsidRPr="00BB63D0" w:rsidRDefault="007269CF" w:rsidP="00BB63D0">
      <w:pPr>
        <w:rPr>
          <w:szCs w:val="20"/>
          <w:lang w:val="es-CR"/>
        </w:rPr>
      </w:pPr>
      <w:r w:rsidRPr="00BB63D0">
        <w:rPr>
          <w:szCs w:val="20"/>
          <w:lang w:val="es-CR"/>
        </w:rPr>
        <w:t>206.</w:t>
      </w:r>
      <w:r w:rsidRPr="00BB63D0">
        <w:rPr>
          <w:szCs w:val="20"/>
          <w:lang w:val="es-CR"/>
        </w:rPr>
        <w:tab/>
        <w:t>LA CIADDIS define el término “discapacidad” como “una deficiencia física, mental o sensorial, ya sea de naturaleza permanente o temporal, que limita la capacidad de ejercer una o más actividades esenciales de la vida diaria, que puede ser causada o agravada por el entorno económico y social”. Por su parte, la CDPD establece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54E4D291" w14:textId="77777777" w:rsidR="007269CF" w:rsidRPr="00BB63D0" w:rsidRDefault="007269CF" w:rsidP="00BB63D0">
      <w:pPr>
        <w:rPr>
          <w:szCs w:val="20"/>
          <w:lang w:val="es-CR"/>
        </w:rPr>
      </w:pPr>
      <w:r w:rsidRPr="00BB63D0">
        <w:rPr>
          <w:szCs w:val="20"/>
          <w:lang w:val="es-CR"/>
        </w:rPr>
        <w:t>209.</w:t>
      </w:r>
      <w:r w:rsidRPr="00BB63D0">
        <w:rPr>
          <w:szCs w:val="20"/>
          <w:lang w:val="es-CR"/>
        </w:rPr>
        <w:tab/>
        <w:t>Respecto de la situación particular de las personas con discapacidad privadas de su libertad como resultado de un proceso, el artículo 14.2 de la CDPD establece que los Estados deberán asegurar que “tengan, en igualdad de condiciones con las demás, derecho a garantías de conformidad con el derecho internacional de los derechos humanos y a ser tratadas de conformidad con los objetivos y principios de la presente Convención, incluida la realización de ajustes razonables”.</w:t>
      </w:r>
    </w:p>
    <w:p w14:paraId="696ED991" w14:textId="77777777" w:rsidR="007269CF" w:rsidRPr="00BB63D0" w:rsidRDefault="007269CF" w:rsidP="00BB63D0">
      <w:pPr>
        <w:rPr>
          <w:szCs w:val="20"/>
          <w:lang w:val="es-CR"/>
        </w:rPr>
      </w:pPr>
      <w:r w:rsidRPr="00BB63D0">
        <w:rPr>
          <w:szCs w:val="20"/>
          <w:lang w:val="es-CR"/>
        </w:rPr>
        <w:t>210.</w:t>
      </w:r>
      <w:r w:rsidRPr="00BB63D0">
        <w:rPr>
          <w:szCs w:val="20"/>
          <w:lang w:val="es-CR"/>
        </w:rPr>
        <w:tab/>
        <w:t xml:space="preserve">En cuanto </w:t>
      </w:r>
      <w:r w:rsidRPr="00587D7D">
        <w:rPr>
          <w:szCs w:val="20"/>
          <w:lang w:val="es-CR"/>
        </w:rPr>
        <w:t>a la salud de las</w:t>
      </w:r>
      <w:r w:rsidRPr="00BB63D0">
        <w:rPr>
          <w:szCs w:val="20"/>
          <w:lang w:val="es-CR"/>
        </w:rPr>
        <w:t xml:space="preserve"> personas con discapacidad, el artículo 25 de la CDPD reconoce “que las personas con discapacidad tienen derecho a gozar del más alto nivel posible de salud sin discriminación por motivos de discapacidad”, para lo cual los Estados deben adoptar “las medidas pertinentes para asegurar el acceso de las personas con discapacidad a servicios de salud que tengan en cuenta las cuestiones de género, incluida la rehabilitación relacionada con la salud”. Asimismo, el artículo 26 de la CDPD establece la obligación de los Estados de adoptar medidas efectivas y pertinentes de habilitación y rehabilitación para que las personas con discapacidad puedan lograr y mantener la máxima independencia, capacidad física, mental, social y vocacional, y la inclusión y participación plena en todos los aspectos de la vida. </w:t>
      </w:r>
    </w:p>
    <w:p w14:paraId="5C9D8829" w14:textId="5E59B070" w:rsidR="007269CF" w:rsidRPr="00BB63D0" w:rsidRDefault="007269CF" w:rsidP="00BB63D0">
      <w:pPr>
        <w:rPr>
          <w:szCs w:val="20"/>
          <w:lang w:val="es-CR"/>
        </w:rPr>
      </w:pPr>
      <w:r w:rsidRPr="00BB63D0">
        <w:rPr>
          <w:szCs w:val="20"/>
          <w:lang w:val="es-CR"/>
        </w:rPr>
        <w:t>211.</w:t>
      </w:r>
      <w:r w:rsidRPr="00BB63D0">
        <w:rPr>
          <w:szCs w:val="20"/>
          <w:lang w:val="es-CR"/>
        </w:rPr>
        <w:tab/>
        <w:t xml:space="preserve">En el </w:t>
      </w:r>
      <w:r w:rsidRPr="00BB63D0">
        <w:rPr>
          <w:i/>
          <w:szCs w:val="20"/>
          <w:lang w:val="es-CR"/>
        </w:rPr>
        <w:t xml:space="preserve">caso </w:t>
      </w:r>
      <w:proofErr w:type="spellStart"/>
      <w:r w:rsidRPr="00BB63D0">
        <w:rPr>
          <w:i/>
          <w:szCs w:val="20"/>
          <w:lang w:val="es-CR"/>
        </w:rPr>
        <w:t>Mircea</w:t>
      </w:r>
      <w:proofErr w:type="spellEnd"/>
      <w:r w:rsidRPr="00BB63D0">
        <w:rPr>
          <w:i/>
          <w:szCs w:val="20"/>
          <w:lang w:val="es-CR"/>
        </w:rPr>
        <w:t xml:space="preserve"> </w:t>
      </w:r>
      <w:proofErr w:type="spellStart"/>
      <w:r w:rsidRPr="00BB63D0">
        <w:rPr>
          <w:i/>
          <w:szCs w:val="20"/>
          <w:lang w:val="es-CR"/>
        </w:rPr>
        <w:t>Dumitrescu</w:t>
      </w:r>
      <w:proofErr w:type="spellEnd"/>
      <w:r w:rsidRPr="00BB63D0">
        <w:rPr>
          <w:i/>
          <w:szCs w:val="20"/>
          <w:lang w:val="es-CR"/>
        </w:rPr>
        <w:t xml:space="preserve"> v. Rumania</w:t>
      </w:r>
      <w:r w:rsidRPr="00BB63D0">
        <w:rPr>
          <w:szCs w:val="20"/>
          <w:lang w:val="es-CR"/>
        </w:rPr>
        <w:t xml:space="preserve"> el Tribunal Europeo de Derechos Humanos observó que la presunta víctima era diabética y una persona con discapacidad por lo que indicó que “pertenecía a un grupo vulnerable dada su grave discapacidad”. En razón de su situación específica derivada de su salud y condición de discapacidad, el Tribunal Europeo indicó que cuando las autoridades deciden colocar y mantener en detención a personas con discapacidad, ellas deben demostrar especial cuidado para garantizar que las condiciones de detención correspondan a las necesidades individuales que surgen o derivan de su discapacidad. </w:t>
      </w:r>
    </w:p>
    <w:p w14:paraId="227D69BC" w14:textId="77777777" w:rsidR="007269CF" w:rsidRPr="00BB63D0" w:rsidRDefault="007269CF" w:rsidP="00BB63D0">
      <w:pPr>
        <w:rPr>
          <w:szCs w:val="20"/>
          <w:lang w:val="es-CR"/>
        </w:rPr>
      </w:pPr>
      <w:r w:rsidRPr="00BB63D0">
        <w:rPr>
          <w:szCs w:val="20"/>
          <w:lang w:val="es-CR"/>
        </w:rPr>
        <w:t>212.</w:t>
      </w:r>
      <w:r w:rsidRPr="00BB63D0">
        <w:rPr>
          <w:szCs w:val="20"/>
          <w:lang w:val="es-CR"/>
        </w:rPr>
        <w:tab/>
        <w:t xml:space="preserve">En dicho caso, el Tribunal Europeo observó que la víctima se quejaba sobre la falta de una silla de ruedas propias, las insuficientes rampas de acceso en la prisión así como la ausencia de facilidades en el baño, como el hecho de que el vehículo en que era trasladada no había sido adaptado. Ese Tribunal consideró que las circunstancias de detención que la víctima tuvo que soportar, en su conjunto, por más de dos años, le causó sufrimiento físico y mental innecesario y evitable, lo que disminuye su dignidad humana y constituye trato inhumano. Por otro lado, en el caso Price v. Reino Unido, relacionado con una persona con discapacidad detenida, el Tribunal Europeo encontró que aunque no había intención de humillar o degradar a la víctima, la detención de una persona con una discapacidad severa en condiciones de riesgo tales como frío, heridas causadas por la dureza de su cama o que esta sea </w:t>
      </w:r>
      <w:r w:rsidRPr="00BB63D0">
        <w:rPr>
          <w:szCs w:val="20"/>
          <w:lang w:val="es-CR"/>
        </w:rPr>
        <w:lastRenderedPageBreak/>
        <w:t>inalcanzable, así como la incapacidad de ir al sanitario o mantenerse limpio con gran dificultad, constituían un trato inhumano contrario al artículo 3 del Convenio Europeo.</w:t>
      </w:r>
    </w:p>
    <w:p w14:paraId="404E06CC" w14:textId="77777777" w:rsidR="007269CF" w:rsidRPr="00BB63D0" w:rsidRDefault="007269CF" w:rsidP="00BB63D0">
      <w:pPr>
        <w:rPr>
          <w:szCs w:val="20"/>
          <w:lang w:val="es-CR"/>
        </w:rPr>
      </w:pPr>
      <w:r w:rsidRPr="00BB63D0">
        <w:rPr>
          <w:szCs w:val="20"/>
          <w:lang w:val="es-CR"/>
        </w:rPr>
        <w:t>213.</w:t>
      </w:r>
      <w:r w:rsidRPr="00BB63D0">
        <w:rPr>
          <w:szCs w:val="20"/>
          <w:lang w:val="es-CR"/>
        </w:rPr>
        <w:tab/>
        <w:t>Por su parte, el Comité de Naciones Unidas sobre los Derechos de las Personas con Discapacidad consideró el caso de una persona que alegaba que su habitación-celda era inadecuada para alguien con discapacidad y que los ajustes realizados por las autoridades penitenciarias no resultaron suficientes, toda vez que las dimensiones del baño no estaban adaptadas al uso de una silla de ruedas, con medidas de seguridad indispensables y no podía desplazarse por sus propios medios para acceder al sanitario y a la ducha, por lo que dependía de la asistencia del enfermero u otra persona, entre otras razones. El Comité tomó en cuenta que el Estado había realizado trabajos y modificaciones necesarias para eliminar el escalón que impedía el acceso al cuarto de baño y ducha de manera independiente y que las autoridades verificaron in situ la existencia y funcionamiento de ascensores, la existencia de una puerta de acceso al patio de recreación habilitada especialmente para dicha persona, y la existencia y funcionamiento de un timbre de llamado al enfermero, quien prestaba asistencia las 24 horas del día. A la vez, el Comité hizo las siguientes consideraciones:</w:t>
      </w:r>
    </w:p>
    <w:p w14:paraId="0C678E1D" w14:textId="77777777" w:rsidR="007269CF" w:rsidRPr="00BB63D0" w:rsidRDefault="007269CF" w:rsidP="00587D7D">
      <w:pPr>
        <w:pStyle w:val="Citacuerpo"/>
        <w:rPr>
          <w:lang w:val="es-CR"/>
        </w:rPr>
      </w:pPr>
      <w:r w:rsidRPr="00BB63D0">
        <w:rPr>
          <w:lang w:val="es-CR"/>
        </w:rPr>
        <w:t>8.5</w:t>
      </w:r>
      <w:r w:rsidRPr="00BB63D0">
        <w:rPr>
          <w:lang w:val="es-CR"/>
        </w:rPr>
        <w:tab/>
        <w:t>El Comité recuerda que conforme al artículo 14, párrafo 2 de la Convención, las personas con discapacidad que se vean privadas de su libertad tienen derecho a ser tratadas de conformidad con los objetivos y principios de la Convención, incluida la realización de ajustes razonables. Asimismo, también recuerda que la accesibilidad es un principio general de la Convención y, en tal sentido, se aplica también a aquellas situaciones en las que las personas con discapacidad son privadas de su libertad. El Estado parte tiene la obligación de garantizar que sus centros penitenciarios permitan la accesibilidad de todas las personas con discapacidad que lleguen a ser privadas de su libertad. Así pues, los Estados partes deben adoptar todas las medidas pertinentes, incluyendo la identificación y eliminación de obstáculos y barreras de acceso, a fin de que las personas con discapacidad privadas de libertad puedan vivir en forma independiente y participar plenamente en todos los aspectos de la vida diaria del lugar de detención, entre otras, asegurando su acceso, en igualdad de condiciones con las demás personas privadas de libertad, a los diversos ambientes físicos y servicios, tales como baños, patios, bibliotecas, talleres de estudio o trabajo, servicios médico, psicológico, social y legal. En el presente caso, el Comité reconoce los ajustes realizados por el Estado parte para eliminar las barreras de acceso en el entorno físico del autor en el centro penitenciario. Sin embargo, considera que el Estado parte no ha probado fehacientemente que las medidas de ajuste tomadas en el complejo penitenciario sean suficientes para garantizar el acceso del autor [de la comunicación] al cuarto de baño y ducha, al patio y al servicio de enfermería, de la manera más independiente posible. En este sentido el Comité observa que el Estado no ha alegado la existencia de obstáculos que le impidan tomar todas las medidas necesarias para facilitar la movilidad del autor en su entorno y tampoco ha desvirtuado las alegaciones del autor sobre la persistencia de barreras arquitectónicas. Por consiguiente, el Comité considera que, en ausencia de suficientes explicaciones, el Estado parte ha incumplido sus obligaciones en relación con el artículo 9, párrafo 1, apartados a) y b) y el artículo 14, párrafo 2 de la Convención.</w:t>
      </w:r>
    </w:p>
    <w:p w14:paraId="7BC3A561" w14:textId="77777777" w:rsidR="007269CF" w:rsidRPr="00BB63D0" w:rsidRDefault="007269CF" w:rsidP="00587D7D">
      <w:pPr>
        <w:pStyle w:val="Citacuerpo"/>
        <w:rPr>
          <w:lang w:val="es-CR"/>
        </w:rPr>
      </w:pPr>
      <w:r w:rsidRPr="00BB63D0">
        <w:rPr>
          <w:lang w:val="es-CR"/>
        </w:rPr>
        <w:t>8.6</w:t>
      </w:r>
      <w:r w:rsidRPr="00BB63D0">
        <w:rPr>
          <w:lang w:val="es-CR"/>
        </w:rPr>
        <w:tab/>
        <w:t xml:space="preserve">Habiendo arribado a la anterior conclusión, en las circunstancias del presente caso, el Comité considera que como resultado de la falta de accesibilidad y ajustes razonables suficientes se colocó al autor en unas condiciones de detención precarias incompatibles con el derecho consagrado en el artículo 17 de la Convención. </w:t>
      </w:r>
    </w:p>
    <w:p w14:paraId="1BAC78F2" w14:textId="31D29E71" w:rsidR="007269CF" w:rsidRPr="00BB63D0" w:rsidRDefault="007269CF" w:rsidP="00587D7D">
      <w:pPr>
        <w:pStyle w:val="Citacuerpo"/>
        <w:rPr>
          <w:lang w:val="es-CR"/>
        </w:rPr>
      </w:pPr>
      <w:r w:rsidRPr="00BB63D0">
        <w:rPr>
          <w:lang w:val="es-CR"/>
        </w:rPr>
        <w:lastRenderedPageBreak/>
        <w:t xml:space="preserve">8.7 </w:t>
      </w:r>
      <w:r w:rsidRPr="00BB63D0">
        <w:rPr>
          <w:lang w:val="es-CR"/>
        </w:rPr>
        <w:tab/>
        <w:t xml:space="preserve">El Comité recuerda que la falta de medidas pertinentes y ajustes razonables suficientes, cuando estos sean requeridos, para personas con discapacidad privadas de libertad, puede llegar a constituir un trato contrario al artículo 15, párrafo 2 de la Convención. Ahora bien, en el presente caso, el Comité considera que no cuenta con elementos suficientes que le permitan concluir a la existencia de una violación del artículo 15, párrafo 2 de la Convención. </w:t>
      </w:r>
    </w:p>
    <w:p w14:paraId="42A89562" w14:textId="77777777" w:rsidR="007269CF" w:rsidRPr="00BB63D0" w:rsidRDefault="007269CF" w:rsidP="00BB63D0">
      <w:pPr>
        <w:rPr>
          <w:szCs w:val="20"/>
          <w:lang w:val="es-CR"/>
        </w:rPr>
      </w:pPr>
      <w:r w:rsidRPr="00BB63D0">
        <w:rPr>
          <w:szCs w:val="20"/>
          <w:lang w:val="es-CR"/>
        </w:rPr>
        <w:t>214.</w:t>
      </w:r>
      <w:r w:rsidRPr="00BB63D0">
        <w:rPr>
          <w:szCs w:val="20"/>
          <w:lang w:val="es-CR"/>
        </w:rPr>
        <w:tab/>
        <w:t xml:space="preserve">El derecho a la accesibilidad desde la perspectiva de la discapacidad comprende el deber de ajustar un entorno en el que un sujeto con cualquier limitación puede funcionar y gozar de la mayor independencia posible, a efectos de que participe plenamente en todos los aspectos de la vida en igualdad de condiciones con las demás. En el caso de personas con dificultades de movilidad física, el contenido del derecho a la libertad de desplazamiento implica el deber de los Estados de identificar los obstáculos y las barreras de acceso y, en consecuencia, proceder a eliminarlos o adecuarlos, asegurando con ello la accesibilidad de las personas con discapacidad a las instalaciones o servicios para que gocen de movilidad personal con la mayor independencia posible. </w:t>
      </w:r>
    </w:p>
    <w:p w14:paraId="5877B6A7" w14:textId="77777777" w:rsidR="007269CF" w:rsidRPr="00BB63D0" w:rsidRDefault="007269CF" w:rsidP="00BB63D0">
      <w:pPr>
        <w:rPr>
          <w:szCs w:val="20"/>
          <w:lang w:val="es-CR"/>
        </w:rPr>
      </w:pPr>
      <w:r w:rsidRPr="00BB63D0">
        <w:rPr>
          <w:szCs w:val="20"/>
          <w:lang w:val="es-CR"/>
        </w:rPr>
        <w:t>215.</w:t>
      </w:r>
      <w:r w:rsidRPr="00BB63D0">
        <w:rPr>
          <w:szCs w:val="20"/>
          <w:lang w:val="es-CR"/>
        </w:rPr>
        <w:tab/>
        <w:t xml:space="preserve">En atención a los criterios anteriores, la Corte considera que el Estado tenía la obligación de garantizar accesibilidad a las personas con discapacidad que se vean privadas de su libertad, en este caso a la presunta víctima, de conformidad con el principio de no discriminación y con los elementos interrelacionados de la protección a la salud, a saber, disponibilidad, accesibilidad, aceptabilidad y calidad, incluida la realización de ajustes razonables necesarios en el centro penitenciario, para permitir que pudiera vivir con la mayor independencia posible y en igualdad de condiciones con otras personas en situación de privación de libertad. </w:t>
      </w:r>
    </w:p>
    <w:p w14:paraId="03A70DA6" w14:textId="77777777" w:rsidR="007269CF" w:rsidRPr="00BB63D0" w:rsidRDefault="007269CF" w:rsidP="00BB63D0">
      <w:pPr>
        <w:rPr>
          <w:szCs w:val="20"/>
          <w:lang w:val="es-CR"/>
        </w:rPr>
      </w:pPr>
      <w:r w:rsidRPr="00BB63D0">
        <w:rPr>
          <w:szCs w:val="20"/>
          <w:lang w:val="es-CR"/>
        </w:rPr>
        <w:t>216.</w:t>
      </w:r>
      <w:r w:rsidRPr="00BB63D0">
        <w:rPr>
          <w:szCs w:val="20"/>
          <w:lang w:val="es-CR"/>
        </w:rPr>
        <w:tab/>
        <w:t xml:space="preserve">Asimismo, el Estado debió facilitar que pudiera </w:t>
      </w:r>
      <w:r w:rsidRPr="00587D7D">
        <w:rPr>
          <w:szCs w:val="20"/>
          <w:lang w:val="es-CR"/>
        </w:rPr>
        <w:t>acceder, conforme al principio de equivalencia, a medios a los cuales razonablemente hubiera podido acceder para lograr su rehabilitación si no hubiera estado bajo custodia</w:t>
      </w:r>
      <w:r w:rsidRPr="00BB63D0">
        <w:rPr>
          <w:szCs w:val="20"/>
          <w:lang w:val="es-CR"/>
        </w:rPr>
        <w:t xml:space="preserve"> estatal, así como para prevenir la adquisición de nuevas discapacidades. En este sentido, el perito Carlos Ríos Espinosa, miembro del Comité de Naciones Unidas sobre los Derechos de las Personas con Discapacidad, se refirió a la importancia de que el Estado hubiese tomado determinadas medidas, tales como otorgarle una prótesis o asegurar que ella contara con apoyo de profesionales que le permitieran comprender y aceptar su nueva condición. Además, señaló que los Estados tienen la carga de acreditar que adoptaron las medidas necesarias para eliminar las barreras que enfrentan y garantizar igualdad de condiciones en el goce de sus derechos. </w:t>
      </w:r>
    </w:p>
    <w:p w14:paraId="3AC338C6" w14:textId="77777777" w:rsidR="007269CF" w:rsidRPr="00BB63D0" w:rsidRDefault="007269CF" w:rsidP="00BB63D0">
      <w:pPr>
        <w:rPr>
          <w:szCs w:val="20"/>
          <w:lang w:val="es-CR"/>
        </w:rPr>
      </w:pPr>
      <w:r w:rsidRPr="00BB63D0">
        <w:rPr>
          <w:szCs w:val="20"/>
          <w:lang w:val="es-CR"/>
        </w:rPr>
        <w:t>217.</w:t>
      </w:r>
      <w:r w:rsidRPr="00BB63D0">
        <w:rPr>
          <w:szCs w:val="20"/>
          <w:lang w:val="es-CR"/>
        </w:rPr>
        <w:tab/>
        <w:t xml:space="preserve">En este caso, la señora Chinchilla se movilizaba en una silla de ruedas y, según el referido informe socioeconómico, tenía problemas “por los espacios tan reducidos del lugar” de detención (COF), es decir, por las barreras o limitaciones físicas o arquitectónicas del lugar. En esta situación, era razonable que el Estado adaptara, mínimamente, las instalaciones del centro penitenciario a su situación de discapacidad. En cuanto a las medidas para facilitar su higiene personal, la Corte valora que el Estado adecuara un sanitario y lavamanos dentro de la celda individual en que fue ubicada dentro del área de maternidad. Sin embargo, en este sentido la señora Marta </w:t>
      </w:r>
      <w:proofErr w:type="spellStart"/>
      <w:r w:rsidRPr="00BB63D0">
        <w:rPr>
          <w:szCs w:val="20"/>
          <w:lang w:val="es-CR"/>
        </w:rPr>
        <w:t>Maria</w:t>
      </w:r>
      <w:proofErr w:type="spellEnd"/>
      <w:r w:rsidRPr="00BB63D0">
        <w:rPr>
          <w:szCs w:val="20"/>
          <w:lang w:val="es-CR"/>
        </w:rPr>
        <w:t xml:space="preserve"> </w:t>
      </w:r>
      <w:proofErr w:type="spellStart"/>
      <w:r w:rsidRPr="00BB63D0">
        <w:rPr>
          <w:szCs w:val="20"/>
          <w:lang w:val="es-CR"/>
        </w:rPr>
        <w:t>Gatenbein</w:t>
      </w:r>
      <w:proofErr w:type="spellEnd"/>
      <w:r w:rsidRPr="00BB63D0">
        <w:rPr>
          <w:szCs w:val="20"/>
          <w:lang w:val="es-CR"/>
        </w:rPr>
        <w:t xml:space="preserve"> Chinchilla, hija de la señora Chinchilla Sandoval, manifestó que la silla de ruedas no entraba en la ducha, por lo que ella y su esposo debieron colocar tubos dentro de la ducha para evitar que se cayera y que debían pagar trescientos quetzales mensualmente como “colaboración” para que ella pudiera permanecer en el área de maternal, más cien quetzales por el uso de televisión, refrigeradora y luz eléctrica</w:t>
      </w:r>
      <w:r w:rsidRPr="00587D7D">
        <w:rPr>
          <w:szCs w:val="20"/>
          <w:lang w:val="es-CR"/>
        </w:rPr>
        <w:t>. El Estado no desvirtuó lo anterior, por lo que la mayoría de los ajustes realizados no son atribuibles al Estado ni resultaron suficientes para paliar sus condiciones de detención como persona en situación de discapacidad</w:t>
      </w:r>
      <w:r w:rsidRPr="00BB63D0">
        <w:rPr>
          <w:szCs w:val="20"/>
          <w:lang w:val="es-CR"/>
        </w:rPr>
        <w:t xml:space="preserve">. En este sentido, no existía una infraestructura adecuada, pues el área de maternidad </w:t>
      </w:r>
      <w:r w:rsidRPr="00BB63D0">
        <w:rPr>
          <w:szCs w:val="20"/>
          <w:lang w:val="es-CR"/>
        </w:rPr>
        <w:lastRenderedPageBreak/>
        <w:t xml:space="preserve">era reducido (aunque sí permitía la movilización en silla de ruedas) y ella dependía de otras internas y de personal penitenciario para poder trasladarse a las áreas comunes. Su caída se dio en las gradas que comunicaban a los hogares C y D del COF al tratar de bajar del lugar donde se encontraba y no tener quién la desplazara (la celda se encontraba en lo alto de varias gradas, por lo que dependía de otras reclusas para moverse dentro del centro de maternidad). </w:t>
      </w:r>
    </w:p>
    <w:p w14:paraId="6E65E8DB" w14:textId="77777777" w:rsidR="007269CF" w:rsidRPr="00BB63D0" w:rsidRDefault="007269CF" w:rsidP="00BB63D0">
      <w:pPr>
        <w:rPr>
          <w:szCs w:val="20"/>
          <w:lang w:val="es-CR"/>
        </w:rPr>
      </w:pPr>
      <w:r w:rsidRPr="00BB63D0">
        <w:rPr>
          <w:szCs w:val="20"/>
          <w:lang w:val="es-CR"/>
        </w:rPr>
        <w:t>218.</w:t>
      </w:r>
      <w:r w:rsidRPr="00BB63D0">
        <w:rPr>
          <w:szCs w:val="20"/>
          <w:lang w:val="es-CR"/>
        </w:rPr>
        <w:tab/>
        <w:t>Por otro lado, respecto de las facilidades prácticas y procedimientos que debían seguirse para permitir las salidas de la señora Chinchilla del COF y su asistencia a las citas médicas en hospitales, se daban múltiples dificultades de accesibilidad física al transporte y de disponibilidad de medios de transporte y tiempo de los policías que la custodiaban. Así, era necesario que guardias la cargaran y la subieran con dificultades a una camioneta “pick up” sin facilidades para transporte de una persona en silla de ruedas. Ella alegó además que no alcanzaba los teléfonos para comunicarse con su familia. Estas situaciones permiten considerar que la señora Chinchilla estaba limitada en su entorno y no existía personal asignado para desplazarla. En esta situación</w:t>
      </w:r>
      <w:r w:rsidRPr="00587D7D">
        <w:rPr>
          <w:szCs w:val="20"/>
          <w:lang w:val="es-CR"/>
        </w:rPr>
        <w:t>, era razonable que el Estado adoptara las medidas necesarias para garantizar la accesibilidad a los servicios, por ejemplo mantener personal disponible para atender y movilizar a la señora Chinchilla. No</w:t>
      </w:r>
      <w:r w:rsidRPr="00BB63D0">
        <w:rPr>
          <w:szCs w:val="20"/>
          <w:lang w:val="es-CR"/>
        </w:rPr>
        <w:t xml:space="preserve"> obstante, a pesar de las medidas adoptadas, es posible concluir que no fueron adoptadas otras medidas para paliar la situación ante su discapacidad sobrevenida, en particular un acceso razonable a medios para posibilitar su rehabilitación cuando su salud se había deteriorado.</w:t>
      </w:r>
    </w:p>
    <w:p w14:paraId="56A30D19" w14:textId="77777777" w:rsidR="007269CF" w:rsidRPr="00BB63D0" w:rsidRDefault="007269CF" w:rsidP="00BB63D0">
      <w:pPr>
        <w:rPr>
          <w:szCs w:val="20"/>
          <w:lang w:val="es-CR"/>
        </w:rPr>
      </w:pPr>
      <w:r w:rsidRPr="00BB63D0">
        <w:rPr>
          <w:szCs w:val="20"/>
          <w:lang w:val="es-CR"/>
        </w:rPr>
        <w:t>219.</w:t>
      </w:r>
      <w:r w:rsidRPr="00BB63D0">
        <w:rPr>
          <w:szCs w:val="20"/>
          <w:lang w:val="es-CR"/>
        </w:rPr>
        <w:tab/>
        <w:t>Por las razones anteriores es posible concluir que, como resultado de la falta de accesibilidad y ajustes razonables suficientes, se colocó a la presunta víctima en situación de discriminación y en condiciones de detención incompatibles con el derecho de toda persona con discapacidad a que se respete su derecho a la integridad física y mental en igualdad de condiciones con las demás personas, en los términos de los artículos 5.1 y 1.1 de la Convención, en perjuicio de la señora Chinchilla Sandoval.</w:t>
      </w:r>
    </w:p>
    <w:p w14:paraId="483A5584" w14:textId="77777777" w:rsidR="007269CF" w:rsidRPr="00BB63D0" w:rsidRDefault="007269CF" w:rsidP="00BB63D0">
      <w:pPr>
        <w:rPr>
          <w:szCs w:val="20"/>
        </w:rPr>
      </w:pPr>
      <w:r w:rsidRPr="00BB63D0">
        <w:rPr>
          <w:b/>
          <w:szCs w:val="20"/>
        </w:rPr>
        <w:t>Corte IDH. Caso Gonzales Lluy y otros Vs. Ecuador. Excepciones Preliminares, Fondo, Reparaciones y Costas. Sentencia de 1 de septiembre de 2015. Serie C No. 298</w:t>
      </w:r>
    </w:p>
    <w:p w14:paraId="00EF9634" w14:textId="77777777" w:rsidR="007269CF" w:rsidRPr="00BB63D0" w:rsidRDefault="007269CF" w:rsidP="00BB63D0">
      <w:pPr>
        <w:rPr>
          <w:szCs w:val="20"/>
        </w:rPr>
      </w:pPr>
      <w:r w:rsidRPr="00BB63D0">
        <w:rPr>
          <w:szCs w:val="20"/>
        </w:rPr>
        <w:t>236.</w:t>
      </w:r>
      <w:r w:rsidRPr="00BB63D0">
        <w:rPr>
          <w:szCs w:val="20"/>
        </w:rPr>
        <w:tab/>
        <w:t xml:space="preserve">Ahora bien, la Corte nota que las personas con VIH han sido históricamente discriminadas debido a las diferentes creencias sociales y culturales que han creado un estigma alrededor de la enfermedad. De este modo, que una persona viva con VIH/SIDA, o incluso la sola suposición de que lo tiene, puede crear barreras sociales y actitudinales para que ésta acceda en igualdad de condiciones a todos sus derechos. La relación entre este tipo de barreras y la condición de salud de las personas justifica el uso del modelo social de la discapacidad como enfoque relevante para valorar el alcance de algunos derechos involucrados en el presente caso. </w:t>
      </w:r>
    </w:p>
    <w:p w14:paraId="0261F5ED" w14:textId="77777777" w:rsidR="007269CF" w:rsidRPr="00BB63D0" w:rsidRDefault="007269CF" w:rsidP="00BB63D0">
      <w:pPr>
        <w:rPr>
          <w:szCs w:val="20"/>
        </w:rPr>
      </w:pPr>
      <w:r w:rsidRPr="00BB63D0">
        <w:rPr>
          <w:szCs w:val="20"/>
        </w:rPr>
        <w:t>237.</w:t>
      </w:r>
      <w:r w:rsidRPr="00BB63D0">
        <w:rPr>
          <w:szCs w:val="20"/>
        </w:rPr>
        <w:tab/>
        <w:t>Como parte de la evolución del concepto de discapacidad, el modelo social de discapacidad entiende la discapacidad como el resultado de la interacción entre las características funcionales de una persona y las barreras en su entorno. Esta Corte ha establecido que la discapacidad no se define exclusivamente por la presencia de una deficiencia física, mental, intelectual o sensorial, sino que se interrelaciona con las barreras o limitaciones que socialmente existen para que las personas puedan ejercer sus derechos de manera efectiva.</w:t>
      </w:r>
    </w:p>
    <w:p w14:paraId="03243EF3" w14:textId="77777777" w:rsidR="007269CF" w:rsidRPr="00BB63D0" w:rsidRDefault="007269CF" w:rsidP="00BB63D0">
      <w:pPr>
        <w:rPr>
          <w:szCs w:val="20"/>
        </w:rPr>
      </w:pPr>
      <w:r w:rsidRPr="00BB63D0">
        <w:rPr>
          <w:szCs w:val="20"/>
        </w:rPr>
        <w:t>238.</w:t>
      </w:r>
      <w:r w:rsidRPr="00BB63D0">
        <w:rPr>
          <w:szCs w:val="20"/>
        </w:rPr>
        <w:tab/>
        <w:t xml:space="preserve">En este sentido, el convivir con el VIH no es </w:t>
      </w:r>
      <w:r w:rsidRPr="00BB63D0">
        <w:rPr>
          <w:i/>
          <w:iCs/>
          <w:szCs w:val="20"/>
        </w:rPr>
        <w:t>per se</w:t>
      </w:r>
      <w:r w:rsidRPr="00BB63D0">
        <w:rPr>
          <w:szCs w:val="20"/>
        </w:rPr>
        <w:t xml:space="preserve"> una situación de discapacidad. Sin embargo, en algunas circunstancias, las barreras actitudinales que enfrente una persona por convivir con el VIH generan que las circunstancias de su entorno le coloquen en una situación de discapacidad. En otras palabras, la situación médica de vivir con VIH puede, potencialmente, ser generadora de discapacidad por </w:t>
      </w:r>
      <w:r w:rsidRPr="00BB63D0">
        <w:rPr>
          <w:szCs w:val="20"/>
        </w:rPr>
        <w:lastRenderedPageBreak/>
        <w:t>las barreras actitudinales y sociales. Así pues, la determinación de si alguien puede considerarse una persona con discapacidad depende de su relación con el entorno y no responde únicamente a una lista de diagnósticos. Por tanto, en algunas situaciones, las personas viviendo con VIH/SIDA pueden ser consideradas personas con discapacidad bajo la conceptualización de la Convención sobre los Derechos de las Personas con Discapacidad.</w:t>
      </w:r>
    </w:p>
    <w:p w14:paraId="208F9195" w14:textId="77777777" w:rsidR="007269CF" w:rsidRPr="00BB63D0" w:rsidRDefault="007269CF" w:rsidP="00BB63D0">
      <w:pPr>
        <w:rPr>
          <w:szCs w:val="20"/>
        </w:rPr>
      </w:pPr>
      <w:r w:rsidRPr="00BB63D0">
        <w:rPr>
          <w:szCs w:val="20"/>
        </w:rPr>
        <w:t>239.</w:t>
      </w:r>
      <w:r w:rsidRPr="00BB63D0">
        <w:rPr>
          <w:szCs w:val="20"/>
        </w:rPr>
        <w:tab/>
        <w:t xml:space="preserve">La Corte nota que diversos organismos internacionales se han manifestado acerca de la estrecha relación que existe entre el VIH/SIDA y la discapacidad en razón de los diversos padecimientos físicos que se pueden presentar en razón de la enfermedad, así como por las barreras sociales derivadas de la misma. ONUSIDA ha precisado que una de esas percepciones erradas sobre el VIH/SIDA es la de considerar que las personas con VIH son una amenaza a la salud pública. Además, el Tribunal Europeo de Derechos Humanos en el caso </w:t>
      </w:r>
      <w:proofErr w:type="spellStart"/>
      <w:r w:rsidRPr="00BB63D0">
        <w:rPr>
          <w:szCs w:val="20"/>
        </w:rPr>
        <w:t>Kiyutin</w:t>
      </w:r>
      <w:proofErr w:type="spellEnd"/>
      <w:r w:rsidRPr="00BB63D0">
        <w:rPr>
          <w:szCs w:val="20"/>
        </w:rPr>
        <w:t xml:space="preserve"> Vs. Rusia consideró que una distinción hecha con base en el estado de salud de una persona, incluyendo escenarios como la infección por VIH, debería estar cubierta por el término de discapacidad o paralelamente por el término “otra situación” en el texto del artículo 14 del Convenio Europeo de Derechos Humanos. Asimismo, la Corte destaca que algunos Estados y tribunales constitucionales han reconocido la condición de convivir con VIH como una forma de discapacidad.</w:t>
      </w:r>
    </w:p>
    <w:p w14:paraId="3ED0CD27" w14:textId="77777777" w:rsidR="007269CF" w:rsidRPr="00BB63D0" w:rsidRDefault="007269CF" w:rsidP="00BB63D0">
      <w:pPr>
        <w:rPr>
          <w:szCs w:val="20"/>
        </w:rPr>
      </w:pPr>
      <w:r w:rsidRPr="00BB63D0">
        <w:rPr>
          <w:szCs w:val="20"/>
        </w:rPr>
        <w:t>240.</w:t>
      </w:r>
      <w:r w:rsidRPr="00BB63D0">
        <w:rPr>
          <w:szCs w:val="20"/>
        </w:rPr>
        <w:tab/>
        <w:t>Teniendo en cuenta estas características, y en atención a las condiciones de vulnerabilidad que ha enfrentado Talía, la Corte estima pertinente precisar algunos elementos sobre el derecho a la educación de las personas que conviven con condiciones médicas potencialmente generadoras de discapacidad como el VIH/SIDA. Al respecto, también se involucrarán algunos componentes asociados al derecho a la educación de las personas con discapacidad. En este punto, las Directrices Internacionales sobre el VIH/SIDA y los Derechos Humanos de Naciones Unidas precisan lo siguiente sobre el derecho a la educación de las personas con VIH/SIDA:</w:t>
      </w:r>
    </w:p>
    <w:p w14:paraId="776E6079" w14:textId="77777777" w:rsidR="007269CF" w:rsidRDefault="007269CF" w:rsidP="00587D7D">
      <w:pPr>
        <w:pStyle w:val="Citacuerpo"/>
      </w:pPr>
      <w:r w:rsidRPr="00BB63D0">
        <w:t xml:space="preserve">“Primero, tanto los niños como los adultos tienen derecho a recibir educación sobre el VIH, en particular sobre la prevención y la atención. El acceso a la educación sobre el VIH/[SIDA] es un elemento esencial de los programas de prevención y atención eficaces. El Estado tiene la obligación de asegurar que, dentro de su tradición cultural y religiosa, se faciliten los medios apropiados </w:t>
      </w:r>
      <w:r w:rsidRPr="00587D7D">
        <w:t>para que en los programas de enseñanza académicos y extra académicos se incluya información eficaz sobre el VIH. La educación e información a los niños no debe considerarse como una promoción de la experiencia sexual temprana”.</w:t>
      </w:r>
    </w:p>
    <w:p w14:paraId="248AB205" w14:textId="5DCC087C" w:rsidR="007269CF" w:rsidRPr="00587D7D" w:rsidRDefault="007269CF" w:rsidP="00587D7D">
      <w:pPr>
        <w:pStyle w:val="Citacuerpo"/>
      </w:pPr>
      <w:r w:rsidRPr="00587D7D">
        <w:t>“Segundo, los Estados deben procurar que a los niños y adultos que viven con el VIH no se les deniegue discriminatoriamente el acceso a la educación, en particular el acceso a escuelas, universidades y becas, así como a la educación internacional, ni sean objeto de restricciones por su estado serológico con respecto al VIH. No hay razones de salud pública que justifiquen esas medidas, ya que no hay riesgo de transmitir casualmente el VIH en entornos educativos”.</w:t>
      </w:r>
    </w:p>
    <w:p w14:paraId="77DC31F8" w14:textId="77777777" w:rsidR="007269CF" w:rsidRPr="00BB63D0" w:rsidRDefault="007269CF" w:rsidP="00587D7D">
      <w:pPr>
        <w:pStyle w:val="Citacuerpo"/>
      </w:pPr>
      <w:r w:rsidRPr="00587D7D">
        <w:t>“Tercero</w:t>
      </w:r>
      <w:r w:rsidRPr="00BB63D0">
        <w:t>, los Estados, por medio de la educación, deben promover la comprensión, el respeto, la tolerancia y la no discriminación respecto de las personas que viven con el VIH”.</w:t>
      </w:r>
    </w:p>
    <w:p w14:paraId="5575F439" w14:textId="77777777" w:rsidR="007269CF" w:rsidRPr="00BB63D0" w:rsidRDefault="007269CF" w:rsidP="00BB63D0">
      <w:pPr>
        <w:rPr>
          <w:szCs w:val="20"/>
        </w:rPr>
      </w:pPr>
      <w:r w:rsidRPr="00BB63D0">
        <w:rPr>
          <w:szCs w:val="20"/>
        </w:rPr>
        <w:t>241.</w:t>
      </w:r>
      <w:r w:rsidRPr="00BB63D0">
        <w:rPr>
          <w:szCs w:val="20"/>
        </w:rPr>
        <w:tab/>
        <w:t xml:space="preserve">Como se observa, existen tres obligaciones inherentes al derecho a la educación en relación a las personas que conviven con VIH/SIDA: i) el derecho a disponer de información oportuna y libre de prejuicios sobre el VIH/SIDA; ii) la prohibición de impedir el acceso a los centros educativos a las personas con VIH/SIDA, y iii) el derecho a que la educación promueva su inclusión y no discriminación dentro del entorno social. A continuación se analizarán estas </w:t>
      </w:r>
      <w:r w:rsidRPr="00BB63D0">
        <w:rPr>
          <w:szCs w:val="20"/>
        </w:rPr>
        <w:lastRenderedPageBreak/>
        <w:t xml:space="preserve">obligaciones al valorar la controversia sobre la forma como Talía fue retirada de la escuela en la que se encontraba por el presunto peligro que generaba para sus compañeros. </w:t>
      </w:r>
    </w:p>
    <w:p w14:paraId="292715BC" w14:textId="77777777" w:rsidR="007269CF" w:rsidRPr="00BB63D0" w:rsidRDefault="007269CF" w:rsidP="00587D7D">
      <w:pPr>
        <w:pStyle w:val="Caso"/>
        <w:rPr>
          <w:lang w:val="es-MX"/>
        </w:rPr>
      </w:pPr>
      <w:r w:rsidRPr="00BB63D0">
        <w:rPr>
          <w:lang w:val="es-MX"/>
        </w:rPr>
        <w:t>Corte IDH. Caso Poblete Vilches y otros Vs. Chile. Fondo, Reparaciones y Costas. Sentencia de 8 de marzo de 2018. Serie C No. 349</w:t>
      </w:r>
    </w:p>
    <w:p w14:paraId="5B799DC5" w14:textId="77777777" w:rsidR="007269CF" w:rsidRPr="00BB63D0" w:rsidRDefault="007269CF" w:rsidP="00BB63D0">
      <w:pPr>
        <w:rPr>
          <w:szCs w:val="20"/>
          <w:lang w:val="es-MX"/>
        </w:rPr>
      </w:pPr>
      <w:r w:rsidRPr="00BB63D0">
        <w:rPr>
          <w:szCs w:val="20"/>
          <w:lang w:val="es-MX"/>
        </w:rPr>
        <w:t>166.</w:t>
      </w:r>
      <w:r w:rsidRPr="00BB63D0">
        <w:rPr>
          <w:szCs w:val="20"/>
          <w:lang w:val="es-MX"/>
        </w:rPr>
        <w:tab/>
        <w:t xml:space="preserve">En vista de lo anterior, la Corte entiende </w:t>
      </w:r>
      <w:r w:rsidRPr="00587D7D">
        <w:rPr>
          <w:szCs w:val="20"/>
          <w:lang w:val="es-MX"/>
        </w:rPr>
        <w:t>que el consentimiento por representación o sustitución se actualiza cuando se ha comprobado que el paciente, por su especial condición, no se encuentra en la capacidad de tomar una decisión en relación a su salud, por lo cual esta potestad le es otorgada a su representante, autoridad, persona, familiar o institución designada por ley. Sin embargo, cualquier limitación en la toma de decisiones tiene que tener en cuenta las capacidades evolutivas del paciente, y su condición actual para brindar el consentimiento. Esta Corte considera que entre los elementos necesarios para otorgar el consentimiento informado por parte de sus familiares, este también debe de ser previo, libre, pleno e informado, a menos que se trate de una situación de emergencia, en donde la Corte ya ha reconocido que existen excepciones donde es posible que el personal de salud actúe sin la exigencia del consentimiento, en casos en los que éste no pueda ser brindado por la persona y que sea necesario un tratamiento médico o quirúrgico inmediato, de urgencia o de emergencia, ante un grave riesgo contra la vida o la salud del paciente.</w:t>
      </w:r>
    </w:p>
    <w:p w14:paraId="63A66B8D" w14:textId="6D6667DD" w:rsidR="007269CF" w:rsidRDefault="007269CF" w:rsidP="00BB63D0">
      <w:pPr>
        <w:rPr>
          <w:szCs w:val="20"/>
          <w:lang w:val="es-MX"/>
        </w:rPr>
      </w:pPr>
      <w:r w:rsidRPr="00BB63D0">
        <w:rPr>
          <w:szCs w:val="20"/>
          <w:lang w:val="es-MX"/>
        </w:rPr>
        <w:t>173.</w:t>
      </w:r>
      <w:r w:rsidRPr="00BB63D0">
        <w:rPr>
          <w:szCs w:val="20"/>
          <w:lang w:val="es-MX"/>
        </w:rPr>
        <w:tab/>
        <w:t xml:space="preserve"> Con base en lo anterior, este Tribunal concluye que el Estado incumplió con su obligación internacional de obtener, a través de su personal de salud, el consentimiento informado por parte de los familiares del señor Poblete Vilches, para la práctica de los actos médicos realizados durante su primer ingreso en el Hospital Sótero del Río. Adicionalmente, el Estado vulneró el derecho de acceso a la información de los familiares, debido a que no se les otorgó información clara y precisa sobre el alta al paciente y sus cuidados necesarios. Asimismo, se vulneró éste derecho debido a que durante el segundo ingreso, no se proporcionó información clara y accesible respecto del diagnóstico y atención médica otorgada al señor Poblete Vilches. Por ende, la Corte considera que se violó el derecho a obtener un consentimiento informado y acceso a la información en materia de salud, de conformidad con los artículos 26, 13, 11 y 7 de la Convención Americana, en relación con el artículo 1.1 del mismo instrumento, en perjuicio del señor Poblete Vilches y sus familiares.</w:t>
      </w:r>
    </w:p>
    <w:p w14:paraId="0CAB8525" w14:textId="60909877" w:rsidR="007269CF" w:rsidRDefault="007269CF" w:rsidP="00E431EB">
      <w:pPr>
        <w:pStyle w:val="Caso"/>
        <w:rPr>
          <w:lang w:val="es-MX"/>
        </w:rPr>
      </w:pPr>
      <w:r w:rsidRPr="00E431EB">
        <w:rPr>
          <w:lang w:val="es-MX"/>
        </w:rPr>
        <w:t>Corte IDH. Caso Guachalá Chimbo y otros Vs. Ecuador. Fondo, Reparaciones y Costas. Sentencia de 26 de marzo de 2021. Serie C No. 423</w:t>
      </w:r>
    </w:p>
    <w:p w14:paraId="2333810E" w14:textId="2360339D" w:rsidR="007269CF" w:rsidRPr="00E431EB" w:rsidRDefault="007269CF" w:rsidP="00E431EB">
      <w:pPr>
        <w:rPr>
          <w:szCs w:val="20"/>
          <w:lang w:val="es-MX"/>
        </w:rPr>
      </w:pPr>
      <w:r w:rsidRPr="00E431EB">
        <w:rPr>
          <w:szCs w:val="20"/>
          <w:lang w:val="es-MX"/>
        </w:rPr>
        <w:t>80. Las personas con discapacidad son titulares de los derechos establecidos en la Convención Americana. El deber de respetar los derechos humanos reconocidos en la Convención, concierne a todos los que actúen a nombre del Estado, especialmente si proceden en la condición de órganos estatales, por lo que la eventual violación de aquellos le es atribuible directamente. La obligación de garantizar el libre y pleno ejercicio de dichos derechos, significa que es responsable de la violación de éstos por parte de terceros en el evento de que no haya adoptado las medidas indispensables para impedir su trasgresión o para hacerla cesar, reparando el daño causado. Y todo ello respecto de cualquier persona que se encuentre, por cualquier causa, circunstancia o motivo, bajo su jurisdicción.</w:t>
      </w:r>
    </w:p>
    <w:p w14:paraId="09EAC870" w14:textId="42FBC06B" w:rsidR="007269CF" w:rsidRPr="00E431EB" w:rsidRDefault="007269CF" w:rsidP="00E431EB">
      <w:pPr>
        <w:rPr>
          <w:szCs w:val="20"/>
          <w:lang w:val="es-MX"/>
        </w:rPr>
      </w:pPr>
      <w:r w:rsidRPr="00E431EB">
        <w:rPr>
          <w:szCs w:val="20"/>
          <w:lang w:val="es-MX"/>
        </w:rPr>
        <w:t>81. En virtud de la obligación de no discriminar, los Estados están obligados, además, a adoptar medidas positivas para revertir o cambiar situaciones discriminatorias existentes en sus sociedades, en perjuicio de determinado grupo de personas. Esto implica el deber especial de protección que el Estado debe ejercer con respecto a actuaciones y prácticas de terceros que, bajo su tolerancia o aquiescencia, creen, mantengan o favorezcan las situaciones discriminatorias.</w:t>
      </w:r>
    </w:p>
    <w:p w14:paraId="3CA7239C" w14:textId="74ED4085" w:rsidR="007269CF" w:rsidRPr="00E431EB" w:rsidRDefault="007269CF" w:rsidP="00E431EB">
      <w:pPr>
        <w:rPr>
          <w:szCs w:val="20"/>
          <w:lang w:val="es-MX"/>
        </w:rPr>
      </w:pPr>
      <w:r w:rsidRPr="00E431EB">
        <w:rPr>
          <w:szCs w:val="20"/>
          <w:lang w:val="es-MX"/>
        </w:rPr>
        <w:lastRenderedPageBreak/>
        <w:t>82. La CIADDIS consagró un catálogo de obligaciones que los Estados deben cumplir con el objetivo de alcanzar “la prevención y eliminación de todas las formas de discriminación contra</w:t>
      </w:r>
      <w:r>
        <w:rPr>
          <w:szCs w:val="20"/>
          <w:lang w:val="es-MX"/>
        </w:rPr>
        <w:t xml:space="preserve"> </w:t>
      </w:r>
      <w:r w:rsidRPr="00E431EB">
        <w:rPr>
          <w:szCs w:val="20"/>
          <w:lang w:val="es-MX"/>
        </w:rPr>
        <w:t>las personas con discapacidad y propiciar su plena integración en la sociedad”. Esta Convención fue ratificada por Ecuador el 18 de marzo de 2004.</w:t>
      </w:r>
    </w:p>
    <w:p w14:paraId="730DF973" w14:textId="4B1B92B0" w:rsidR="007269CF" w:rsidRPr="00E431EB" w:rsidRDefault="007269CF" w:rsidP="00E431EB">
      <w:pPr>
        <w:rPr>
          <w:szCs w:val="20"/>
          <w:lang w:val="es-MX"/>
        </w:rPr>
      </w:pPr>
      <w:r w:rsidRPr="00E431EB">
        <w:rPr>
          <w:szCs w:val="20"/>
          <w:lang w:val="es-MX"/>
        </w:rPr>
        <w:t>83. Por otra parte, la CDPD establece los siguientes principios rectores en la materia: i) el respeto de la dignidad inherente, la autonomía individual, incluida la libertad de tomar las propias decisiones, y la independencia de las personas; ii) la no discriminación; iii) la participación e inclusión plenas y efectivas en la sociedad; iv) el respeto por la diferencia y la aceptación de las personas con discapacidad como parte de la diversidad y la condición humanas; v) la igualdad de oportunidades; vi) la accesibilidad; vii) la igualdad entre el hombre y la mujer, y viii) el respeto a la evolución de las facultades de los niños y las niñas con discapacidad y de su derecho a preservar su identidad. Dicha Convención fue ratificada por Ecuador el 3 de abril de 2008.</w:t>
      </w:r>
    </w:p>
    <w:p w14:paraId="7A27B28D" w14:textId="02DC5954" w:rsidR="007269CF" w:rsidRPr="00E431EB" w:rsidRDefault="007269CF" w:rsidP="00E431EB">
      <w:pPr>
        <w:rPr>
          <w:szCs w:val="20"/>
          <w:lang w:val="es-MX"/>
        </w:rPr>
      </w:pPr>
      <w:r w:rsidRPr="00E431EB">
        <w:rPr>
          <w:szCs w:val="20"/>
          <w:lang w:val="es-MX"/>
        </w:rPr>
        <w:t>84. La CIADDIS define el término “discapacidad” como “una deficiencia física, mental o sensorial, ya sea de naturaleza permanente o temporal, que limita la capacidad de ejercer una o más actividades esenciales de la vida diaria, que puede ser causada o agravada por el entorno económico y social”. Por su parte, la CDPD establece que las personas con discapacidad “incluyen a aquellas que tengan deficiencias físicas, mentales, intelectuales o sensoriales a largo plazo que, al interactuar con diversas barreras, puedan impedir su participación plena y efectiva en la sociedad, en igualdad de condiciones con las demás”.</w:t>
      </w:r>
    </w:p>
    <w:p w14:paraId="5FF9BC23" w14:textId="33DB3238" w:rsidR="007269CF" w:rsidRPr="00E431EB" w:rsidRDefault="007269CF" w:rsidP="00E431EB">
      <w:pPr>
        <w:rPr>
          <w:szCs w:val="20"/>
          <w:lang w:val="es-MX"/>
        </w:rPr>
      </w:pPr>
      <w:r w:rsidRPr="00E431EB">
        <w:rPr>
          <w:szCs w:val="20"/>
          <w:lang w:val="es-MX"/>
        </w:rPr>
        <w:t>85. Al respecto, la Corte observa que, en las mencionadas Convenciones se tiene en cuenta el modelo social para abordar la discapacidad, lo cual implica que la discapacidad no se define exclusivamente por la presencia de una deficiencia física, mental, intelectual o sensorial, sino que se interrelaciona con las barreras o limitaciones que socialmente existen para que las personas puedan ejercer sus derechos de manera efectiva. Los tipos de límites o barreras que comúnmente encuentran las personas con diversidad funcional en la sociedad, son, entre otras, barreras físicas o arquitectónicas, comunicativas, actitudinales o socioeconómicas.</w:t>
      </w:r>
    </w:p>
    <w:p w14:paraId="2F2EA87B" w14:textId="58F74626" w:rsidR="007269CF" w:rsidRPr="00E431EB" w:rsidRDefault="007269CF" w:rsidP="00E431EB">
      <w:pPr>
        <w:rPr>
          <w:szCs w:val="20"/>
          <w:lang w:val="es-MX"/>
        </w:rPr>
      </w:pPr>
      <w:r w:rsidRPr="00E431EB">
        <w:rPr>
          <w:szCs w:val="20"/>
          <w:lang w:val="es-MX"/>
        </w:rPr>
        <w:t>86. En cumplimiento de los deberes de protección especiales del Estado respecto de toda persona que se encuentre en una situación de vulnerabilidad, es imperativa la adopción de medidas positivas, determinables en función de las particulares necesidades de protección del sujeto de derecho, ya sea por su condición personal o por la situación específica en que se encuentre, como la discapacidad. En este sentido, es obligación de los Estados propender por la inclusión de las personas con discapacidad por medio de la igualdad de condiciones,</w:t>
      </w:r>
      <w:r>
        <w:rPr>
          <w:szCs w:val="20"/>
          <w:lang w:val="es-MX"/>
        </w:rPr>
        <w:t xml:space="preserve"> </w:t>
      </w:r>
      <w:r w:rsidRPr="00E431EB">
        <w:rPr>
          <w:szCs w:val="20"/>
          <w:lang w:val="es-MX"/>
        </w:rPr>
        <w:t>oportunidades y participación en todas las esferas de la sociedad, con el fin de garantizar que las limitaciones normativas o de facto sean desmanteladas. Por tanto, es necesario que los Estados promuevan prácticas de inclusión social y adopten medidas de diferenciación positiva para remover dichas barreras.</w:t>
      </w:r>
    </w:p>
    <w:p w14:paraId="2C024848" w14:textId="210AB02C" w:rsidR="007269CF" w:rsidRPr="00E431EB" w:rsidRDefault="007269CF" w:rsidP="00E431EB">
      <w:pPr>
        <w:rPr>
          <w:szCs w:val="20"/>
          <w:lang w:val="es-MX"/>
        </w:rPr>
      </w:pPr>
      <w:r w:rsidRPr="00E431EB">
        <w:rPr>
          <w:szCs w:val="20"/>
          <w:lang w:val="es-MX"/>
        </w:rPr>
        <w:t>87. La Corte considera que las personas con discapacidad a menudo son objeto de discriminación a raíz de su condición, por lo que los Estados deben adoptar las medidas de carácter legislativo, social, educativo, laboral o de cualquier otra índole, necesarias para que toda discriminación asociada con las discapacidades sea eliminada, y para propiciar la plena integración de esas personas en la sociedad. En este sentido, el Comité de Derechos Económicos, Sociales y Culturales ha resaltado la obligación de tomar medidas especiales, “en toda la medida que se lo permitan los recursos disponibles, para lograr que [las personas con discapacidad] procuren superar los inconvenientes, en términos del disfrute de los derechos especificados en el Pacto, derivados de su discapacidad”.</w:t>
      </w:r>
    </w:p>
    <w:p w14:paraId="6E9BC493" w14:textId="77777777" w:rsidR="007269CF" w:rsidRPr="00E431EB" w:rsidRDefault="007269CF" w:rsidP="00E431EB">
      <w:pPr>
        <w:rPr>
          <w:szCs w:val="20"/>
          <w:lang w:val="es-MX"/>
        </w:rPr>
      </w:pPr>
      <w:r w:rsidRPr="00E431EB">
        <w:rPr>
          <w:szCs w:val="20"/>
          <w:lang w:val="es-MX"/>
        </w:rPr>
        <w:lastRenderedPageBreak/>
        <w:t>88. Sobre este punto, la CDPD establece que la discriminación por motivos de discapacidad también ocurre cuando se deniegan los ajustes razonables. Dicha Convención definió como ajustes razonables:</w:t>
      </w:r>
    </w:p>
    <w:p w14:paraId="68D1341C" w14:textId="045D3FC3" w:rsidR="007269CF" w:rsidRPr="00E431EB" w:rsidRDefault="007269CF" w:rsidP="00596C35">
      <w:pPr>
        <w:pStyle w:val="Citacuerpo"/>
        <w:rPr>
          <w:lang w:val="es-MX"/>
        </w:rPr>
      </w:pPr>
      <w:r w:rsidRPr="00E431EB">
        <w:rPr>
          <w:lang w:val="es-MX"/>
        </w:rPr>
        <w:t>[L]as modificaciones y adaptaciones necesarias y adecuadas que no impongan una carga desproporcionada o indebida, cuando se requieran en un caso particular, para garantizar a las personas con discapacidad el goce o ejercicio, en igualdad de condiciones con las demás, de todos los derechos humanos y libertades fundamentales.</w:t>
      </w:r>
    </w:p>
    <w:p w14:paraId="3CC907FD" w14:textId="2DAE7D98" w:rsidR="007269CF" w:rsidRPr="00E431EB" w:rsidRDefault="007269CF" w:rsidP="00E431EB">
      <w:pPr>
        <w:rPr>
          <w:szCs w:val="20"/>
          <w:lang w:val="es-MX"/>
        </w:rPr>
      </w:pPr>
      <w:r w:rsidRPr="00E431EB">
        <w:rPr>
          <w:szCs w:val="20"/>
          <w:lang w:val="es-MX"/>
        </w:rPr>
        <w:t>89. La Corte advierte que estos estándares también se encontraban establecidos en la Constitución de Ecuador de 1998, vigente al momento de la ocurrencia de los hechos, la cual señala que se dará “atención prioritaria, preferente y especializada” a las personas con discapacidad, por considerarlo un grupo vulnerable, así como que:</w:t>
      </w:r>
    </w:p>
    <w:p w14:paraId="07444B62" w14:textId="77777777" w:rsidR="007269CF" w:rsidRPr="00E431EB" w:rsidRDefault="007269CF" w:rsidP="00596C35">
      <w:pPr>
        <w:pStyle w:val="Citacuerpo"/>
        <w:rPr>
          <w:lang w:val="es-MX"/>
        </w:rPr>
      </w:pPr>
      <w:r w:rsidRPr="00E431EB">
        <w:rPr>
          <w:lang w:val="es-MX"/>
        </w:rPr>
        <w:t>Artículo 53.- El Estado garantizará la prevención de las discapacidades y la atención y rehabilitación integral de las personas con discapacidad, en especial en casos de indigencia. Conjuntamente con la sociedad y la familia, asumirá la responsabilidad de su integración social y equiparación de oportunidades.</w:t>
      </w:r>
    </w:p>
    <w:p w14:paraId="477809AD" w14:textId="66676C1C" w:rsidR="007269CF" w:rsidRPr="00E431EB" w:rsidRDefault="007269CF" w:rsidP="00596C35">
      <w:pPr>
        <w:pStyle w:val="Citacuerpo"/>
        <w:rPr>
          <w:lang w:val="es-MX"/>
        </w:rPr>
      </w:pPr>
      <w:r w:rsidRPr="00E431EB">
        <w:rPr>
          <w:lang w:val="es-MX"/>
        </w:rPr>
        <w:t>El Estado establecerá medidas que garanticen a las personas con discapacidad, la utilización de bienes y servicios, especialmente en las áreas de salud, educación, capacitación, inserción laboral y recreación; y medidas que eliminen las barreras de comunicación, así como las urbanísticas, arquitectónicas y de accesibilidad al transporte, que dificulten su movilización. Los municipios tendrán la obligación de adoptar estas medidas en el ámbito de sus atribuciones y circunscripciones. Las personas con discapacidad tendrán tratamiento preferente en la obtención de créditos, exenciones y rebajas tributarias, de conformidad con la ley. Se reconoce el derecho de las personas</w:t>
      </w:r>
      <w:r>
        <w:rPr>
          <w:lang w:val="es-MX"/>
        </w:rPr>
        <w:t xml:space="preserve"> </w:t>
      </w:r>
      <w:r w:rsidRPr="00E431EB">
        <w:rPr>
          <w:lang w:val="es-MX"/>
        </w:rPr>
        <w:t>con discapacidad, a la comunicación por medio de formas alternativas, como la lengua de señas ecuatoriana para sordos, oralismo, el sistema Braille y otras.</w:t>
      </w:r>
    </w:p>
    <w:p w14:paraId="631817C0" w14:textId="5E2884C8" w:rsidR="007269CF" w:rsidRPr="00E431EB" w:rsidRDefault="007269CF" w:rsidP="00E431EB">
      <w:pPr>
        <w:rPr>
          <w:szCs w:val="20"/>
          <w:lang w:val="es-MX"/>
        </w:rPr>
      </w:pPr>
      <w:r w:rsidRPr="00E431EB">
        <w:rPr>
          <w:szCs w:val="20"/>
          <w:lang w:val="es-MX"/>
        </w:rPr>
        <w:t>90. Por otra parte, esta Corte advierte que los hechos del presente caso ocurrieron mientras el señor Guachalá Chimbo se encontraba institucionalizado en un hospital psiquiátrico. Al respecto, este Tribunal resalta que, en los entornos institucionales, ya sea en hospitales públicos o privados, el personal médico encargado del cuidado de los pacientes, ejerce un fuerte control o dominio sobre las personas que se encuentran sujetas a su custodia. Este desequilibrio intrínseco de poder entre una persona internada y las personas que tienen la autoridad, se multiplica muchas veces en las instituciones psiquiátricas. Lo anterior exige que, en caso de que existan hospitales psiquiátricos, los Estados deben ejercer una estricta vigilancia sobre dichos establecimientos. Los Estados tienen el deber de supervisar y garantizar que en toda institución psiquiátrica, pública o privada, sea preservado el derecho de los pacientes de recibir un tratamiento digno, humano y profesional, y de ser protegidos contra la explotación, el abuso y la degradación.</w:t>
      </w:r>
    </w:p>
    <w:p w14:paraId="2636092A" w14:textId="1862EB40" w:rsidR="007269CF" w:rsidRDefault="007269CF" w:rsidP="00E431EB">
      <w:pPr>
        <w:rPr>
          <w:szCs w:val="20"/>
          <w:lang w:val="es-MX"/>
        </w:rPr>
      </w:pPr>
      <w:r w:rsidRPr="00E431EB">
        <w:rPr>
          <w:szCs w:val="20"/>
          <w:lang w:val="es-MX"/>
        </w:rPr>
        <w:t xml:space="preserve">91. Adicionalmente, se advierte que un peritaje del entorno social realizado por la Fiscalía de Pichincha determinó que la familia del señor Guachalá Chimbo “no tiene ingresos suficientes que les permita cubrir sus necesidades básicas, como manutención, salud, vivienda [y] recreación”. Además, la falta de recursos económico impedía que la presunta víctima tuviese acceso a las medicinas que necesitaba para tratar la epilepsia. En este sentido, la Corte considera que en el caso de Luis Eduardo Guachalá Chimbó, de verificarse los distintos motivos de discriminación alegados en este caso, habrían confluido en forma interseccional distintos factores de vulnerabilidad o fuentes de discriminación asociados a su condición de persona con discapacidad y la posición económica por la situación de pobreza extrema en la que vivía. Al respecto, la Corte resalta que, la falta de recursos económicos puede </w:t>
      </w:r>
      <w:r w:rsidRPr="00E431EB">
        <w:rPr>
          <w:szCs w:val="20"/>
          <w:lang w:val="es-MX"/>
        </w:rPr>
        <w:lastRenderedPageBreak/>
        <w:t>dificultar o imposibilitar el acceso a la atención médica necesaria para prevenir posibles discapacidades o para la prevención y reducción de la aparición de nuevas discapacidades. En razón de lo anterior, este Tribunal ha señalado que entre las medidas positivas a cargo de los Estados para las personas con discapacidad que viven en situación de pobreza se encuentran aquellas necesarias para prevenir todas las formas de discapacidad prevenibles, y otorgar a las personas con discapacidad el tratamiento preferencial apropiado a su condición.</w:t>
      </w:r>
    </w:p>
    <w:p w14:paraId="25E7AD06" w14:textId="0C54E7CE" w:rsidR="007269CF" w:rsidRDefault="007269CF" w:rsidP="005248DD">
      <w:pPr>
        <w:pStyle w:val="PrrafodeSentencia"/>
        <w:rPr>
          <w:lang w:val="es-MX"/>
        </w:rPr>
      </w:pPr>
      <w:r>
        <w:rPr>
          <w:lang w:val="es-MX"/>
        </w:rPr>
        <w:t>[Consentimiento Informado]</w:t>
      </w:r>
    </w:p>
    <w:p w14:paraId="5596D91B" w14:textId="3484B851" w:rsidR="007269CF" w:rsidRPr="005248DD" w:rsidRDefault="007269CF" w:rsidP="005248DD">
      <w:pPr>
        <w:rPr>
          <w:szCs w:val="20"/>
          <w:lang w:val="es-MX"/>
        </w:rPr>
      </w:pPr>
      <w:r w:rsidRPr="005248DD">
        <w:rPr>
          <w:szCs w:val="20"/>
          <w:lang w:val="es-MX"/>
        </w:rPr>
        <w:t>116. En este sentido, el reconocimiento de la personalidad jurídica de las personas con discapacidad implica no negar su capacidad jurídica y proporcionar acceso el apoyo que la</w:t>
      </w:r>
      <w:r>
        <w:rPr>
          <w:szCs w:val="20"/>
          <w:lang w:val="es-MX"/>
        </w:rPr>
        <w:t xml:space="preserve"> </w:t>
      </w:r>
      <w:r w:rsidRPr="005248DD">
        <w:rPr>
          <w:szCs w:val="20"/>
          <w:lang w:val="es-MX"/>
        </w:rPr>
        <w:t>persona pueda necesitar para tomar decisiones con efectos jurídicos. Un modelo social de la discapacidad, “basado en derechos humanos implica pasar del paradigma de la sustitución en la adopción de decisiones a uno basado en el apoyo para tomarlas”.</w:t>
      </w:r>
    </w:p>
    <w:p w14:paraId="1713C7EA" w14:textId="1368E6A2" w:rsidR="007269CF" w:rsidRPr="005248DD" w:rsidRDefault="007269CF" w:rsidP="005248DD">
      <w:pPr>
        <w:rPr>
          <w:szCs w:val="20"/>
          <w:lang w:val="es-MX"/>
        </w:rPr>
      </w:pPr>
      <w:r w:rsidRPr="005248DD">
        <w:rPr>
          <w:szCs w:val="20"/>
          <w:lang w:val="es-MX"/>
        </w:rPr>
        <w:t>117. La capacidad jurídica adquiere una importancia especial para las personas con discapacidad cuando tienen que tomar decisiones fundamentales en lo que respecta a su salud. En este sentido, someter a una persona con discapacidad a un tratamiento de salud sin su consentimiento informado puede constituir una negación de su personalidad jurídica.</w:t>
      </w:r>
    </w:p>
    <w:p w14:paraId="6CE90D15" w14:textId="6363A8C4" w:rsidR="007269CF" w:rsidRPr="005248DD" w:rsidRDefault="007269CF" w:rsidP="005248DD">
      <w:pPr>
        <w:rPr>
          <w:szCs w:val="20"/>
          <w:lang w:val="es-MX"/>
        </w:rPr>
      </w:pPr>
      <w:r w:rsidRPr="005248DD">
        <w:rPr>
          <w:szCs w:val="20"/>
          <w:lang w:val="es-MX"/>
        </w:rPr>
        <w:t xml:space="preserve">118. El consentimiento informado del paciente es una condición </w:t>
      </w:r>
      <w:r w:rsidRPr="00DB5A6A">
        <w:rPr>
          <w:i/>
          <w:iCs/>
          <w:szCs w:val="20"/>
          <w:lang w:val="es-MX"/>
        </w:rPr>
        <w:t>sine qua non</w:t>
      </w:r>
      <w:r w:rsidRPr="005248DD">
        <w:rPr>
          <w:szCs w:val="20"/>
          <w:lang w:val="es-MX"/>
        </w:rPr>
        <w:t xml:space="preserve"> para la práctica médica, el cual se basa en el respeto a su autonomía y su libertad para tomar sus propias decisiones de acuerdo a su plan de existencia. En otras palabras, el consentimiento informado asegura el efecto útil de la norma que reconoce la autonomía como elemento indisoluble de la dignidad de la persona.</w:t>
      </w:r>
    </w:p>
    <w:p w14:paraId="43A7DDDB" w14:textId="3DFA815B" w:rsidR="007269CF" w:rsidRPr="005248DD" w:rsidRDefault="007269CF" w:rsidP="005248DD">
      <w:pPr>
        <w:rPr>
          <w:szCs w:val="20"/>
          <w:lang w:val="es-MX"/>
        </w:rPr>
      </w:pPr>
      <w:r w:rsidRPr="005248DD">
        <w:rPr>
          <w:szCs w:val="20"/>
          <w:lang w:val="es-MX"/>
        </w:rPr>
        <w:t>119. Los Estados tienen la obligación internacional de asegurar la obtención del consentimiento informado antes de la realización de cualquier acto médico, ya que éste se fundamenta principalmente en la autonomía y la auto-determinación del individuo, como parte del respeto y garantía de la dignidad de todo ser humano, así como en su derecho a la libertad. El consentimiento informado consiste “en una decisión previa de aceptar o someterse a un acto médico en sentido amplio, obtenida de manera libre, es decir sin amenazas ni coerción, inducción o alicientes impropios, manifestada con posterioridad a la obtención de información adecuada, completa, fidedigna, comprensible y accesible, siempre que esta información haya sido realmente comprendida, lo que permitirá el consentimiento pleno del individuo”. Esta regla no solo consiste en un acto de aceptación, sino en el resultado de un proceso en el cual deben cumplirse los siguientes elementos para que sea considerado válido, a saber que sea previo, libre, pleno e informado. En este sentido, los prestadores de salud deberán informar al paciente, al menos, sobre: i) la evaluación del diagnóstico; ii) el objetivo, método, duración probable, beneficios y riesgos esperados del tratamiento propuesto; iii) los posibles efectos desfavorables del tratamiento propuesto; iv) las alternativas de tratamiento, incluyendo aquellas menos intrusivas, y el posible dolor o malestar, riesgos, beneficios y efectos secundarios del tratamiento alternativo propuesto; v) las consecuencias de los tratamientos, y vi) lo que se estima ocurrirá antes, durante y después del tratamiento</w:t>
      </w:r>
      <w:r>
        <w:rPr>
          <w:szCs w:val="20"/>
          <w:lang w:val="es-MX"/>
        </w:rPr>
        <w:t>.</w:t>
      </w:r>
    </w:p>
    <w:p w14:paraId="01F7D2C6" w14:textId="3E749FD7" w:rsidR="007269CF" w:rsidRPr="005248DD" w:rsidRDefault="007269CF" w:rsidP="005248DD">
      <w:pPr>
        <w:rPr>
          <w:szCs w:val="20"/>
          <w:lang w:val="es-MX"/>
        </w:rPr>
      </w:pPr>
      <w:r w:rsidRPr="005248DD">
        <w:rPr>
          <w:szCs w:val="20"/>
          <w:lang w:val="es-MX"/>
        </w:rPr>
        <w:t>120. Como regla general, el consentimiento es personal, en tanto debe ser brindado por quien se someterá al procedimiento. Este Tribunal resalta que la discapacidad real o percibida no</w:t>
      </w:r>
      <w:r>
        <w:rPr>
          <w:szCs w:val="20"/>
          <w:lang w:val="es-MX"/>
        </w:rPr>
        <w:t xml:space="preserve"> </w:t>
      </w:r>
      <w:r w:rsidRPr="005248DD">
        <w:rPr>
          <w:szCs w:val="20"/>
          <w:lang w:val="es-MX"/>
        </w:rPr>
        <w:t>debe ser entendida como una incapacidad para determinarse, y debe aplicarse la presunción de que las personas que padecen de discapacidades son capaces de expresar su voluntad, la que debe ser respetada por el personal médico y las autoridades. En efecto, la discapacidad de un paciente no debe utilizarse como justificación para no solicitar su consentimiento y acudir a un consentimiento por representación.</w:t>
      </w:r>
    </w:p>
    <w:p w14:paraId="1B5DAD9B" w14:textId="2D4133BC" w:rsidR="007269CF" w:rsidRPr="005248DD" w:rsidRDefault="007269CF" w:rsidP="005248DD">
      <w:pPr>
        <w:rPr>
          <w:szCs w:val="20"/>
          <w:lang w:val="es-MX"/>
        </w:rPr>
      </w:pPr>
      <w:r w:rsidRPr="005248DD">
        <w:rPr>
          <w:szCs w:val="20"/>
          <w:lang w:val="es-MX"/>
        </w:rPr>
        <w:lastRenderedPageBreak/>
        <w:t xml:space="preserve">121. Al tratar a personas con discapacidad, el personal médico deberá examinar la condición actual del paciente, y brindar el apoyo necesario para que este tome una decisión propia e informada. Esta obligación está expresamente incluida en la CDPD, pero también se desprende de obligaciones contenidas en la Convención Americana, incluyendo la obligación de no discriminar a las personas por su discapacidad, establecida en el artículo 1.1 de la Convención </w:t>
      </w:r>
      <w:r w:rsidR="005B7B62">
        <w:rPr>
          <w:szCs w:val="20"/>
          <w:lang w:val="es-MX"/>
        </w:rPr>
        <w:t>[...]</w:t>
      </w:r>
      <w:r w:rsidRPr="005248DD">
        <w:rPr>
          <w:szCs w:val="20"/>
          <w:lang w:val="es-MX"/>
        </w:rPr>
        <w:t>, así como de la propia Constitución del Ecuador de 1998. Al respecto, la Relatora Especial de Naciones Unidas sobre los Derechos de las Personas con Discapacidad ha señalado que:</w:t>
      </w:r>
    </w:p>
    <w:p w14:paraId="73D9C536" w14:textId="22A119E8" w:rsidR="007269CF" w:rsidRPr="005248DD" w:rsidRDefault="007269CF" w:rsidP="005248DD">
      <w:pPr>
        <w:pStyle w:val="Citacuerpo"/>
        <w:rPr>
          <w:lang w:val="es-MX"/>
        </w:rPr>
      </w:pPr>
      <w:r w:rsidRPr="005248DD">
        <w:rPr>
          <w:lang w:val="es-MX"/>
        </w:rPr>
        <w:t>El carácter universal de los derechos humanos obliga a los Estados a promover la plena efectividad de los derechos de todas las personas. Las personas con discapacidad deben gozar de todos los derechos humanos y todas las libertades fundamentales en igualdad de condiciones con las demás. El acceso a un apoyo adecuado es, sin lugar a dudas, una condición necesaria para que las personas con discapacidad puedan ejercer efectivamente sus derechos humanos en igualdad de condiciones con las demás y, de ese modo, vivir con dignidad y autonomía en la comunidad.</w:t>
      </w:r>
    </w:p>
    <w:p w14:paraId="046F986A" w14:textId="46FBD7E2" w:rsidR="007269CF" w:rsidRPr="005248DD" w:rsidRDefault="007269CF" w:rsidP="005248DD">
      <w:pPr>
        <w:rPr>
          <w:szCs w:val="20"/>
          <w:lang w:val="es-MX"/>
        </w:rPr>
      </w:pPr>
      <w:r w:rsidRPr="005248DD">
        <w:rPr>
          <w:szCs w:val="20"/>
          <w:lang w:val="es-MX"/>
        </w:rPr>
        <w:t>122. El Comité sobre los Derechos de las Personas con Discapacidad ha indicado que el apoyo que se debe otorgar a las personas con discapacidad “debe respetar los derechos, la voluntad y las preferencias de las personas con discapacidad y nunca debe consistir en decidir por ellas”. En este sentido, explicó que:</w:t>
      </w:r>
    </w:p>
    <w:p w14:paraId="304D6EA1" w14:textId="5B4F9B69" w:rsidR="007269CF" w:rsidRDefault="007269CF" w:rsidP="005248DD">
      <w:pPr>
        <w:pStyle w:val="Citacuerpo"/>
        <w:rPr>
          <w:lang w:val="es-MX"/>
        </w:rPr>
      </w:pPr>
      <w:r w:rsidRPr="005248DD">
        <w:rPr>
          <w:lang w:val="es-MX"/>
        </w:rPr>
        <w:t>‘Apoyo’ es un término amplio que engloba arreglos oficiales y oficiosos, de distintos tipos e intensidades. Por ejemplo, las personas con discapacidad pueden escoger a una o más personas de apoyo en las que confíen que les ayuden a ejercer su capacidad jurídica para determinados tipos de decisiones, o pueden recurrir a otras formas de apoyo, como la ayuda mutua, la promoción (incluido el apoyo a la autopromoción) o la asistencia para comunicarse.</w:t>
      </w:r>
    </w:p>
    <w:p w14:paraId="76185A58" w14:textId="70D33B24" w:rsidR="007269CF" w:rsidRPr="005248DD" w:rsidRDefault="007269CF" w:rsidP="005248DD">
      <w:pPr>
        <w:rPr>
          <w:szCs w:val="20"/>
          <w:lang w:val="es-MX"/>
        </w:rPr>
      </w:pPr>
      <w:r w:rsidRPr="005248DD">
        <w:rPr>
          <w:szCs w:val="20"/>
          <w:lang w:val="es-MX"/>
        </w:rPr>
        <w:t>123. En el caso de que sea una persona la encargada de prestar el apoyo, el personal médico y sanitario “debe velar por que se efectúe la consulta apropiada directamente con la persona con discapacidad y garantizar, en la medida de sus posibilidades, que los asistentes o personas encargadas de prestar apoyo no sustituyan a las personas con discapacidad en sus decisiones ni ejerzan una influencia indebida sobre ellas”.</w:t>
      </w:r>
    </w:p>
    <w:p w14:paraId="1F4EEA4E" w14:textId="7C537632" w:rsidR="007269CF" w:rsidRPr="005248DD" w:rsidRDefault="007269CF" w:rsidP="005248DD">
      <w:pPr>
        <w:rPr>
          <w:szCs w:val="20"/>
          <w:lang w:val="es-MX"/>
        </w:rPr>
      </w:pPr>
      <w:r w:rsidRPr="005248DD">
        <w:rPr>
          <w:szCs w:val="20"/>
          <w:lang w:val="es-MX"/>
        </w:rPr>
        <w:t>124. Adicionalmente, los Estados deben brindar a las personas con discapacidad la posibilidad de planificar anticipadamente su propio apoyo, especificando quien prestaría dicho apoyo y su funcionamiento. Esta planificación debe ser respetada cuando la persona con discapacidad llegara “a encontrarse en la imposibilidad de comunicar sus deseos a los demás”.</w:t>
      </w:r>
    </w:p>
    <w:p w14:paraId="140615DD" w14:textId="6A31D2AA" w:rsidR="007269CF" w:rsidRPr="005248DD" w:rsidRDefault="001710F6" w:rsidP="001710F6">
      <w:pPr>
        <w:pStyle w:val="Citacuerpo"/>
        <w:ind w:left="0"/>
        <w:jc w:val="left"/>
        <w:rPr>
          <w:lang w:val="es-MX"/>
        </w:rPr>
      </w:pPr>
      <w:r>
        <w:rPr>
          <w:lang w:val="es-MX"/>
        </w:rPr>
        <w:t>[...]</w:t>
      </w:r>
    </w:p>
    <w:p w14:paraId="48816E91" w14:textId="77777777" w:rsidR="007269CF" w:rsidRPr="005248DD" w:rsidRDefault="007269CF" w:rsidP="005248DD">
      <w:pPr>
        <w:rPr>
          <w:szCs w:val="20"/>
          <w:lang w:val="es-MX"/>
        </w:rPr>
      </w:pPr>
      <w:r w:rsidRPr="005248DD">
        <w:rPr>
          <w:szCs w:val="20"/>
          <w:lang w:val="es-MX"/>
        </w:rPr>
        <w:t>127. Esta Corte advierte que la Ley de Derechos del Paciente establecía el derecho de todo paciente de recibir información y decidir si aceptaba o declinaba el tratamiento médico. No obstante, la normativa del Hospital Julio Endara, vigente al momento de la internación del señor Guachalá Chimbo, no reconocía este derecho, sino que utilizaba un modelo de sustitución de voluntad, exigiendo el consentimiento del familiar o representante del paciente, y no del propio paciente. En efecto, la normativa no incluía la obligación de obtener el consentimiento informado del paciente, sino que establecía que este tenía derecho a ser informado “en términos razonables para su cabal comprensión, en el momento que el médico tratante lo considere prudente”. En este sentido, la propia normativa del hospital asumía un modelo de sustitución de voluntad, priorizando informar al familiar y no al paciente propiamente.</w:t>
      </w:r>
    </w:p>
    <w:p w14:paraId="287B7BC1" w14:textId="63292F63" w:rsidR="007269CF" w:rsidRPr="005248DD" w:rsidRDefault="007269CF" w:rsidP="005248DD">
      <w:pPr>
        <w:rPr>
          <w:szCs w:val="20"/>
          <w:lang w:val="es-MX"/>
        </w:rPr>
      </w:pPr>
      <w:r w:rsidRPr="005248DD">
        <w:rPr>
          <w:szCs w:val="20"/>
          <w:lang w:val="es-MX"/>
        </w:rPr>
        <w:lastRenderedPageBreak/>
        <w:t>128. Esta lógica paternalista del trato al paciente también se ve reflejada en el acta de autorización de internamiento empleada por el Hospital Julio Endara, la cual está redactada asumiendo que será un tercero quien autorizará la internación del paciente y establece “autorizamos a los médicos del hospital realizar los tratamientos que creyeren convenientes”, sin especificar siquiera cuáles serán los tratamientos a los que será sometida la persona.</w:t>
      </w:r>
    </w:p>
    <w:p w14:paraId="2447751B" w14:textId="77777777" w:rsidR="007269CF" w:rsidRPr="005248DD" w:rsidRDefault="007269CF" w:rsidP="005248DD">
      <w:pPr>
        <w:rPr>
          <w:szCs w:val="20"/>
          <w:lang w:val="es-MX"/>
        </w:rPr>
      </w:pPr>
      <w:r w:rsidRPr="005248DD">
        <w:rPr>
          <w:szCs w:val="20"/>
          <w:lang w:val="es-MX"/>
        </w:rPr>
        <w:t>129. Adicionalmente, el propio Estado en su contestación indicó que:</w:t>
      </w:r>
    </w:p>
    <w:p w14:paraId="6464460D" w14:textId="0F38568D" w:rsidR="007269CF" w:rsidRPr="005248DD" w:rsidRDefault="007269CF" w:rsidP="005248DD">
      <w:pPr>
        <w:pStyle w:val="Citacuerpo"/>
        <w:rPr>
          <w:lang w:val="es-MX"/>
        </w:rPr>
      </w:pPr>
      <w:r w:rsidRPr="005248DD">
        <w:rPr>
          <w:lang w:val="es-MX"/>
        </w:rPr>
        <w:t>El Estado ha reconocido técnicamente que el consentimiento informado es un proceso de comunicación y deliberación que forma parte de una relación de salud, en el que se encuentran los profesionales médicos y los pacientes, y en el que una persona de forma voluntaria acepta, niega o revoca una intervención o tratamiento de salud. Es obvio que en el caso de niñas, niños y adolescentes, y de personas con discapacidad, es la familia quien genera este consentimiento.</w:t>
      </w:r>
    </w:p>
    <w:p w14:paraId="4D8626B9" w14:textId="75685016" w:rsidR="007269CF" w:rsidRPr="005248DD" w:rsidRDefault="007269CF" w:rsidP="005248DD">
      <w:pPr>
        <w:rPr>
          <w:szCs w:val="20"/>
          <w:lang w:val="es-MX"/>
        </w:rPr>
      </w:pPr>
      <w:r w:rsidRPr="005248DD">
        <w:rPr>
          <w:szCs w:val="20"/>
          <w:lang w:val="es-MX"/>
        </w:rPr>
        <w:t>130. En el presente caso, al momento de internar al señor Guachalá Chimbo no se contó con su consentimiento, sino con el de su madre. No consta en el expediente si se dio al señor Guachalá Chimbo algún tipo de información relativa a su diagnóstico, al tratamiento que iba a recibir, los posibles efectos desfavorables, alternativas al mismo, duración probable del internamiento y del tratamiento, entre otros, ni tampoco que se haya intentado obtener su</w:t>
      </w:r>
      <w:r>
        <w:rPr>
          <w:szCs w:val="20"/>
          <w:lang w:val="es-MX"/>
        </w:rPr>
        <w:t xml:space="preserve"> </w:t>
      </w:r>
      <w:r w:rsidRPr="005248DD">
        <w:rPr>
          <w:szCs w:val="20"/>
          <w:lang w:val="es-MX"/>
        </w:rPr>
        <w:t>consentimiento para la internación y los tratamientos que recibiría. Tampoco consta que se haya tratado de utilizar algún mecanismo de apoyo para respetar la voluntad del señor Guachalá Chimbo. Además, tras obtener el consentimiento de su madre, la presunta víctima fue inmediatamente sedada, y no consta que en momento posterior se hayan tomado medidas para obtener su consentimiento.</w:t>
      </w:r>
    </w:p>
    <w:p w14:paraId="2E886D30" w14:textId="77777777" w:rsidR="007269CF" w:rsidRPr="005248DD" w:rsidRDefault="007269CF" w:rsidP="005248DD">
      <w:pPr>
        <w:rPr>
          <w:szCs w:val="20"/>
          <w:lang w:val="es-MX"/>
        </w:rPr>
      </w:pPr>
      <w:r w:rsidRPr="005248DD">
        <w:rPr>
          <w:szCs w:val="20"/>
          <w:lang w:val="es-MX"/>
        </w:rPr>
        <w:t>131. El Estado excusó dicha falencia argumentando que en el momento de la internación el señor Guachalá se encontraba en una “situación crítica y aguda”.</w:t>
      </w:r>
    </w:p>
    <w:p w14:paraId="42D18615" w14:textId="394CFF1A" w:rsidR="007269CF" w:rsidRPr="005248DD" w:rsidRDefault="007269CF" w:rsidP="005248DD">
      <w:pPr>
        <w:rPr>
          <w:szCs w:val="20"/>
          <w:lang w:val="es-MX"/>
        </w:rPr>
      </w:pPr>
      <w:r w:rsidRPr="005248DD">
        <w:rPr>
          <w:szCs w:val="20"/>
          <w:lang w:val="es-MX"/>
        </w:rPr>
        <w:t>132. Esta Corte ha establecido que existen excepciones donde es posible que el personal de salud actúe sin la exigencia del consentimiento, en casos en los que éste no pueda ser brindado por la persona y que sea necesario un tratamiento médico o quirúrgico inmediato, de urgencia o de emergencia, ante un grave riesgo contra la vida o la salud del paciente. El Tribunal ha considerado que la urgencia o emergencia se refiere a la inminencia de un riesgo y, por ende, a una situación en que la intervención es necesaria ya que no puede ser pospuesta, excluyendo aquellos casos en los que se puede esperar para obtener el consentimiento.</w:t>
      </w:r>
    </w:p>
    <w:p w14:paraId="7B119D94" w14:textId="29FEE66F" w:rsidR="007269CF" w:rsidRPr="005248DD" w:rsidRDefault="007269CF" w:rsidP="005248DD">
      <w:pPr>
        <w:rPr>
          <w:szCs w:val="20"/>
          <w:lang w:val="es-MX"/>
        </w:rPr>
      </w:pPr>
      <w:r w:rsidRPr="005248DD">
        <w:rPr>
          <w:szCs w:val="20"/>
          <w:lang w:val="es-MX"/>
        </w:rPr>
        <w:t>133. En el presente caso, el señor Guachalá Chimbo no estaba teniendo acceso a la medicación que necesitaba para controlar su enfermedad. Antes de ser internado estaba teniendo crisis epilépticas hasta cada media hora. Según lo declarado por la señora Chimbo, durante el traslado al hospital su hijo estaba consciente, ella le explicó que lo llevaba al hospital y el señor Guachalá Chimbo le indicó que estaba de acuerdo. De acuerdo a los registros del hospital, durante el examen físico realizado al ingresar se encontraba “mutista, poco colaborador para entrevista y examen físico”. En este sentido, una de las peritas señaló que la situación del señor Guachalá Chimbo al momento que fue llevado al Hospital Julio Endara era una emergencia psiquiátrica.</w:t>
      </w:r>
    </w:p>
    <w:p w14:paraId="6093349D" w14:textId="439C1897" w:rsidR="007269CF" w:rsidRPr="005248DD" w:rsidRDefault="007269CF" w:rsidP="005248DD">
      <w:pPr>
        <w:rPr>
          <w:szCs w:val="20"/>
          <w:lang w:val="es-MX"/>
        </w:rPr>
      </w:pPr>
      <w:r w:rsidRPr="005248DD">
        <w:rPr>
          <w:szCs w:val="20"/>
          <w:lang w:val="es-MX"/>
        </w:rPr>
        <w:t xml:space="preserve">134. Sobre este punto, el Comité sobre los Derechos de las Personas con Discapacidad ha indicado que, incluso en situaciones de crisis, se debe prestar apoyo a las personas con discapacidad, proporcionándose información exacta y accesible sobre las opciones de servicios disponibles y se ofreciéndose alternativas no médicas. Solo en caso de ausencia de medidas de planeación anticipada </w:t>
      </w:r>
      <w:r w:rsidR="005B7B62">
        <w:rPr>
          <w:szCs w:val="20"/>
          <w:lang w:val="es-MX"/>
        </w:rPr>
        <w:t>[...]</w:t>
      </w:r>
      <w:r w:rsidRPr="005248DD">
        <w:rPr>
          <w:szCs w:val="20"/>
          <w:lang w:val="es-MX"/>
        </w:rPr>
        <w:t xml:space="preserve">, y que después de realizar “un esfuerzo considerable” por obtener el consentimiento no sea posible </w:t>
      </w:r>
      <w:r w:rsidRPr="005248DD">
        <w:rPr>
          <w:szCs w:val="20"/>
          <w:lang w:val="es-MX"/>
        </w:rPr>
        <w:lastRenderedPageBreak/>
        <w:t>determinar la voluntad y las preferencias de una persona, es permisible la determinación de la “mejor interpretación posible de la voluntad y las preferencias”. Este último recurso “implica determinar lo que la persona habría deseado”, tomando en “las preferencias, los valores, las actitudes, los argumentos y los hechos anteriores, incluidas las formas de comunicación verbales o no verbales, de la persona concernida”. No constituye una determinación en función de su “interés superior”, ya que este no es una salvaguardia que cumpla con el respeto del derecho</w:t>
      </w:r>
      <w:r>
        <w:rPr>
          <w:szCs w:val="20"/>
          <w:lang w:val="es-MX"/>
        </w:rPr>
        <w:t xml:space="preserve"> </w:t>
      </w:r>
      <w:r w:rsidRPr="005248DD">
        <w:rPr>
          <w:szCs w:val="20"/>
          <w:lang w:val="es-MX"/>
        </w:rPr>
        <w:t>a la capacidad jurídica en relación con los adultos. Asimismo, de acuerdo al peritaje del señor Christian Courtis, en estos casos, “las autoridades tienen la obligación de dirigir su acción al restablecimiento de la capacidad de consentir, esta puede también considerarse una medida de apoyo”.</w:t>
      </w:r>
    </w:p>
    <w:p w14:paraId="0A5650FB" w14:textId="77777777" w:rsidR="007269CF" w:rsidRPr="005248DD" w:rsidRDefault="007269CF" w:rsidP="005248DD">
      <w:pPr>
        <w:rPr>
          <w:szCs w:val="20"/>
          <w:lang w:val="es-MX"/>
        </w:rPr>
      </w:pPr>
      <w:r w:rsidRPr="005248DD">
        <w:rPr>
          <w:szCs w:val="20"/>
          <w:lang w:val="es-MX"/>
        </w:rPr>
        <w:t>135. Tomando en cuenta la normativa aplicada por el Hospital Julio Endara al momento de los hechos, la redacción del acta de autorización y demás pruebas sobre el momento del internamiento de la presunta víctima, es claro para la Corte que en el presente caso el Estado no tomó ninguna medida para apoyar al señor Guachalá Chimbo para que pudiera prestar su consentimiento informado para la internación y tratamiento a los que fue sometido en el Hospital Julio Endara, al momento en que fue internado ni posteriormente. Esta falta de consentimiento constituyó una negación de su autonomía como persona, y de su capacidad de tomar decisiones respecto a sus derechos.</w:t>
      </w:r>
    </w:p>
    <w:p w14:paraId="2C6D5233" w14:textId="27ACE132" w:rsidR="007269CF" w:rsidRPr="005248DD" w:rsidRDefault="007269CF" w:rsidP="005248DD">
      <w:pPr>
        <w:rPr>
          <w:szCs w:val="20"/>
          <w:lang w:val="es-MX"/>
        </w:rPr>
      </w:pPr>
      <w:r w:rsidRPr="005248DD">
        <w:rPr>
          <w:szCs w:val="20"/>
          <w:lang w:val="es-MX"/>
        </w:rPr>
        <w:t>136. Por otra parte, la Corte no puede dejar de hacer notar que a la señora Chimbo tampoco se le explicó el diagnóstico de su hijo, cuál sería el tratamiento, su objetivo, el método, ni los posibles riesgos del mismo. Tampoco fueron señaladas otras alternativas al tratamiento propuesto. Por el contrario, la hoja de autorización simplemente señala que autorizaba “a los médicos del hospital realizar los tratamientos que creyeren convenientes”. Por tanto, la madre no consintió de forma informada al tratamiento al que fue sometido el señor Guachalá Chimbo.</w:t>
      </w:r>
    </w:p>
    <w:p w14:paraId="78F73E06" w14:textId="70073E93" w:rsidR="007269CF" w:rsidRPr="005248DD" w:rsidRDefault="007269CF" w:rsidP="005248DD">
      <w:pPr>
        <w:rPr>
          <w:szCs w:val="20"/>
          <w:lang w:val="es-MX"/>
        </w:rPr>
      </w:pPr>
      <w:r w:rsidRPr="005248DD">
        <w:rPr>
          <w:szCs w:val="20"/>
          <w:lang w:val="es-MX"/>
        </w:rPr>
        <w:t>137. Adicionalmente, esta Corte recuerda que el artículo 2 de la Convención obliga a los Estados Partes a adoptar, con arreglo a sus procedimientos constitucionales y a las disposiciones de la Convención, las medidas legislativas o de otro carácter que fueren necesarias para hacer efectivos los derechos y libertades protegidos por la Convención. Dicho deber implica la adopción de medidas en dos vertientes. Por una parte, la supresiónde las normas y prácticas de cualquier naturaleza que entrañen violación a las garantías previstas en la Convención, ya sea porque desconozcan esos derechos o libertades u obstaculicen su ejercicio. Por otra, la expedición de normas y el desarrollo de prácticas conducentes a la efectiva observancia de dichas garantías.</w:t>
      </w:r>
    </w:p>
    <w:p w14:paraId="401361AB" w14:textId="77777777" w:rsidR="007269CF" w:rsidRPr="005248DD" w:rsidRDefault="007269CF" w:rsidP="005248DD">
      <w:pPr>
        <w:rPr>
          <w:szCs w:val="20"/>
          <w:lang w:val="es-MX"/>
        </w:rPr>
      </w:pPr>
      <w:r w:rsidRPr="005248DD">
        <w:rPr>
          <w:szCs w:val="20"/>
          <w:lang w:val="es-MX"/>
        </w:rPr>
        <w:t>138. En el presente caso, la legislación aplicable no incluía la obligación de brindar los apoyos necesarios a las personas con discapacidad al momento de tomar decisiones respecto a su salud. La Corte advierte que, en virtud del artículo 2 de la Convención, el Estado estaba obligado a expedir las normas y prácticas necesarias para que se cumpliera con dicha garantía. Por tanto, existió una omisión del Estado en este sentido, la cual implicó a una violación del artículo 2 de la Convención.</w:t>
      </w:r>
    </w:p>
    <w:p w14:paraId="530CFB4C" w14:textId="35F858EE" w:rsidR="007269CF" w:rsidRDefault="007269CF" w:rsidP="005248DD">
      <w:pPr>
        <w:rPr>
          <w:szCs w:val="20"/>
          <w:lang w:val="es-MX"/>
        </w:rPr>
      </w:pPr>
      <w:r w:rsidRPr="005248DD">
        <w:rPr>
          <w:szCs w:val="20"/>
          <w:lang w:val="es-MX"/>
        </w:rPr>
        <w:t>139. En virtud de lo anterior, la internación y tratamiento médico recibido por el señor Guachalá Chimbo en el Hospital Julio Endara no contó con su consentimiento informado y, en</w:t>
      </w:r>
      <w:r>
        <w:rPr>
          <w:szCs w:val="20"/>
          <w:lang w:val="es-MX"/>
        </w:rPr>
        <w:t xml:space="preserve"> </w:t>
      </w:r>
      <w:r w:rsidRPr="005248DD">
        <w:rPr>
          <w:szCs w:val="20"/>
          <w:lang w:val="es-MX"/>
        </w:rPr>
        <w:t>consecuencia, el Estado violó el derecho del señor Guachalá a la salud, al reconocimiento de la personalidad jurídica, dignidad, vida privada, libertad personal y acceso a la información, en relación con el derecho a no ser discriminado y el deber de adoptar disposiciones de derecho interno.</w:t>
      </w:r>
    </w:p>
    <w:p w14:paraId="1378696C" w14:textId="62CCCAAA" w:rsidR="007269CF" w:rsidRDefault="007269CF" w:rsidP="0082746A">
      <w:pPr>
        <w:pStyle w:val="PrrafodeSentencia"/>
        <w:rPr>
          <w:lang w:val="es-MX"/>
        </w:rPr>
      </w:pPr>
      <w:r>
        <w:rPr>
          <w:lang w:val="es-MX"/>
        </w:rPr>
        <w:t>[Acceso atención de salud personas en situación de discapacidad]</w:t>
      </w:r>
    </w:p>
    <w:p w14:paraId="6269BBF7" w14:textId="42FFD88D" w:rsidR="007269CF" w:rsidRPr="00FF3F4C" w:rsidRDefault="007269CF" w:rsidP="00FF3F4C">
      <w:pPr>
        <w:rPr>
          <w:szCs w:val="20"/>
          <w:lang w:val="es-MX"/>
        </w:rPr>
      </w:pPr>
      <w:r w:rsidRPr="00FF3F4C">
        <w:rPr>
          <w:szCs w:val="20"/>
          <w:lang w:val="es-MX"/>
        </w:rPr>
        <w:t xml:space="preserve">143. La Corte resalta que los Estados deben proporcionar los servicios de salud necesarios para prevenir posibles discapacidades, así como prevenir y reducir al </w:t>
      </w:r>
      <w:r w:rsidRPr="00FF3F4C">
        <w:rPr>
          <w:szCs w:val="20"/>
          <w:lang w:val="es-MX"/>
        </w:rPr>
        <w:lastRenderedPageBreak/>
        <w:t>máximo la aparición de nuevas discapacidades. Dicha obligación también se encontraba incluida en el artículo 53 de la Constitución ecuatoriana vigente al momento de los hechos. De forma similar, el</w:t>
      </w:r>
      <w:r>
        <w:rPr>
          <w:szCs w:val="20"/>
          <w:lang w:val="es-MX"/>
        </w:rPr>
        <w:t xml:space="preserve"> </w:t>
      </w:r>
      <w:r w:rsidRPr="00FF3F4C">
        <w:rPr>
          <w:szCs w:val="20"/>
          <w:lang w:val="es-MX"/>
        </w:rPr>
        <w:t>Comité de Derechos Económicos, Sociales y Culturales ha establecido que respecto a las personas con discapacidad:</w:t>
      </w:r>
    </w:p>
    <w:p w14:paraId="0D5CD531" w14:textId="18436845" w:rsidR="007269CF" w:rsidRPr="00FF3F4C" w:rsidRDefault="007269CF" w:rsidP="00FF3F4C">
      <w:pPr>
        <w:pStyle w:val="Citacuerpo"/>
        <w:rPr>
          <w:lang w:val="es-MX"/>
        </w:rPr>
      </w:pPr>
      <w:r w:rsidRPr="00FF3F4C">
        <w:rPr>
          <w:lang w:val="es-MX"/>
        </w:rPr>
        <w:t>[E]n la medida en que se requiera un tratamiento especial, los Estados Partes han de adoptar medidas apropiadas, en toda la medida que se lo permitan los recursos disponibles, para lograr que dichas personas procuren superar los inconvenientes, en términos del disfrute de los derechos especificados en el Pacto, derivados de su discapacidad.</w:t>
      </w:r>
    </w:p>
    <w:p w14:paraId="3D6B5FD7" w14:textId="49849374" w:rsidR="007269CF" w:rsidRPr="00FF3F4C" w:rsidRDefault="007269CF" w:rsidP="00FF3F4C">
      <w:pPr>
        <w:rPr>
          <w:szCs w:val="20"/>
          <w:lang w:val="es-MX"/>
        </w:rPr>
      </w:pPr>
      <w:r w:rsidRPr="00FF3F4C">
        <w:rPr>
          <w:szCs w:val="20"/>
          <w:lang w:val="es-MX"/>
        </w:rPr>
        <w:t>144. Adicionalmente, la Convención sobre los Derechos de las Personas con Discapacidad establece, dentro de las obligaciones incluidas en el derecho a la salud, que los Estados “[p]roporcionarán los servicios de salud que necesiten las personas con discapacidad específicamente como consecuencia de su discapacidad, incluidas la pronta detección e intervención, cuando proceda, y servicios destinados a prevenir y reducir al máximo la aparición de nuevas discapacidades, incluidos los niños y las niñas y las personas mayores”.</w:t>
      </w:r>
    </w:p>
    <w:p w14:paraId="5B4886EE" w14:textId="0722C96A" w:rsidR="007269CF" w:rsidRPr="00FF3F4C" w:rsidRDefault="007269CF" w:rsidP="00FF3F4C">
      <w:pPr>
        <w:rPr>
          <w:szCs w:val="20"/>
          <w:lang w:val="es-MX"/>
        </w:rPr>
      </w:pPr>
      <w:r w:rsidRPr="00FF3F4C">
        <w:rPr>
          <w:szCs w:val="20"/>
          <w:lang w:val="es-MX"/>
        </w:rPr>
        <w:t>145. Lo anterior se relaciona con el derecho de las personas con discapacidad a vivir de forma independiente y a ser incluidas en la comunidad. En este sentido, los Estados deben de tomar medidas “para que las personas con discapacidad puedan lograr y mantener la máxima independencia, capacidad física, mental, social y vocacional, y la inclusión y participación plena en todos los aspectos de la vida”.</w:t>
      </w:r>
    </w:p>
    <w:p w14:paraId="086D51C6" w14:textId="0C6597E7" w:rsidR="007269CF" w:rsidRPr="00FF3F4C" w:rsidRDefault="007269CF" w:rsidP="00FF3F4C">
      <w:pPr>
        <w:rPr>
          <w:szCs w:val="20"/>
          <w:lang w:val="es-MX"/>
        </w:rPr>
      </w:pPr>
      <w:r w:rsidRPr="00FF3F4C">
        <w:rPr>
          <w:szCs w:val="20"/>
          <w:lang w:val="es-MX"/>
        </w:rPr>
        <w:t>146. De acuerdo a la Organización Mundial de la Salud, se estima que el 70% de las personas con epilepsia podrían vivir sin convulsiones si se diagnosticaran y trataran adecuadamente. Adicionalmente, la perita Claudia Chávez Ledesma, señaló que cuando no hay una buena adherencia terapéutica o múltiples cambios en la medicación hay más posibilidad de trastornos neuroconductuales asociados a la epilepsia. Explicó que “si uno pretende que el paciente no se deteriore cognitivamente se tiene que hacer un tratamiento exhaustivo, emergente y continuo con medicación anticonvulsiva”. Por tanto, la medicación de las personas con epilepsia es fundamental para prevenir y reducir las convulsiones, así como los trastornos neuroconductuales asociados con la epilepsia. En este sentido, el tratamiento adecuado de la epilepsia reduce la posibilidad de que la persona que padece de dicha enfermedad desarrolle una discapacidad.</w:t>
      </w:r>
    </w:p>
    <w:p w14:paraId="6587D224" w14:textId="3E63B8BD" w:rsidR="007269CF" w:rsidRDefault="007269CF" w:rsidP="00FF3F4C">
      <w:pPr>
        <w:rPr>
          <w:szCs w:val="20"/>
          <w:lang w:val="es-MX"/>
        </w:rPr>
      </w:pPr>
      <w:r w:rsidRPr="00FF3F4C">
        <w:rPr>
          <w:szCs w:val="20"/>
          <w:lang w:val="es-MX"/>
        </w:rPr>
        <w:t>148. Este Tribunal recuerda que el cumplimiento de la obligación del Estado de respetar y garantizar el derecho a la salud deberá dar especial cuidado a las personas en situación de pobreza. En este sentido, los Estados deberán tomar medidas para que los tratamientos necesarios para prevenir discapacidades no sean una carga desproporcionada para los hogares más pobres.</w:t>
      </w:r>
    </w:p>
    <w:p w14:paraId="1FA7DC5B" w14:textId="02499B2D" w:rsidR="007269CF" w:rsidRPr="00FF3F4C" w:rsidRDefault="007269CF" w:rsidP="00FF3F4C">
      <w:pPr>
        <w:rPr>
          <w:szCs w:val="20"/>
          <w:lang w:val="es-MX"/>
        </w:rPr>
      </w:pPr>
      <w:r w:rsidRPr="00FF3F4C">
        <w:rPr>
          <w:szCs w:val="20"/>
          <w:lang w:val="es-MX"/>
        </w:rPr>
        <w:t xml:space="preserve">149. En el presente caso, la Corte observa que: 1) en la legislación ecuatoriana se establecía la obligación estatal de tratar de forma preferente a las personas con discapacidad, y la obligación de garantizar la prevención de las discapacidades; 2) el señor Guachalá Chimbo se encontraba en una situación de extrema vulnerabilidad, dada por la enfermedad que padecía y la situación de pobreza extrema de su familia; 3) la falta de acceso al tratamiento de la epilepsia aumenta la posibilidad de que se produzca una discapacidad de las personas que padecen dicha enfermedad y disminuye su autonomía y posibilidad de elegir y controlar su modo de vida, y 4) los tratamientos para la epilepsia no son costosos, ya que de acuerdo a la Organización Mundial de la Salud, hay tratamientos diarios para la epilepsia que pueden costar cinco dólares al año. Por tanto, la Corte considera que, en virtud de las circunstancias del caso, la garantía reforzada del derecho a la salud del señor Guachalá Chimbo requería del proveimiento gratuito de los medicamentos prescritos para su </w:t>
      </w:r>
      <w:r w:rsidRPr="00FF3F4C">
        <w:rPr>
          <w:szCs w:val="20"/>
          <w:lang w:val="es-MX"/>
        </w:rPr>
        <w:lastRenderedPageBreak/>
        <w:t>tratamiento médico y el seguimiento médico adecuado. La falta de seguimiento y de acceso a dichos medicamentos de forma oportuna, causó el empeoramiento de la salud del señor Guachalá Chimbo y tornó necesario su internación en el Hospital Julio Endara y, por tanto, generó las circunstancias en las cuales ocurrieron los hechos del presente caso.</w:t>
      </w:r>
    </w:p>
    <w:p w14:paraId="12B3058B" w14:textId="4CECE28E" w:rsidR="007269CF" w:rsidRDefault="007269CF" w:rsidP="00FF3F4C">
      <w:pPr>
        <w:rPr>
          <w:szCs w:val="20"/>
          <w:lang w:val="es-MX"/>
        </w:rPr>
      </w:pPr>
      <w:r w:rsidRPr="00FF3F4C">
        <w:rPr>
          <w:szCs w:val="20"/>
          <w:lang w:val="es-MX"/>
        </w:rPr>
        <w:t>150. En virtud de lo anterior, la Corte considera que la falta de acceso a las medicinas requeridas por el señor Guachalá Chimbo constituyó un incumplimiento de la obligación de asegurar que los servicios de salud sean accesibles, y, por ende, una violación del derecho a la salud.</w:t>
      </w:r>
    </w:p>
    <w:p w14:paraId="4C1F61C9" w14:textId="400C36DE" w:rsidR="007269CF" w:rsidRDefault="007269CF" w:rsidP="00FB45C5">
      <w:pPr>
        <w:rPr>
          <w:szCs w:val="20"/>
          <w:lang w:val="es-MX"/>
        </w:rPr>
      </w:pPr>
      <w:r w:rsidRPr="00FF3F4C">
        <w:rPr>
          <w:szCs w:val="20"/>
          <w:lang w:val="es-MX"/>
        </w:rPr>
        <w:t>151. El derecho a la salud requiere que los servicios prestados sean aceptables, es decir “concebidos para mejorar el estado de salud de las personas que se trate”, así como “apropiados desde el punto de vista científico y médico y ser de buena calidad”. Por otra parte, esta Corte ha señalado que el Estado es responsable, en su condición de garante de los derechos consagrados en la Convención, de la observancia del derecho a la integridad personal</w:t>
      </w:r>
      <w:r>
        <w:rPr>
          <w:szCs w:val="20"/>
          <w:lang w:val="es-MX"/>
        </w:rPr>
        <w:t xml:space="preserve"> </w:t>
      </w:r>
      <w:r w:rsidRPr="00FF3F4C">
        <w:rPr>
          <w:szCs w:val="20"/>
          <w:lang w:val="es-MX"/>
        </w:rPr>
        <w:t>de todo individuo que se halla bajo su custodia. Lo anterior se aplica de forma especial a las personas que se encuentran recibiendo atención médica, ya que la finalidad última de la prestación de servicios de salud es la mejoría de la condición de salud física o mental del paciente, lo que incrementa significativamente las obligaciones del Estado, y le exige la adopción de las medidas disponibles y necesarias para impedir el deterioro de la condición del paciente y optimizar su salud. Asimismo, la Corte resalta que los cuidados de que son titulares todas las personas que se encuentran recibiendo atención médica, alcanzan su máxima exigencia cuando se refieren a pacientes con discapacidad que se encuentran en instituciones psiquiátricas, sin que lo anterior implique suplantar la capacidad jurídica de la persona internada. El deber de cuidado está relacionado con los elementos de aceptabilidad y calidad del derecho a la salud.</w:t>
      </w:r>
    </w:p>
    <w:p w14:paraId="2FA1CB53" w14:textId="7088C4A4" w:rsidR="00160F25" w:rsidRDefault="00160F25" w:rsidP="00160F25">
      <w:pPr>
        <w:pStyle w:val="Caso"/>
        <w:rPr>
          <w:lang w:val="es-MX"/>
        </w:rPr>
      </w:pPr>
      <w:r w:rsidRPr="00160F25">
        <w:rPr>
          <w:lang w:val="es-MX"/>
        </w:rPr>
        <w:t>Corte IDH. Caso Vera Rojas y otros Vs. Chile. Excepciones preliminares, Fondo, Reparaciones y Costas. Sentencia de 1 de octubre de 2021. Serie C No. 439</w:t>
      </w:r>
    </w:p>
    <w:p w14:paraId="3B958F24" w14:textId="70188E51" w:rsidR="00160F25" w:rsidRPr="00160F25" w:rsidRDefault="00160F25" w:rsidP="00160F25">
      <w:pPr>
        <w:rPr>
          <w:szCs w:val="20"/>
          <w:lang w:val="es-MX"/>
        </w:rPr>
      </w:pPr>
      <w:r w:rsidRPr="00160F25">
        <w:rPr>
          <w:szCs w:val="20"/>
          <w:lang w:val="es-MX"/>
        </w:rPr>
        <w:t>124.</w:t>
      </w:r>
      <w:r w:rsidRPr="00160F25">
        <w:rPr>
          <w:szCs w:val="20"/>
          <w:lang w:val="es-MX"/>
        </w:rPr>
        <w:tab/>
        <w:t xml:space="preserve">El Tribunal recuerda que la integridad personal y la vida se hallan directa e inmediatamente vinculadas con la atención a la salud humana, por lo que la falta de atención médica adecuada puede conllevar la vulneración de los artículos 4, 5 y 26 de la Convención. En ese sentido, dado que la salud es un bien público cuya protección está a cargo de los Estados, estos tienen la obligación de prevenir que terceros interfieran indebidamente en el goce de los derechos a la vida, a la integridad personal, a la salud, a la seguridad social, y a los derechos de los niños y niñas, los cuales son particularmente vulnerables cuando se encuentran bajo un tratamiento que requiere cuidados paleativos y de rehabilitación ante la presencia de una enfermedad progresiva que conlleva una discapacidad para quien la padece. En consecuencia, los Estados tienen el deber de garantizar su prestación, al igual que la de regular y fiscalizar la actividad de las empresas privadas de servicios de salud, incluidos los servicios de las aseguradoras, en tanto su actuación se encuentra en la esfera de un servicio de naturaleza pública, por lo que actúa a nombre del Estado </w:t>
      </w:r>
      <w:r w:rsidR="001710F6">
        <w:rPr>
          <w:szCs w:val="20"/>
          <w:lang w:val="es-MX"/>
        </w:rPr>
        <w:t>[</w:t>
      </w:r>
      <w:r>
        <w:rPr>
          <w:szCs w:val="20"/>
          <w:lang w:val="es-MX"/>
        </w:rPr>
        <w:t>...</w:t>
      </w:r>
      <w:r w:rsidR="001710F6">
        <w:rPr>
          <w:szCs w:val="20"/>
          <w:lang w:val="es-MX"/>
        </w:rPr>
        <w:t>]</w:t>
      </w:r>
      <w:r w:rsidRPr="00160F25">
        <w:rPr>
          <w:szCs w:val="20"/>
          <w:lang w:val="es-MX"/>
        </w:rPr>
        <w:t>.</w:t>
      </w:r>
    </w:p>
    <w:p w14:paraId="6D30E63F" w14:textId="7B7825E9" w:rsidR="00160F25" w:rsidRPr="00160F25" w:rsidRDefault="00160F25" w:rsidP="00160F25">
      <w:pPr>
        <w:rPr>
          <w:szCs w:val="20"/>
          <w:lang w:val="es-MX"/>
        </w:rPr>
      </w:pPr>
      <w:r w:rsidRPr="00160F25">
        <w:rPr>
          <w:szCs w:val="20"/>
          <w:lang w:val="es-MX"/>
        </w:rPr>
        <w:t>125.</w:t>
      </w:r>
      <w:r w:rsidRPr="00160F25">
        <w:rPr>
          <w:szCs w:val="20"/>
          <w:lang w:val="es-MX"/>
        </w:rPr>
        <w:tab/>
        <w:t xml:space="preserve">En el presente caso, de conformidad con los alegatos planteados por la Comisión y las representantes, el Tribunal procederá a analizar si el Estado cumplió con su deber de regular los servicios de las aseguradoras. En ese sentido, en primer lugar, la Corte considera que la disposición de la Circular No. 7, la cual permitía la exclusión de enfermedades catastróficas del RHD cuando éstas eran calificadas como “enfermedades crónicas”, carecía de elementos objetivos que permitieran distinguir con claridad aquellas enfermedades que se encontraban cubiertas en esta causal. Esto es así puesto que la determinación sobre la naturaleza “crónica” de una enfermedad es una categoría que hace referencia a su duración y progresión, lo cual </w:t>
      </w:r>
      <w:r w:rsidRPr="00160F25">
        <w:rPr>
          <w:szCs w:val="20"/>
          <w:lang w:val="es-MX"/>
        </w:rPr>
        <w:lastRenderedPageBreak/>
        <w:t>permite una amplia discrecionalidad respecto a las enfermedades que se califican como tales, y que, por lo tanto, pueden ser excluidas de la cobertura. La ambigüedad de la disposición plantea un problema de previsibilidad y claridad para los contratantes del CAEC respecto de la atención de sus enfermedades, además de producir inseguridad jurídica respecto al alcance de sus prestaciones en materia de salud.</w:t>
      </w:r>
    </w:p>
    <w:p w14:paraId="07FDEB63" w14:textId="060A2BCC" w:rsidR="00160F25" w:rsidRPr="00160F25" w:rsidRDefault="00160F25" w:rsidP="00160F25">
      <w:pPr>
        <w:rPr>
          <w:szCs w:val="20"/>
          <w:lang w:val="es-MX"/>
        </w:rPr>
      </w:pPr>
      <w:r w:rsidRPr="00160F25">
        <w:rPr>
          <w:szCs w:val="20"/>
          <w:lang w:val="es-MX"/>
        </w:rPr>
        <w:t>126.</w:t>
      </w:r>
      <w:r w:rsidRPr="00160F25">
        <w:rPr>
          <w:szCs w:val="20"/>
          <w:lang w:val="es-MX"/>
        </w:rPr>
        <w:tab/>
        <w:t>Adicionalmente, esta Corte considera que el contenido sustantivo de la Circular No. 7, al establecer la exclusión de la hospitalización domiciliaria respecto de tratamientos de enfermedades crónicas, permitía que, con independencia de la gravedad de la enfermedad del paciente y los posibles riesgos que conlleva el retiro del RHD, y atendiendo a un criterio de la duración y progresión de la enfermedad, la aseguradora pudiera retirar la cobertura de servicios de atención médica que podían resultar esenciales para la preservación de la salud, la integridad personal y la vida de las personas. La Corte advierte que esta disposición, al no establecer ningún requisito adicional para el retiro del RHD, más allá de la consideración acerca de la naturaleza “crónica” de la enfermedad, constituía un riesgo para los derechos humanos, pues podía restringir el acceso a un tratamiento médico que podía ser fundamental para preservar la salud, integridad y vida de las personas, y particularmente de niñas y niños que tuvieran enfermedades como la de Martina, y que tenían alguna discapacidad que los hacía especialmente vulnerables. En ese sentido, el Tribunal es de la posición que las disposiciones que permiten la modificación o el retiro de las condiciones de atención médica, deben permitir contemplar adecuadamente los riesgos que conllevan a los derechos de las personas en las situaciones concretas, así como las condiciones especiales de vulnerabilidad que enfrenten los pacientes.</w:t>
      </w:r>
    </w:p>
    <w:p w14:paraId="00E38C85" w14:textId="77777777" w:rsidR="00160F25" w:rsidRPr="00160F25" w:rsidRDefault="00160F25" w:rsidP="00160F25">
      <w:pPr>
        <w:rPr>
          <w:szCs w:val="20"/>
          <w:lang w:val="es-MX"/>
        </w:rPr>
      </w:pPr>
      <w:r w:rsidRPr="00160F25">
        <w:rPr>
          <w:szCs w:val="20"/>
          <w:lang w:val="es-MX"/>
        </w:rPr>
        <w:t>127.</w:t>
      </w:r>
      <w:r w:rsidRPr="00160F25">
        <w:rPr>
          <w:szCs w:val="20"/>
          <w:lang w:val="es-MX"/>
        </w:rPr>
        <w:tab/>
        <w:t>Asimismo, el Tribunal advierte que la disposición antes mencionada permitía que las aseguradoras distinguieran entre personas que podían recibir el RHD sobre la base de la duración y progresión de la enfermedad, aun cuando el CAEC tiene como objetivo permitir que los asegurados tengan acceso a la cobertura de los gastos de la atención médica de enfermedades graves y de alto costo necesaria para su salud. De esta forma, la distinción que planteaba la norma, que permitía la exclusión del RHD a las enfermedades crónicas, resulta arbitraria, pues desde una perspectiva médica, la duración y progresividad de la enfermedad no es un elemento determinante respecto de la pertinencia de un tratamiento médico que requiere hospitalización domiciliaria. Así, la existencia de la causal prevista por la Circular No. 7 que se discute, tenía el efecto práctico de que personas que tenían contratado el CAEC, y que se encontraban en la misma circunstancia, es decir que requerían una atención médica conforme al RHD, para preservar su salud, su integridad personal y su vida, fueran excluidas de dicho beneficio por el hecho de que su enfermedad era crónica. Esta distinción, basada en un criterio temporal, y que no tomaba en cuenta las necesidades de atención médica de personas que tienen enfermedades graves, como fue el caso de Martina, que además es una niña con una discapacidad, resulta en una norma discriminatoria en relación con la garantía de los derechos a la salud, la niñez, la integridad personal, y la vida.</w:t>
      </w:r>
    </w:p>
    <w:p w14:paraId="5DDB5B28" w14:textId="67F65C4E" w:rsidR="00160F25" w:rsidRPr="00160F25" w:rsidRDefault="00160F25" w:rsidP="00160F25">
      <w:pPr>
        <w:rPr>
          <w:szCs w:val="20"/>
          <w:lang w:val="es-MX"/>
        </w:rPr>
      </w:pPr>
      <w:r w:rsidRPr="00160F25">
        <w:rPr>
          <w:szCs w:val="20"/>
          <w:lang w:val="es-MX"/>
        </w:rPr>
        <w:t>128.</w:t>
      </w:r>
      <w:r w:rsidRPr="00160F25">
        <w:rPr>
          <w:szCs w:val="20"/>
          <w:lang w:val="es-MX"/>
        </w:rPr>
        <w:tab/>
        <w:t xml:space="preserve">En segundo lugar, en el caso concreto, el Tribunal advierte que los problemas regulatorios de la Circular No. 7 permitieron que la Isapre MasVida, mediante la carta enviada el 13 de octubre de 2010 al señor Vera Luza, retirara el RHD sin otra consideración excepto que el estado de Martina Vera era “progresivo e irrecuperable” y, por lo tanto, que se encontraba excluida por tratarse de una enfermedad “crónica”. El Tribunal constata que la decisión de la Isapre se basó en el peritaje médico del Dr. Rodrigo Vargas Saavedra, quien calificó el estado de la enfermedad como “progresivo e irrecuperable”, más nunca se calificó como “crónica”. Posteriormente, el Dr. Oscar Darrigrande señaló que constituye un error conceptual equiparar una enfermedad progresiva con una enfermedad crónica, pues la progresividad implica una variación </w:t>
      </w:r>
      <w:r w:rsidRPr="00160F25">
        <w:rPr>
          <w:szCs w:val="20"/>
          <w:lang w:val="es-MX"/>
        </w:rPr>
        <w:lastRenderedPageBreak/>
        <w:t>de la enfermedad que requería una atención médica domiciliaria. En este sentido, la Corte considera que la ambigüedad de la norma, y la ausencia de previsión de otras condiciones regulatorias que permitieran mantener el RHD, como lo son las consecuencias que tendría su suspensión en la salud, la integridad personal y la vida, así como las condiciones especiales de vulnerabilidad, permitió el equiparamiento de una enfermedad progresiva con una enfermedad crónica, y la subsecuente exclusión del RHD para el tratamiento médico de Martina, quien es una niña que sufre una discapacidad.</w:t>
      </w:r>
    </w:p>
    <w:p w14:paraId="2358EE20" w14:textId="25DE4ECD" w:rsidR="00160F25" w:rsidRPr="00160F25" w:rsidRDefault="00160F25" w:rsidP="00160F25">
      <w:pPr>
        <w:rPr>
          <w:szCs w:val="20"/>
          <w:lang w:val="es-MX"/>
        </w:rPr>
      </w:pPr>
      <w:r w:rsidRPr="00160F25">
        <w:rPr>
          <w:szCs w:val="20"/>
          <w:lang w:val="es-MX"/>
        </w:rPr>
        <w:t>129.</w:t>
      </w:r>
      <w:r w:rsidRPr="00160F25">
        <w:rPr>
          <w:szCs w:val="20"/>
          <w:lang w:val="es-MX"/>
        </w:rPr>
        <w:tab/>
        <w:t>Respecto a este último punto, el Tribunal recuerda que la decisión tomada por la Isapre fue adoptada aun cuando la aseguradora tenía conocimiento de la necesidad de Martina de mantener la continuidad de su tratamiento médico en su domicilio. En este sentido, la Corte considera que se encuentra plenamente probado que la aseguradora conocía del riesgo que existía para Martina si se retiraba el RHD cuando tenía la enfermedad de Leigh. En particular, el peritaje médico del Doctor Vargas Saavedra, en el cual se basó el retiro del RHD, claramente estableció que “la terapia de soporte clínico en domicilio es fundamental para el bienestar de la menor”. Esta conclusión fue igualmente adoptada por la Corte de Apelaciones de Concepción en la resolución de 26 de enero de 2011, en el marco del recurso de protección intentado por</w:t>
      </w:r>
      <w:r>
        <w:rPr>
          <w:szCs w:val="20"/>
          <w:lang w:val="es-MX"/>
        </w:rPr>
        <w:t xml:space="preserve"> </w:t>
      </w:r>
      <w:r w:rsidRPr="00160F25">
        <w:rPr>
          <w:szCs w:val="20"/>
          <w:lang w:val="es-MX"/>
        </w:rPr>
        <w:t>los padres de Martina (</w:t>
      </w:r>
      <w:r>
        <w:rPr>
          <w:szCs w:val="20"/>
          <w:lang w:val="es-MX"/>
        </w:rPr>
        <w:t>...</w:t>
      </w:r>
      <w:r w:rsidRPr="00160F25">
        <w:rPr>
          <w:szCs w:val="20"/>
          <w:lang w:val="es-MX"/>
        </w:rPr>
        <w:t>), y por la decisión arbitral de 19 de abril de 2012, confirmada el 23 de agosto de 2012 (</w:t>
      </w:r>
      <w:r>
        <w:rPr>
          <w:szCs w:val="20"/>
          <w:lang w:val="es-MX"/>
        </w:rPr>
        <w:t>...</w:t>
      </w:r>
      <w:r w:rsidRPr="00160F25">
        <w:rPr>
          <w:szCs w:val="20"/>
          <w:lang w:val="es-MX"/>
        </w:rPr>
        <w:t>). Asimismo, durante la audiencia pública, el perito Oscar Darrigrande, aseguró que en caso de que se hubiera retirado la atención hospitalaria domiciliaria para Martina, sus expectativas y condiciones de vida se habrían visto gravemente afectadas, puesto que habría estado expuesta a otras enfermedades respiratorias dado que tiene una traqueostomía y una gastrostomía.</w:t>
      </w:r>
    </w:p>
    <w:p w14:paraId="057DE4B9" w14:textId="44260650" w:rsidR="00160F25" w:rsidRPr="00160F25" w:rsidRDefault="00160F25" w:rsidP="00160F25">
      <w:pPr>
        <w:rPr>
          <w:szCs w:val="20"/>
          <w:lang w:val="es-MX"/>
        </w:rPr>
      </w:pPr>
      <w:r w:rsidRPr="00160F25">
        <w:rPr>
          <w:szCs w:val="20"/>
          <w:lang w:val="es-MX"/>
        </w:rPr>
        <w:t>130.</w:t>
      </w:r>
      <w:r w:rsidRPr="00160F25">
        <w:rPr>
          <w:szCs w:val="20"/>
          <w:lang w:val="es-MX"/>
        </w:rPr>
        <w:tab/>
        <w:t>En ese sentido, la Corte advierte que los problemas regulatorios de la Circular No. 7 permitieron que la aseguradora adoptara una decisión que, además de excluir el RHD a favor de Martina, lo cual conllevaba un riesgo para su salud, su integridad personal y su vida, obligaba a Martina a continuar con su tratamiento médico en condiciones que no eran adecuadas para su estado de salud, y las necesidades especiales que surgían en virtud de su condición como niña con discapacidad, afectando así las posibilidades de una existencia digna. El cese de la hospitalización domiciliaria hubiera puesto en peligro la accesibilidad de la atención de la salud. Esto es así ya que los centros de salud de Arica, que eran aquellos a los que tendría acceso geográfico para continuar con su tratamiento tras la decisión de la Isapre, no ofrecían las condiciones necesarias para su atención médica, por lo que la familia tendría que desplazarse a otro hospital a gran distancia, además de que los gastos aparejados a la falta de cobertura del RHD afectarían las posibilidades de su familia para poder acceder a dicha atención. En este sentido, la Corte recuerda que, conforme al requisito de accesibilidad, los tratamientos de rehabilitación y cuidados paliativos pediátricos deben privilegiar, en la medida de lo posible, la atención domiciliaria, o en un lugar cercano al domicilio de la niña o el niño (</w:t>
      </w:r>
      <w:r>
        <w:rPr>
          <w:szCs w:val="20"/>
          <w:lang w:val="es-MX"/>
        </w:rPr>
        <w:t>...</w:t>
      </w:r>
      <w:r w:rsidRPr="00160F25">
        <w:rPr>
          <w:szCs w:val="20"/>
          <w:lang w:val="es-MX"/>
        </w:rPr>
        <w:t>).</w:t>
      </w:r>
    </w:p>
    <w:p w14:paraId="55525386" w14:textId="762424AE" w:rsidR="00160F25" w:rsidRPr="00160F25" w:rsidRDefault="00160F25" w:rsidP="00160F25">
      <w:pPr>
        <w:rPr>
          <w:szCs w:val="20"/>
          <w:lang w:val="es-MX"/>
        </w:rPr>
      </w:pPr>
      <w:r w:rsidRPr="00160F25">
        <w:rPr>
          <w:szCs w:val="20"/>
          <w:lang w:val="es-MX"/>
        </w:rPr>
        <w:t>131.</w:t>
      </w:r>
      <w:r w:rsidRPr="00160F25">
        <w:rPr>
          <w:szCs w:val="20"/>
          <w:lang w:val="es-MX"/>
        </w:rPr>
        <w:tab/>
        <w:t>Asimismo, la decisión de la Isapre puso en peligro la aceptabilidad de los servicios de salud, pues Martina se vería obligada a desplazarse para recibir tratamientos médicos en un ambiente que no resultaba adecuado, considerando las necesidades que tenía como niña con discapacidad. De esta forma, el Tribunal considera que, conforme a los criterios antes señalados, y en atención al interés superior de la niña, que constituye un mandato de priorización de los derechos, la mejor forma de cuidar y atender una niña con discapacidad es dentro de su entorno familiar, lo que en el presente caso resultaba fundamental tanto desde la perspectiva del derecho a la salud de Martina, como del cumplimiento de la obligación de apoyar a su familia a cargo del cuidado. La Corte recuerda que, tal como lo ha señalado el Comité de los Derechos del Niño, “la mejor forma de cuidar y atender al niño con discapacidad es dentro de su propio entorno familiar cuando la familia tenga medios suficientes”.</w:t>
      </w:r>
    </w:p>
    <w:p w14:paraId="4043B3B3" w14:textId="4441BE7B" w:rsidR="00160F25" w:rsidRPr="00160F25" w:rsidRDefault="00160F25" w:rsidP="00160F25">
      <w:pPr>
        <w:rPr>
          <w:szCs w:val="20"/>
          <w:lang w:val="es-MX"/>
        </w:rPr>
      </w:pPr>
      <w:r w:rsidRPr="00160F25">
        <w:rPr>
          <w:szCs w:val="20"/>
          <w:lang w:val="es-MX"/>
        </w:rPr>
        <w:lastRenderedPageBreak/>
        <w:t>132.</w:t>
      </w:r>
      <w:r w:rsidRPr="00160F25">
        <w:rPr>
          <w:szCs w:val="20"/>
          <w:lang w:val="es-MX"/>
        </w:rPr>
        <w:tab/>
        <w:t>Adicionalmente, el Tribunal recuerda que, conforme al requisito de la calidad en la atención a la salud, los establecimientos, bienes y servicios de salud deben ser apropiados desde el punto de vista científico y médico y ser de buena calidad. Esto debe incluir la atención médica adecuada, que en el caso de Martina era la hospitalización domiciliaria. Al respecto, el perito Oscar Darrigrande manifestó, durante la audiencia pública, que los cuidados paliativos y de rehabilitación requerían, para su mayor eficiencia y eficacia, que se realizaran en el domicilio de Martina por un grupo estable de profesionales, que tuviera lugar en el ambiente que se produce en el espacio familiar. De igual forma, como fue señalado anteriormente, los centros de salud de Arica, además de no contar con las condiciones adecuadas para brindar una atención médica</w:t>
      </w:r>
      <w:r>
        <w:rPr>
          <w:szCs w:val="20"/>
          <w:lang w:val="es-MX"/>
        </w:rPr>
        <w:t xml:space="preserve"> </w:t>
      </w:r>
      <w:r w:rsidRPr="00160F25">
        <w:rPr>
          <w:szCs w:val="20"/>
          <w:lang w:val="es-MX"/>
        </w:rPr>
        <w:t>adecuada respecto a los cuidados paliativos y de rehabilitación que necesita, constituían un riesgo para la salud, la integridad y la vida de Martina debido al riesgo de que adquiriera infecciones respiratorias, dado que vive con una traqueotomía y una gastrostomía.</w:t>
      </w:r>
    </w:p>
    <w:p w14:paraId="3B5A06F6" w14:textId="29353F8A" w:rsidR="00160F25" w:rsidRPr="00160F25" w:rsidRDefault="00160F25" w:rsidP="00160F25">
      <w:pPr>
        <w:rPr>
          <w:szCs w:val="20"/>
          <w:lang w:val="es-MX"/>
        </w:rPr>
      </w:pPr>
      <w:r w:rsidRPr="00160F25">
        <w:rPr>
          <w:szCs w:val="20"/>
          <w:lang w:val="es-MX"/>
        </w:rPr>
        <w:t>133.</w:t>
      </w:r>
      <w:r w:rsidRPr="00160F25">
        <w:rPr>
          <w:szCs w:val="20"/>
          <w:lang w:val="es-MX"/>
        </w:rPr>
        <w:tab/>
        <w:t>Por otro lado, el Tribunal recuerda que el derecho a la salud se encuentra estrechamente relacionado con el derecho a la seguridad social. Los Estados se encuentran obligados a organizar su sistema de salud de forma tal que permita a las personas acceder a servicios de salud adecuados, los cuales además deben incluir el acceso a medidas preventivas y curativas, y el apoyo suficiente a las personas con discapacidad192. Por esta razón, la Corte considera que las deficiencias normativas de la Circular No. 7 produjeron una afectación del derecho a la seguridad social, en tanto permitieron que la decisión de la Isapre estableciera una limitación arbitraria y discriminatoria del acceso a Martina a los servicios de salud necesarios para atención de su enfermedad, y que se encontraban previstos en el sistema de atención a la salud chileno. Lo anterior ocurrió como resultado del incumplimiento del Estado de regular adecuadamente la prestación de servicios por parte de la aseguradora, lo que tuvo como resultado que el Estado incumpliera su deber de prevenir que los actos de terceros pusieran en riesgo la posibilidad de que Martina gozara plenamente del RHD, el cual estaba incluido en el CAEC, y por consiguiente constituía una de las prestaciones de salud que ofrece el sistema de seguridad social.</w:t>
      </w:r>
    </w:p>
    <w:p w14:paraId="645A373B" w14:textId="6CD633A9" w:rsidR="00160F25" w:rsidRPr="00160F25" w:rsidRDefault="00160F25" w:rsidP="00160F25">
      <w:pPr>
        <w:rPr>
          <w:szCs w:val="20"/>
          <w:lang w:val="es-MX"/>
        </w:rPr>
      </w:pPr>
      <w:r w:rsidRPr="00160F25">
        <w:rPr>
          <w:szCs w:val="20"/>
          <w:lang w:val="es-MX"/>
        </w:rPr>
        <w:t>134.</w:t>
      </w:r>
      <w:r w:rsidRPr="00160F25">
        <w:rPr>
          <w:szCs w:val="20"/>
          <w:lang w:val="es-MX"/>
        </w:rPr>
        <w:tab/>
        <w:t>Por otro lado, el Tribunal advierte que el presente caso plantea una cuestión de regresividad en términos del artículo 26 de la Convención. La Corte constata que, previo a la adopción de la Circular No. 7, la CAEC se encontraba regulada por la Circular No. 059 de 29 de febrero de 2000193. Esta circular no excluía el tratamiento de enfermedades crónicas de la cobertura del CAEC. Sin embargo, con la adopción de la Circular No. 7 se introdujo dicha causal de exclusión de cobertura. En ese sentido, en tanto dicha causal estableció una distinción arbitraria y discriminatoria, cuestión que fue señalada por el propio Estado en la introducción de la Circular No. IF/282 de 26 de enero de 2017 (</w:t>
      </w:r>
      <w:r>
        <w:rPr>
          <w:szCs w:val="20"/>
          <w:lang w:val="es-MX"/>
        </w:rPr>
        <w:t>...</w:t>
      </w:r>
      <w:r w:rsidRPr="00160F25">
        <w:rPr>
          <w:szCs w:val="20"/>
          <w:lang w:val="es-MX"/>
        </w:rPr>
        <w:t>), que implicó una restricción a los derechos a la salud y la seguridad social, el Tribunal considera que se trata de una medida deliberadamente regresiva que no encuentra justificación en el contexto de las obligaciones internacionales del Estado respecto de sus obligaciones de desarrollo progresivo de los derechos económicos, sociales, culturales y ambientales.</w:t>
      </w:r>
    </w:p>
    <w:p w14:paraId="03D77590" w14:textId="7405B855" w:rsidR="00160F25" w:rsidRPr="00FB45C5" w:rsidRDefault="00160F25" w:rsidP="00160F25">
      <w:pPr>
        <w:rPr>
          <w:szCs w:val="20"/>
          <w:lang w:val="es-MX"/>
        </w:rPr>
      </w:pPr>
      <w:r w:rsidRPr="00160F25">
        <w:rPr>
          <w:szCs w:val="20"/>
          <w:lang w:val="es-MX"/>
        </w:rPr>
        <w:t>135.</w:t>
      </w:r>
      <w:r w:rsidRPr="00160F25">
        <w:rPr>
          <w:szCs w:val="20"/>
          <w:lang w:val="es-MX"/>
        </w:rPr>
        <w:tab/>
        <w:t xml:space="preserve">En consideración con todo lo anterior, este Tribunal concluye que el Estado incumplió con su deber de regulación de los servicios de salud a través de la disposición de la Circular No. 7 de 1 de julio de 2005 y, por ende, sus obligaciones de protección de los derechos. Esta disposición permitió la exclusión de la cobertura del RHD de Martina Vera mediante la decisión de la Isapre MasVida, la cual era necesaria para su adecuado tratamiento médico, más aun considerando su condición de niña con discapacidad. La decisión de la aseguradora privada, resultado del incumplimiento del deber de regulación del Estado, puso en riesgo los derechos a la vida, la vida digna, la integridad personal, la niñez, la salud y la seguridad social, en relación con la obligación de garantizar los derechos sin discriminación y el deber de adoptar disposiciones de derecho interno, en perjuicio de Martina Vera, protegidos </w:t>
      </w:r>
      <w:r w:rsidRPr="00160F25">
        <w:rPr>
          <w:szCs w:val="20"/>
          <w:lang w:val="es-MX"/>
        </w:rPr>
        <w:lastRenderedPageBreak/>
        <w:t>por los artículos 4, 5, 19 y 26 de la Convención Americana, en relación con los artículos 1.1 y 2 del mismo instrumento. Asimismo, la existencia de dicha norma constituyó un incumplimiento de las obligaciones de desarrollo progresivo del Estado en términos del artículo 26 de la Convención Americana.</w:t>
      </w:r>
    </w:p>
    <w:p w14:paraId="23948783" w14:textId="21AFB8D0" w:rsidR="007269CF" w:rsidRPr="00BB63D0" w:rsidRDefault="007269CF" w:rsidP="002D76B6">
      <w:pPr>
        <w:pStyle w:val="Ttulo2"/>
      </w:pPr>
      <w:bookmarkStart w:id="29" w:name="_Toc89017885"/>
      <w:r w:rsidRPr="00BB63D0">
        <w:t xml:space="preserve">Afectaciones particulares a personas </w:t>
      </w:r>
      <w:r>
        <w:t>afrodescendientes</w:t>
      </w:r>
      <w:bookmarkEnd w:id="29"/>
    </w:p>
    <w:p w14:paraId="625BB3C1" w14:textId="33862636" w:rsidR="007269CF" w:rsidRDefault="007269CF" w:rsidP="00B05876">
      <w:pPr>
        <w:pStyle w:val="Caso"/>
      </w:pPr>
      <w:r w:rsidRPr="00B05876">
        <w:t>Corte IDH. Caso Acosta Martínez y otros Vs. Argentina. Fondo, Reparaciones y Costas. Sentencia de 31 de agosto de 2020. Serie C No. 410</w:t>
      </w:r>
      <w:r>
        <w:rPr>
          <w:rStyle w:val="Refdenotaalpie"/>
        </w:rPr>
        <w:footnoteReference w:id="46"/>
      </w:r>
    </w:p>
    <w:p w14:paraId="015FB79C" w14:textId="77777777" w:rsidR="007269CF" w:rsidRDefault="007269CF" w:rsidP="00B2013A">
      <w:r>
        <w:t xml:space="preserve">94. A la hora de analizar las motivaciones del arresto y </w:t>
      </w:r>
      <w:proofErr w:type="spellStart"/>
      <w:r>
        <w:t>privación</w:t>
      </w:r>
      <w:proofErr w:type="spellEnd"/>
      <w:r>
        <w:t xml:space="preserve"> de libertad del </w:t>
      </w:r>
      <w:proofErr w:type="spellStart"/>
      <w:r>
        <w:t>señor</w:t>
      </w:r>
      <w:proofErr w:type="spellEnd"/>
      <w:r>
        <w:t xml:space="preserve"> Acosta </w:t>
      </w:r>
      <w:proofErr w:type="spellStart"/>
      <w:r>
        <w:t>Martínez</w:t>
      </w:r>
      <w:proofErr w:type="spellEnd"/>
      <w:r>
        <w:t xml:space="preserve">, se debe tomar en cuenta el contexto de discriminación racial y </w:t>
      </w:r>
      <w:proofErr w:type="spellStart"/>
      <w:r>
        <w:t>persecución</w:t>
      </w:r>
      <w:proofErr w:type="spellEnd"/>
      <w:r>
        <w:t xml:space="preserve"> policial que </w:t>
      </w:r>
      <w:proofErr w:type="spellStart"/>
      <w:r>
        <w:t>vivían</w:t>
      </w:r>
      <w:proofErr w:type="spellEnd"/>
      <w:r>
        <w:t xml:space="preserve"> las personas afrodescendientes en Argentina, tal y como fue referida en los </w:t>
      </w:r>
      <w:proofErr w:type="spellStart"/>
      <w:r>
        <w:t>párrafos</w:t>
      </w:r>
      <w:proofErr w:type="spellEnd"/>
      <w:r>
        <w:t xml:space="preserve"> 31 a 40 de la presente Sentencia.</w:t>
      </w:r>
    </w:p>
    <w:p w14:paraId="50138388" w14:textId="77777777" w:rsidR="007269CF" w:rsidRDefault="007269CF" w:rsidP="00B2013A">
      <w:r>
        <w:t xml:space="preserve">95. De la misma manera, la amplitud de las normas que facultan a la </w:t>
      </w:r>
      <w:proofErr w:type="spellStart"/>
      <w:r>
        <w:t>policía</w:t>
      </w:r>
      <w:proofErr w:type="spellEnd"/>
      <w:r>
        <w:t xml:space="preserve"> a privar de libertad sobre la base de edictos que sancionan </w:t>
      </w:r>
      <w:proofErr w:type="spellStart"/>
      <w:r>
        <w:t>características</w:t>
      </w:r>
      <w:proofErr w:type="spellEnd"/>
      <w:r>
        <w:t xml:space="preserve"> </w:t>
      </w:r>
      <w:proofErr w:type="spellStart"/>
      <w:r>
        <w:t>más</w:t>
      </w:r>
      <w:proofErr w:type="spellEnd"/>
      <w:r>
        <w:t xml:space="preserve"> que conductas, terminan siendo utilizadas arbitrariamente y con base en prejuicios y estereotipos de ciertos grupos que coinciden con aquellos </w:t>
      </w:r>
      <w:proofErr w:type="spellStart"/>
      <w:r>
        <w:t>históricamente</w:t>
      </w:r>
      <w:proofErr w:type="spellEnd"/>
      <w:r>
        <w:t xml:space="preserve"> discriminados. En efecto, tal como lo subraya el Informe del 2015 del Relator Especial sobre las formas </w:t>
      </w:r>
      <w:proofErr w:type="spellStart"/>
      <w:r>
        <w:t>contemporáneas</w:t>
      </w:r>
      <w:proofErr w:type="spellEnd"/>
      <w:r>
        <w:t xml:space="preserve"> de racismo, discriminación racial, xenofobia y formas conexas:</w:t>
      </w:r>
    </w:p>
    <w:p w14:paraId="17A9EA87" w14:textId="52038FE1" w:rsidR="007269CF" w:rsidRDefault="007269CF" w:rsidP="00587D7D">
      <w:pPr>
        <w:pStyle w:val="Citacuerpo"/>
      </w:pPr>
      <w:r>
        <w:t xml:space="preserve">Los agentes de </w:t>
      </w:r>
      <w:proofErr w:type="spellStart"/>
      <w:r>
        <w:t>policía</w:t>
      </w:r>
      <w:proofErr w:type="spellEnd"/>
      <w:r>
        <w:t xml:space="preserve"> y de </w:t>
      </w:r>
      <w:proofErr w:type="spellStart"/>
      <w:r>
        <w:t>inmigración</w:t>
      </w:r>
      <w:proofErr w:type="spellEnd"/>
      <w:r>
        <w:t xml:space="preserve"> y los funcionarios de prisiones a menudo </w:t>
      </w:r>
      <w:proofErr w:type="spellStart"/>
      <w:r>
        <w:t>actúan</w:t>
      </w:r>
      <w:proofErr w:type="spellEnd"/>
      <w:r>
        <w:t xml:space="preserve"> </w:t>
      </w:r>
      <w:proofErr w:type="spellStart"/>
      <w:r>
        <w:t>basándose</w:t>
      </w:r>
      <w:proofErr w:type="spellEnd"/>
      <w:r>
        <w:t xml:space="preserve"> en perfiles raciales y </w:t>
      </w:r>
      <w:proofErr w:type="spellStart"/>
      <w:r>
        <w:t>étnicos</w:t>
      </w:r>
      <w:proofErr w:type="spellEnd"/>
      <w:r>
        <w:t xml:space="preserve">, en muchas formas distintas y perniciosas. También puede suceder que las </w:t>
      </w:r>
      <w:proofErr w:type="spellStart"/>
      <w:r>
        <w:t>políticas</w:t>
      </w:r>
      <w:proofErr w:type="spellEnd"/>
      <w:r>
        <w:t xml:space="preserve"> oficiales faciliten </w:t>
      </w:r>
      <w:proofErr w:type="spellStart"/>
      <w:r>
        <w:t>prácticas</w:t>
      </w:r>
      <w:proofErr w:type="spellEnd"/>
      <w:r>
        <w:t xml:space="preserve"> discrecionales que permiten que las autoridades encargadas de hacer cumplir la ley dirijan selectivamente sus actuaciones hacia grupos o personas </w:t>
      </w:r>
      <w:proofErr w:type="spellStart"/>
      <w:r>
        <w:t>basándose</w:t>
      </w:r>
      <w:proofErr w:type="spellEnd"/>
      <w:r>
        <w:t xml:space="preserve"> en el color de su piel, en su vestimenta, en su vello facial o en el idioma que hablan. A veces también existe un sesgo </w:t>
      </w:r>
      <w:proofErr w:type="spellStart"/>
      <w:r>
        <w:t>implícito</w:t>
      </w:r>
      <w:proofErr w:type="spellEnd"/>
      <w:r>
        <w:t xml:space="preserve"> que motiva la </w:t>
      </w:r>
      <w:proofErr w:type="spellStart"/>
      <w:r>
        <w:t>utilización</w:t>
      </w:r>
      <w:proofErr w:type="spellEnd"/>
      <w:r>
        <w:t xml:space="preserve"> de criterios raciales y </w:t>
      </w:r>
      <w:proofErr w:type="spellStart"/>
      <w:r>
        <w:t>étnicos</w:t>
      </w:r>
      <w:proofErr w:type="spellEnd"/>
      <w:r>
        <w:t xml:space="preserve"> en la </w:t>
      </w:r>
      <w:proofErr w:type="spellStart"/>
      <w:r>
        <w:t>actuación</w:t>
      </w:r>
      <w:proofErr w:type="spellEnd"/>
      <w:r>
        <w:t xml:space="preserve"> de las fuerzas del orden. Aunque algunos estudios han demostrado la ineficacia de la </w:t>
      </w:r>
      <w:proofErr w:type="spellStart"/>
      <w:r>
        <w:t>utilización</w:t>
      </w:r>
      <w:proofErr w:type="spellEnd"/>
      <w:r>
        <w:t xml:space="preserve"> de perfiles raciales y </w:t>
      </w:r>
      <w:proofErr w:type="spellStart"/>
      <w:r>
        <w:t>étnica</w:t>
      </w:r>
      <w:proofErr w:type="spellEnd"/>
      <w:r>
        <w:t xml:space="preserve">, los funcionarios siguen recurriendo a esa </w:t>
      </w:r>
      <w:proofErr w:type="spellStart"/>
      <w:r>
        <w:t>práctica</w:t>
      </w:r>
      <w:proofErr w:type="spellEnd"/>
      <w:r>
        <w:t>.</w:t>
      </w:r>
    </w:p>
    <w:p w14:paraId="6C96EE1E" w14:textId="1CB09BBC" w:rsidR="007269CF" w:rsidRDefault="007269CF" w:rsidP="00B2013A">
      <w:r>
        <w:t xml:space="preserve">96. El programa de acción de </w:t>
      </w:r>
      <w:proofErr w:type="spellStart"/>
      <w:r>
        <w:t>Durban</w:t>
      </w:r>
      <w:proofErr w:type="spellEnd"/>
      <w:r>
        <w:t xml:space="preserve"> define los perfiles raciales como “la </w:t>
      </w:r>
      <w:proofErr w:type="spellStart"/>
      <w:r>
        <w:t>práctica</w:t>
      </w:r>
      <w:proofErr w:type="spellEnd"/>
      <w:r>
        <w:t xml:space="preserve"> de los agentes de </w:t>
      </w:r>
      <w:proofErr w:type="spellStart"/>
      <w:r>
        <w:t>policía</w:t>
      </w:r>
      <w:proofErr w:type="spellEnd"/>
      <w:r>
        <w:t xml:space="preserve"> y otros funcionarios encargados de hacer cumplir la ley de basarse, en uno u otro grado, en la raza, el color, la ascendencia o el origen nacional o </w:t>
      </w:r>
      <w:proofErr w:type="spellStart"/>
      <w:r>
        <w:t>étnico</w:t>
      </w:r>
      <w:proofErr w:type="spellEnd"/>
      <w:r>
        <w:t xml:space="preserve"> como motivo para someter a las personas a actividades de </w:t>
      </w:r>
      <w:proofErr w:type="spellStart"/>
      <w:r>
        <w:t>investigación</w:t>
      </w:r>
      <w:proofErr w:type="spellEnd"/>
      <w:r>
        <w:t xml:space="preserve"> o para determinar si una persona realiza actividades delictivas”. El </w:t>
      </w:r>
      <w:proofErr w:type="spellStart"/>
      <w:r>
        <w:t>Comite</w:t>
      </w:r>
      <w:proofErr w:type="spellEnd"/>
      <w:r>
        <w:t xml:space="preserve">́ para la </w:t>
      </w:r>
      <w:proofErr w:type="spellStart"/>
      <w:r>
        <w:t>Eliminación</w:t>
      </w:r>
      <w:proofErr w:type="spellEnd"/>
      <w:r>
        <w:t xml:space="preserve"> de la Discriminación Racial ha hecho referencia a estas </w:t>
      </w:r>
      <w:proofErr w:type="spellStart"/>
      <w:r>
        <w:t>prácticas</w:t>
      </w:r>
      <w:proofErr w:type="spellEnd"/>
      <w:r>
        <w:t xml:space="preserve"> </w:t>
      </w:r>
      <w:proofErr w:type="spellStart"/>
      <w:r>
        <w:t>definiéndolas</w:t>
      </w:r>
      <w:proofErr w:type="spellEnd"/>
      <w:r>
        <w:t xml:space="preserve"> como “los interrogatorios, las detenciones y los cacheos basados de facto exclusivamente en el aspecto </w:t>
      </w:r>
      <w:proofErr w:type="spellStart"/>
      <w:r>
        <w:t>físico</w:t>
      </w:r>
      <w:proofErr w:type="spellEnd"/>
      <w:r>
        <w:t xml:space="preserve"> del individuo, su color, sus rasgos faciales, </w:t>
      </w:r>
      <w:r>
        <w:lastRenderedPageBreak/>
        <w:t>su pertenencia a un grupo</w:t>
      </w:r>
      <w:r w:rsidRPr="00587D7D">
        <w:t xml:space="preserve"> racial o </w:t>
      </w:r>
      <w:proofErr w:type="spellStart"/>
      <w:r w:rsidRPr="00587D7D">
        <w:t>étnico</w:t>
      </w:r>
      <w:proofErr w:type="spellEnd"/>
      <w:r w:rsidRPr="00587D7D">
        <w:t xml:space="preserve">, o cualquier otra </w:t>
      </w:r>
      <w:proofErr w:type="spellStart"/>
      <w:r w:rsidRPr="00587D7D">
        <w:t>categorización</w:t>
      </w:r>
      <w:proofErr w:type="spellEnd"/>
      <w:r w:rsidRPr="00587D7D">
        <w:t xml:space="preserve"> que pueda hacerle particularmente sospechoso”.</w:t>
      </w:r>
    </w:p>
    <w:p w14:paraId="780F86BD" w14:textId="3379037A" w:rsidR="007269CF" w:rsidRDefault="007269CF" w:rsidP="00B2013A">
      <w:r>
        <w:t xml:space="preserve">97. En su sexto </w:t>
      </w:r>
      <w:proofErr w:type="spellStart"/>
      <w:r>
        <w:t>período</w:t>
      </w:r>
      <w:proofErr w:type="spellEnd"/>
      <w:r>
        <w:t xml:space="preserve"> de sesiones, el Grupo de Trabajo de Expertos sobre las Personas de Ascendencia Africana examinó el tema de la </w:t>
      </w:r>
      <w:proofErr w:type="spellStart"/>
      <w:r>
        <w:t>elaboración</w:t>
      </w:r>
      <w:proofErr w:type="spellEnd"/>
      <w:r>
        <w:t xml:space="preserve"> de perfiles raciales. El Grupo de Trabajo </w:t>
      </w:r>
      <w:proofErr w:type="spellStart"/>
      <w:r>
        <w:t>reconocio</w:t>
      </w:r>
      <w:proofErr w:type="spellEnd"/>
      <w:r>
        <w:t xml:space="preserve">́ que elaborarlos viola el derecho a la no discriminación y </w:t>
      </w:r>
      <w:proofErr w:type="spellStart"/>
      <w:r>
        <w:t>recordo</w:t>
      </w:r>
      <w:proofErr w:type="spellEnd"/>
      <w:r>
        <w:t xml:space="preserve">́ que las normas internacionales y regionales dejan sentado que la discriminación racial en la </w:t>
      </w:r>
      <w:proofErr w:type="spellStart"/>
      <w:r>
        <w:t>administración</w:t>
      </w:r>
      <w:proofErr w:type="spellEnd"/>
      <w:r>
        <w:t xml:space="preserve"> de justicia es </w:t>
      </w:r>
      <w:proofErr w:type="spellStart"/>
      <w:r>
        <w:t>ilícita</w:t>
      </w:r>
      <w:proofErr w:type="spellEnd"/>
      <w:r>
        <w:t xml:space="preserve">. El Grupo de Trabajo destacó, </w:t>
      </w:r>
      <w:proofErr w:type="spellStart"/>
      <w:r>
        <w:t>además</w:t>
      </w:r>
      <w:proofErr w:type="spellEnd"/>
      <w:r>
        <w:t xml:space="preserve">, que se ha admitido que los perfiles raciales son un problema </w:t>
      </w:r>
      <w:proofErr w:type="spellStart"/>
      <w:r>
        <w:t>específico</w:t>
      </w:r>
      <w:proofErr w:type="spellEnd"/>
      <w:r>
        <w:t xml:space="preserve"> debido a que </w:t>
      </w:r>
      <w:proofErr w:type="spellStart"/>
      <w:r>
        <w:t>sistemática</w:t>
      </w:r>
      <w:proofErr w:type="spellEnd"/>
      <w:r>
        <w:t xml:space="preserve"> e </w:t>
      </w:r>
      <w:proofErr w:type="spellStart"/>
      <w:r>
        <w:t>históricamente</w:t>
      </w:r>
      <w:proofErr w:type="spellEnd"/>
      <w:r>
        <w:t xml:space="preserve"> han estado dirigidos contra las personas de ascendencia africana, lo que tiene consecuencias graves puesto que se crean y </w:t>
      </w:r>
      <w:proofErr w:type="spellStart"/>
      <w:r>
        <w:t>perpetúan</w:t>
      </w:r>
      <w:proofErr w:type="spellEnd"/>
      <w:r>
        <w:t xml:space="preserve"> una </w:t>
      </w:r>
      <w:proofErr w:type="spellStart"/>
      <w:r>
        <w:t>estigmatización</w:t>
      </w:r>
      <w:proofErr w:type="spellEnd"/>
      <w:r>
        <w:t xml:space="preserve"> y estereotipos profundamente negativos de los afrodescendientes como criminales en potencia. Asimismo, consideró que en la </w:t>
      </w:r>
      <w:proofErr w:type="spellStart"/>
      <w:r>
        <w:t>mayoría</w:t>
      </w:r>
      <w:proofErr w:type="spellEnd"/>
      <w:r>
        <w:t xml:space="preserve"> de los casos en que se han utilizado perfiles raciales, no se ha logrado mejorar la situación de seguridad y se ha perjudicado mucho a la </w:t>
      </w:r>
      <w:proofErr w:type="spellStart"/>
      <w:r>
        <w:t>población</w:t>
      </w:r>
      <w:proofErr w:type="spellEnd"/>
      <w:r>
        <w:t xml:space="preserve"> de ascendencia africana y otros grupos vulnerables.</w:t>
      </w:r>
    </w:p>
    <w:p w14:paraId="06B0EA2A" w14:textId="6C8561B4" w:rsidR="007269CF" w:rsidRDefault="007269CF" w:rsidP="00B2013A">
      <w:r>
        <w:t xml:space="preserve">98. Las manifestaciones de la </w:t>
      </w:r>
      <w:proofErr w:type="spellStart"/>
      <w:r>
        <w:t>utilización</w:t>
      </w:r>
      <w:proofErr w:type="spellEnd"/>
      <w:r>
        <w:t xml:space="preserve"> de perfiles raciales también pueden estar ligadas a la normativa o la </w:t>
      </w:r>
      <w:proofErr w:type="spellStart"/>
      <w:r>
        <w:t>práctica</w:t>
      </w:r>
      <w:proofErr w:type="spellEnd"/>
      <w:r>
        <w:t xml:space="preserve"> interna. En efecto, como lo </w:t>
      </w:r>
      <w:proofErr w:type="spellStart"/>
      <w:r>
        <w:t>señalo</w:t>
      </w:r>
      <w:proofErr w:type="spellEnd"/>
      <w:r>
        <w:t xml:space="preserve">́ el Relator Especial sobre las formas </w:t>
      </w:r>
      <w:proofErr w:type="spellStart"/>
      <w:r>
        <w:t>contemporáneas</w:t>
      </w:r>
      <w:proofErr w:type="spellEnd"/>
      <w:r>
        <w:t xml:space="preserve"> de racismo, discriminación racial, xenofobia y formas conexas de intolerancia, “puede suceder que las </w:t>
      </w:r>
      <w:proofErr w:type="spellStart"/>
      <w:r>
        <w:t>políticas</w:t>
      </w:r>
      <w:proofErr w:type="spellEnd"/>
      <w:r>
        <w:t xml:space="preserve"> oficiales faciliten </w:t>
      </w:r>
      <w:proofErr w:type="spellStart"/>
      <w:r>
        <w:t>prácticas</w:t>
      </w:r>
      <w:proofErr w:type="spellEnd"/>
      <w:r>
        <w:t xml:space="preserve"> discrecionales que permiten a las autoridades encargadas de hacer cumplir la ley dirijan selectivamente sus actuaciones hacia grupos o personas </w:t>
      </w:r>
      <w:proofErr w:type="spellStart"/>
      <w:r>
        <w:t>basándose</w:t>
      </w:r>
      <w:proofErr w:type="spellEnd"/>
      <w:r>
        <w:t xml:space="preserve"> en el color de su piel, en su vestimenta, en su vello facial o en el idioma en que hablan”.</w:t>
      </w:r>
    </w:p>
    <w:p w14:paraId="4C13F724" w14:textId="139FCE32" w:rsidR="007269CF" w:rsidRDefault="007269CF" w:rsidP="00B2013A">
      <w:r>
        <w:t xml:space="preserve">99. El Grupo de Trabajo sobre la </w:t>
      </w:r>
      <w:proofErr w:type="spellStart"/>
      <w:r>
        <w:t>Detención</w:t>
      </w:r>
      <w:proofErr w:type="spellEnd"/>
      <w:r>
        <w:t xml:space="preserve"> Arbitraria ha </w:t>
      </w:r>
      <w:proofErr w:type="spellStart"/>
      <w:r>
        <w:t>señalado</w:t>
      </w:r>
      <w:proofErr w:type="spellEnd"/>
      <w:r>
        <w:t xml:space="preserve"> que una </w:t>
      </w:r>
      <w:proofErr w:type="spellStart"/>
      <w:r>
        <w:t>privación</w:t>
      </w:r>
      <w:proofErr w:type="spellEnd"/>
      <w:r>
        <w:t xml:space="preserve"> de libertad tiene motivos discriminatorios “cuando resultaba evidente que se </w:t>
      </w:r>
      <w:proofErr w:type="spellStart"/>
      <w:r>
        <w:t>había</w:t>
      </w:r>
      <w:proofErr w:type="spellEnd"/>
      <w:r>
        <w:t xml:space="preserve"> privado a las personas de su libertad </w:t>
      </w:r>
      <w:proofErr w:type="spellStart"/>
      <w:r>
        <w:t>específicamente</w:t>
      </w:r>
      <w:proofErr w:type="spellEnd"/>
      <w:r>
        <w:t xml:space="preserve"> en </w:t>
      </w:r>
      <w:proofErr w:type="spellStart"/>
      <w:r>
        <w:t>función</w:t>
      </w:r>
      <w:proofErr w:type="spellEnd"/>
      <w:r>
        <w:t xml:space="preserve"> de las </w:t>
      </w:r>
      <w:proofErr w:type="spellStart"/>
      <w:r>
        <w:t>características</w:t>
      </w:r>
      <w:proofErr w:type="spellEnd"/>
      <w:r>
        <w:t xml:space="preserve"> distintivas reales o aparentes, o a causa de su pertenencia real o presunta a un grupo diferenciado (y a menudo minoritario)”. El Grupo de Trabajo considera como uno de los factores a tomar en cuenta para determinar la existencia de motivos discriminatorios, si “[l]as autoridades han hecho afirmaciones a la persona detenida o se han comportado con ella de manera que indique una actitud discriminatoria”. De esta forma, una </w:t>
      </w:r>
      <w:proofErr w:type="spellStart"/>
      <w:r>
        <w:t>detención</w:t>
      </w:r>
      <w:proofErr w:type="spellEnd"/>
      <w:r>
        <w:t xml:space="preserve"> basada en el uso de perfiles raciales </w:t>
      </w:r>
      <w:proofErr w:type="spellStart"/>
      <w:r>
        <w:t>sería</w:t>
      </w:r>
      <w:proofErr w:type="spellEnd"/>
      <w:r>
        <w:t xml:space="preserve"> claramente discriminatoria.</w:t>
      </w:r>
    </w:p>
    <w:p w14:paraId="61468F9E" w14:textId="452CAF9B" w:rsidR="007269CF" w:rsidRDefault="007269CF" w:rsidP="00B2013A">
      <w:r>
        <w:t xml:space="preserve">100. En el caso concreto los agentes policiales justificaron la </w:t>
      </w:r>
      <w:proofErr w:type="spellStart"/>
      <w:r>
        <w:t>detención</w:t>
      </w:r>
      <w:proofErr w:type="spellEnd"/>
      <w:r>
        <w:t xml:space="preserve"> del </w:t>
      </w:r>
      <w:proofErr w:type="spellStart"/>
      <w:r>
        <w:t>señor</w:t>
      </w:r>
      <w:proofErr w:type="spellEnd"/>
      <w:r>
        <w:t xml:space="preserve"> Acosta </w:t>
      </w:r>
      <w:proofErr w:type="spellStart"/>
      <w:r>
        <w:t>Martínez</w:t>
      </w:r>
      <w:proofErr w:type="spellEnd"/>
      <w:r>
        <w:t xml:space="preserve"> en su supuesto estado de ebriedad. De esta forma, al utilizar una normativa tan amplia como los Edictos contra la ebriedad, en realidad se </w:t>
      </w:r>
      <w:proofErr w:type="spellStart"/>
      <w:r>
        <w:t>encubrio</w:t>
      </w:r>
      <w:proofErr w:type="spellEnd"/>
      <w:r>
        <w:t xml:space="preserve">́ la </w:t>
      </w:r>
      <w:proofErr w:type="spellStart"/>
      <w:r>
        <w:t>utilización</w:t>
      </w:r>
      <w:proofErr w:type="spellEnd"/>
      <w:r>
        <w:t xml:space="preserve"> de un perfil racial como motivo principal para su </w:t>
      </w:r>
      <w:proofErr w:type="spellStart"/>
      <w:r>
        <w:t>detención</w:t>
      </w:r>
      <w:proofErr w:type="spellEnd"/>
      <w:r>
        <w:t xml:space="preserve"> y, por consiguiente, se puso de manifiesto la arbitrariedad de su </w:t>
      </w:r>
      <w:proofErr w:type="spellStart"/>
      <w:r>
        <w:t>privación</w:t>
      </w:r>
      <w:proofErr w:type="spellEnd"/>
      <w:r>
        <w:t xml:space="preserve"> de libertad. En efecto, este Tribunal ha </w:t>
      </w:r>
      <w:proofErr w:type="spellStart"/>
      <w:r>
        <w:t>señalado</w:t>
      </w:r>
      <w:proofErr w:type="spellEnd"/>
      <w:r>
        <w:t xml:space="preserve"> que las detenciones realizadas por razones discriminatorias son, por consiguiente, arbitrarias.</w:t>
      </w:r>
    </w:p>
    <w:p w14:paraId="6B008972" w14:textId="77777777" w:rsidR="007269CF" w:rsidRDefault="007269CF" w:rsidP="00B2013A">
      <w:r>
        <w:t xml:space="preserve">101. De esta forma, y tomando en cuenta que el propio Estado reconoce y subraya que el arresto y la </w:t>
      </w:r>
      <w:proofErr w:type="spellStart"/>
      <w:r>
        <w:t>detención</w:t>
      </w:r>
      <w:proofErr w:type="spellEnd"/>
      <w:r>
        <w:t xml:space="preserve"> de </w:t>
      </w:r>
      <w:proofErr w:type="spellStart"/>
      <w:r>
        <w:t>Jose</w:t>
      </w:r>
      <w:proofErr w:type="spellEnd"/>
      <w:r>
        <w:t xml:space="preserve">́ </w:t>
      </w:r>
      <w:proofErr w:type="spellStart"/>
      <w:r>
        <w:t>Delfín</w:t>
      </w:r>
      <w:proofErr w:type="spellEnd"/>
      <w:r>
        <w:t xml:space="preserve"> Acosta </w:t>
      </w:r>
      <w:proofErr w:type="spellStart"/>
      <w:r>
        <w:t>Martínez</w:t>
      </w:r>
      <w:proofErr w:type="spellEnd"/>
      <w:r>
        <w:t xml:space="preserve"> estuvieron motivados por motivos discriminatorios, esta Corte considera que se violaron los </w:t>
      </w:r>
      <w:proofErr w:type="spellStart"/>
      <w:r>
        <w:t>artículos</w:t>
      </w:r>
      <w:proofErr w:type="spellEnd"/>
      <w:r>
        <w:t xml:space="preserve"> 7.1, 7.3 y 24 en </w:t>
      </w:r>
      <w:proofErr w:type="spellStart"/>
      <w:r>
        <w:t>relación</w:t>
      </w:r>
      <w:proofErr w:type="spellEnd"/>
      <w:r>
        <w:t xml:space="preserve"> con el artículo 1.1 de la Convención, en perjuicio del </w:t>
      </w:r>
      <w:proofErr w:type="spellStart"/>
      <w:r>
        <w:t>señor</w:t>
      </w:r>
      <w:proofErr w:type="spellEnd"/>
      <w:r>
        <w:t xml:space="preserve"> Acosta </w:t>
      </w:r>
      <w:proofErr w:type="spellStart"/>
      <w:r>
        <w:t>Martínez</w:t>
      </w:r>
      <w:proofErr w:type="spellEnd"/>
      <w:r>
        <w:t>.</w:t>
      </w:r>
    </w:p>
    <w:p w14:paraId="09CC87A7" w14:textId="77777777" w:rsidR="007269CF" w:rsidRDefault="007269CF" w:rsidP="00B2013A">
      <w:r>
        <w:t xml:space="preserve">102. Tomando en cuenta el reconocimiento de responsabilidad por parte del Estado y las consideraciones anteriores, la Corte concluye que el arresto y </w:t>
      </w:r>
      <w:proofErr w:type="spellStart"/>
      <w:r>
        <w:t>privación</w:t>
      </w:r>
      <w:proofErr w:type="spellEnd"/>
      <w:r>
        <w:t xml:space="preserve"> de libertad del </w:t>
      </w:r>
      <w:proofErr w:type="spellStart"/>
      <w:r>
        <w:t>señor</w:t>
      </w:r>
      <w:proofErr w:type="spellEnd"/>
      <w:r>
        <w:t xml:space="preserve"> Acosta </w:t>
      </w:r>
      <w:proofErr w:type="spellStart"/>
      <w:r>
        <w:t>Martínez</w:t>
      </w:r>
      <w:proofErr w:type="spellEnd"/>
      <w:r>
        <w:t xml:space="preserve"> fue realizado </w:t>
      </w:r>
      <w:proofErr w:type="spellStart"/>
      <w:r>
        <w:t>amparándose</w:t>
      </w:r>
      <w:proofErr w:type="spellEnd"/>
      <w:r>
        <w:t xml:space="preserve"> en una normativa que no cumple con los requisitos convencionales. Asimismo, la amplitud de la normativa que regulaba las facultades policiales para detener personas por la </w:t>
      </w:r>
      <w:proofErr w:type="spellStart"/>
      <w:r>
        <w:t>comisión</w:t>
      </w:r>
      <w:proofErr w:type="spellEnd"/>
      <w:r>
        <w:t xml:space="preserve"> de contravenciones, </w:t>
      </w:r>
      <w:proofErr w:type="spellStart"/>
      <w:r>
        <w:t>permitio</w:t>
      </w:r>
      <w:proofErr w:type="spellEnd"/>
      <w:r>
        <w:t xml:space="preserve">́ la </w:t>
      </w:r>
      <w:proofErr w:type="spellStart"/>
      <w:r>
        <w:t>aplicación</w:t>
      </w:r>
      <w:proofErr w:type="spellEnd"/>
      <w:r>
        <w:t xml:space="preserve"> de perfiles raciales y de detenciones basadas </w:t>
      </w:r>
      <w:r>
        <w:lastRenderedPageBreak/>
        <w:t xml:space="preserve">en </w:t>
      </w:r>
      <w:proofErr w:type="spellStart"/>
      <w:r>
        <w:t>prácticas</w:t>
      </w:r>
      <w:proofErr w:type="spellEnd"/>
      <w:r>
        <w:t xml:space="preserve"> discriminatorias, por lo que la </w:t>
      </w:r>
      <w:proofErr w:type="spellStart"/>
      <w:r>
        <w:t>detención</w:t>
      </w:r>
      <w:proofErr w:type="spellEnd"/>
      <w:r>
        <w:t xml:space="preserve"> fue, </w:t>
      </w:r>
      <w:proofErr w:type="spellStart"/>
      <w:r>
        <w:t>además</w:t>
      </w:r>
      <w:proofErr w:type="spellEnd"/>
      <w:r>
        <w:t>, arbitraria y discriminatoria.</w:t>
      </w:r>
    </w:p>
    <w:p w14:paraId="6AF744FE" w14:textId="067CBFD4" w:rsidR="007269CF" w:rsidRPr="00BB63D0" w:rsidRDefault="007269CF" w:rsidP="00B2013A">
      <w:r>
        <w:t xml:space="preserve">103. En consecuencia, el Estado es responsable de las violaciones a los derechos reconocidos en los </w:t>
      </w:r>
      <w:proofErr w:type="spellStart"/>
      <w:r>
        <w:t>artículos</w:t>
      </w:r>
      <w:proofErr w:type="spellEnd"/>
      <w:r>
        <w:t xml:space="preserve"> 7.1, 7.2, 7.3 y 24 de la Convención Americana, en </w:t>
      </w:r>
      <w:proofErr w:type="spellStart"/>
      <w:r>
        <w:t>relación</w:t>
      </w:r>
      <w:proofErr w:type="spellEnd"/>
      <w:r>
        <w:t xml:space="preserve"> las obligaciones generales contenidas en los </w:t>
      </w:r>
      <w:proofErr w:type="spellStart"/>
      <w:r>
        <w:t>artículos</w:t>
      </w:r>
      <w:proofErr w:type="spellEnd"/>
      <w:r>
        <w:t xml:space="preserve"> 1.1 y 2 del mismo instrumento, en perjuicio de </w:t>
      </w:r>
      <w:proofErr w:type="spellStart"/>
      <w:r>
        <w:t>Jose</w:t>
      </w:r>
      <w:proofErr w:type="spellEnd"/>
      <w:r>
        <w:t xml:space="preserve">́ </w:t>
      </w:r>
      <w:proofErr w:type="spellStart"/>
      <w:r>
        <w:t>Delfín</w:t>
      </w:r>
      <w:proofErr w:type="spellEnd"/>
      <w:r>
        <w:t xml:space="preserve"> Acosta </w:t>
      </w:r>
      <w:proofErr w:type="spellStart"/>
      <w:r>
        <w:t>Martínez</w:t>
      </w:r>
      <w:proofErr w:type="spellEnd"/>
      <w:r>
        <w:t xml:space="preserve">. Asimismo, tomando en cuenta el reconocimiento de responsabilidad realizado por el Estado, la Corte recuerda que Argentina es responsable por la </w:t>
      </w:r>
      <w:proofErr w:type="spellStart"/>
      <w:r>
        <w:t>violación</w:t>
      </w:r>
      <w:proofErr w:type="spellEnd"/>
      <w:r>
        <w:t xml:space="preserve"> del artículo 7.4 de la Convención en perjuicio del </w:t>
      </w:r>
      <w:proofErr w:type="spellStart"/>
      <w:r>
        <w:t>señor</w:t>
      </w:r>
      <w:proofErr w:type="spellEnd"/>
      <w:r>
        <w:t xml:space="preserve"> Acosta </w:t>
      </w:r>
      <w:proofErr w:type="spellStart"/>
      <w:r>
        <w:t>Martínez</w:t>
      </w:r>
      <w:proofErr w:type="spellEnd"/>
      <w:r>
        <w:t>.</w:t>
      </w:r>
      <w:r w:rsidRPr="00BB63D0">
        <w:br w:type="page"/>
      </w:r>
    </w:p>
    <w:p w14:paraId="3A5D553E" w14:textId="77777777" w:rsidR="007269CF" w:rsidRDefault="007269CF" w:rsidP="00BB63D0">
      <w:pPr>
        <w:pStyle w:val="Ttulo1"/>
        <w:pBdr>
          <w:bottom w:val="none" w:sz="0" w:space="0" w:color="auto"/>
        </w:pBdr>
        <w:rPr>
          <w:color w:val="4F6228" w:themeColor="accent3" w:themeShade="80"/>
          <w:sz w:val="20"/>
          <w:szCs w:val="20"/>
        </w:rPr>
      </w:pPr>
    </w:p>
    <w:p w14:paraId="2B1EB079" w14:textId="7A195EF8" w:rsidR="007269CF" w:rsidRPr="00BB63D0" w:rsidRDefault="007269CF" w:rsidP="00B05876">
      <w:pPr>
        <w:pStyle w:val="Ttulo1"/>
      </w:pPr>
      <w:bookmarkStart w:id="30" w:name="_Toc89017886"/>
      <w:r w:rsidRPr="00BB63D0">
        <w:t xml:space="preserve">5. </w:t>
      </w:r>
      <w:r w:rsidRPr="00BB63D0">
        <w:tab/>
        <w:t>Medidas para erradicar la discriminación y mecanismos de garantía</w:t>
      </w:r>
      <w:bookmarkEnd w:id="30"/>
      <w:r w:rsidRPr="00BB63D0">
        <w:tab/>
      </w:r>
    </w:p>
    <w:p w14:paraId="5364D085" w14:textId="77777777" w:rsidR="007269CF" w:rsidRPr="00BB63D0" w:rsidRDefault="007269CF" w:rsidP="00BB63D0">
      <w:pPr>
        <w:rPr>
          <w:szCs w:val="20"/>
          <w:lang w:val="es-ES_tradnl"/>
        </w:rPr>
      </w:pPr>
      <w:r w:rsidRPr="00BB63D0">
        <w:rPr>
          <w:szCs w:val="20"/>
          <w:lang w:val="es-ES_tradnl"/>
        </w:rPr>
        <w:t xml:space="preserve">El apartado siguiente da cuenta de ciertas obligaciones particulares que debe realizar el Estado para garantizar el derecho a la igualdad y no discriminación de ciertos grupos, que hacen referencia a medidas de debida diligencia en las investigaciones de hechos que constituyen violencia de género, particularmente; al deber reforzado de personas que se encuentran en situación de discriminación y a la obligación de realizar investigaciones con perspectiva de género, como mecanismos para erradicar la discriminación. </w:t>
      </w:r>
    </w:p>
    <w:p w14:paraId="5DA071DB" w14:textId="10564F49" w:rsidR="007269CF" w:rsidRPr="00BB63D0" w:rsidRDefault="007269CF" w:rsidP="00FD29AB">
      <w:pPr>
        <w:pStyle w:val="Ttulo2"/>
      </w:pPr>
      <w:bookmarkStart w:id="31" w:name="_Toc89017887"/>
      <w:r w:rsidRPr="00BB63D0">
        <w:t>Medidas de debida diligencia</w:t>
      </w:r>
      <w:bookmarkEnd w:id="31"/>
    </w:p>
    <w:p w14:paraId="6F3CBBD7" w14:textId="77777777" w:rsidR="007269CF" w:rsidRPr="00BB63D0" w:rsidRDefault="007269CF" w:rsidP="00BB63D0">
      <w:pPr>
        <w:pStyle w:val="Sinespaciado"/>
        <w:rPr>
          <w:szCs w:val="20"/>
          <w:lang w:val="es-ES_tradnl"/>
        </w:rPr>
      </w:pPr>
    </w:p>
    <w:p w14:paraId="07FF2CC8" w14:textId="5CC0CCEA" w:rsidR="007269CF" w:rsidRPr="00BB63D0" w:rsidRDefault="007269CF" w:rsidP="00BB63D0">
      <w:pPr>
        <w:rPr>
          <w:b/>
          <w:szCs w:val="20"/>
          <w:lang w:val="es-ES_tradnl"/>
        </w:rPr>
      </w:pPr>
      <w:r w:rsidRPr="00BB63D0">
        <w:rPr>
          <w:b/>
          <w:szCs w:val="20"/>
          <w:lang w:val="es-ES_tradnl"/>
        </w:rPr>
        <w:t xml:space="preserve">Corte IDH. Caso del Penal Miguel Castro </w:t>
      </w:r>
      <w:proofErr w:type="spellStart"/>
      <w:r w:rsidRPr="00BB63D0">
        <w:rPr>
          <w:b/>
          <w:szCs w:val="20"/>
          <w:lang w:val="es-ES_tradnl"/>
        </w:rPr>
        <w:t>Castro</w:t>
      </w:r>
      <w:proofErr w:type="spellEnd"/>
      <w:r w:rsidRPr="00BB63D0">
        <w:rPr>
          <w:b/>
          <w:szCs w:val="20"/>
          <w:lang w:val="es-ES_tradnl"/>
        </w:rPr>
        <w:t xml:space="preserve"> Vs. Perú. Fondo, Reparaciones y Costas. Sentencia de 25 de noviembre de 2006. Serie C No. 160</w:t>
      </w:r>
      <w:r w:rsidRPr="00DB5A6A">
        <w:rPr>
          <w:b/>
          <w:szCs w:val="20"/>
          <w:vertAlign w:val="superscript"/>
        </w:rPr>
        <w:footnoteReference w:id="47"/>
      </w:r>
    </w:p>
    <w:p w14:paraId="6365A9EE" w14:textId="77777777" w:rsidR="007269CF" w:rsidRPr="00BB63D0" w:rsidRDefault="007269CF" w:rsidP="00BB63D0">
      <w:pPr>
        <w:rPr>
          <w:szCs w:val="20"/>
        </w:rPr>
      </w:pPr>
      <w:r w:rsidRPr="00BB63D0">
        <w:rPr>
          <w:szCs w:val="20"/>
        </w:rPr>
        <w:t>394.</w:t>
      </w:r>
      <w:r w:rsidRPr="00BB63D0">
        <w:rPr>
          <w:szCs w:val="20"/>
        </w:rPr>
        <w:tab/>
        <w:t>[…] Por ello, el Estado debe adoptar todas las medidas que sean necesarias para cumplir la obligación de investigar todos los hechos constitutivos de las violaciones a los derechos humanos declaradas en esta Sentencia y para ello debe tomar en cuenta lo resuelto por esta Corte en la presente Sentencia, incluyendo las consideraciones realizadas sobre las víctimas de los hechos, los derechos que se declararon violados y la determinación de la gravedad y magnitud de los mismos. Ello implica también que el Estado tome en consideración la gravedad de los hechos constitutivos de violencia contra la mujer, teniendo en consideración las obligaciones que le imponen los tratados que ha ratificado en esa materia.</w:t>
      </w:r>
    </w:p>
    <w:p w14:paraId="4E34EEEB" w14:textId="77777777" w:rsidR="007269CF" w:rsidRPr="00BB63D0" w:rsidRDefault="007269CF" w:rsidP="00BB63D0">
      <w:pPr>
        <w:rPr>
          <w:b/>
          <w:szCs w:val="20"/>
        </w:rPr>
      </w:pPr>
      <w:r w:rsidRPr="00BB63D0">
        <w:rPr>
          <w:b/>
          <w:szCs w:val="20"/>
        </w:rPr>
        <w:t>Corte IDH. Caso González y otras (“Campo Algodonero”) Vs. México. Excepción Preliminar, Fondo, Reparaciones y Costas. Sentencia de 16 de noviembre de 2009. Serie C No. 205</w:t>
      </w:r>
    </w:p>
    <w:p w14:paraId="5FBE96F2" w14:textId="77777777" w:rsidR="007269CF" w:rsidRPr="00BB63D0" w:rsidRDefault="007269CF" w:rsidP="00BB63D0">
      <w:pPr>
        <w:rPr>
          <w:szCs w:val="20"/>
          <w:lang w:val="es-EC"/>
        </w:rPr>
      </w:pPr>
      <w:r w:rsidRPr="00BB63D0">
        <w:rPr>
          <w:szCs w:val="20"/>
          <w:lang w:val="es-EC"/>
        </w:rPr>
        <w:t>253.</w:t>
      </w:r>
      <w:r w:rsidRPr="00BB63D0">
        <w:rPr>
          <w:szCs w:val="20"/>
          <w:lang w:val="es-EC"/>
        </w:rPr>
        <w:tab/>
        <w:t xml:space="preserve">La Convención Belém do Pará define la violencia contra la mujer </w:t>
      </w:r>
      <w:r w:rsidRPr="00BB63D0">
        <w:rPr>
          <w:szCs w:val="20"/>
        </w:rPr>
        <w:t>[…]</w:t>
      </w:r>
      <w:r w:rsidRPr="00BB63D0">
        <w:rPr>
          <w:szCs w:val="20"/>
          <w:lang w:val="es-EC"/>
        </w:rPr>
        <w:t xml:space="preserve"> y en su artículo 7.b obliga a los Estados Partes a utilizar la debida diligencia para prevenir, sancionar y erradicar dicha violencia. </w:t>
      </w:r>
    </w:p>
    <w:p w14:paraId="2DB19922" w14:textId="77777777" w:rsidR="007269CF" w:rsidRPr="00BB63D0" w:rsidRDefault="007269CF" w:rsidP="00BB63D0">
      <w:pPr>
        <w:rPr>
          <w:szCs w:val="20"/>
          <w:lang w:val="es-EC"/>
        </w:rPr>
      </w:pPr>
      <w:r w:rsidRPr="00BB63D0">
        <w:rPr>
          <w:szCs w:val="20"/>
          <w:lang w:val="es-EC"/>
        </w:rPr>
        <w:t>254.</w:t>
      </w:r>
      <w:r w:rsidRPr="00BB63D0">
        <w:rPr>
          <w:szCs w:val="20"/>
          <w:lang w:val="es-EC"/>
        </w:rPr>
        <w:tab/>
        <w:t xml:space="preserve">Desde 1992 el CEDAW estableció que “los Estados también pueden ser responsables de actos privados si no adoptan medidas con la diligencia debida para impedir la violación de los derechos o para investigar y castigar los actos de violencia e indemnizar a las víctimas”. En 1993 la Declaración sobre la eliminación de la violencia contra la mujer de la Asamblea General de las Naciones Unidas instó a los Estados a “[p]roceder con la debida diligencia a fin de prevenir, investigar y, conforme a la legislación nacional, castigar todo acto de violencia contra la mujer, ya se trate de actos perpetrados por el Estado o por particulares” y lo mismo hizo la Plataforma de Acción de la Conferencia Mundial sobre la Mujer de Beijing. En el 2006 </w:t>
      </w:r>
      <w:r w:rsidRPr="00BB63D0">
        <w:rPr>
          <w:szCs w:val="20"/>
          <w:lang w:val="es-EC"/>
        </w:rPr>
        <w:lastRenderedPageBreak/>
        <w:t>la Relatora Especial sobre violencia contra la mujer de la ONU señaló que “[t]omando como base la práctica y la opinio juris […] se puede concluir que hay una norma del derecho internacional consuetudinario que obliga a los Estados a prevenir y responder con la debida diligencia a los actos de violencia contra la mujer”.</w:t>
      </w:r>
    </w:p>
    <w:p w14:paraId="114C7151" w14:textId="77777777" w:rsidR="007269CF" w:rsidRPr="00BB63D0" w:rsidRDefault="007269CF" w:rsidP="00BB63D0">
      <w:pPr>
        <w:rPr>
          <w:szCs w:val="20"/>
          <w:lang w:val="es-EC"/>
        </w:rPr>
      </w:pPr>
      <w:r w:rsidRPr="00BB63D0">
        <w:rPr>
          <w:szCs w:val="20"/>
          <w:lang w:val="es-EC"/>
        </w:rPr>
        <w:t>255.</w:t>
      </w:r>
      <w:r w:rsidRPr="00BB63D0">
        <w:rPr>
          <w:szCs w:val="20"/>
          <w:lang w:val="es-EC"/>
        </w:rPr>
        <w:tab/>
        <w:t>En el caso Maria Da Penha Vs. Brasil (2000), presentado por una víctima de violencia doméstica, la Comisión Interamericana aplicó por primera vez la Convención Belém do Pará y decidió que el Estado había menoscabado su obligación de ejercer la debida diligencia para prevenir, sancionar y erradicar la violencia doméstica, al no condenar y sancionar al victimario durante quince años pese a las reclamaciones oportunamente efectuadas. La Comisión concluyó que dado que la violación forma parte de un “patrón general de negligencia y falta de efectividad del Estado”, no sólo se violaba la obligación de procesar y condenar, sino también la de prevenir estas prácticas degradantes.</w:t>
      </w:r>
    </w:p>
    <w:p w14:paraId="3CA3DA3C" w14:textId="77777777" w:rsidR="007269CF" w:rsidRPr="00BB63D0" w:rsidRDefault="007269CF" w:rsidP="00BB63D0">
      <w:pPr>
        <w:rPr>
          <w:szCs w:val="20"/>
          <w:lang w:val="es-EC"/>
        </w:rPr>
      </w:pPr>
      <w:r w:rsidRPr="00BB63D0">
        <w:rPr>
          <w:szCs w:val="20"/>
          <w:lang w:val="es-EC"/>
        </w:rPr>
        <w:t>256.</w:t>
      </w:r>
      <w:r w:rsidRPr="00BB63D0">
        <w:rPr>
          <w:szCs w:val="20"/>
          <w:lang w:val="es-EC"/>
        </w:rPr>
        <w:tab/>
        <w:t>De otra parte, la Relatoría Especial sobre la violencia contra la mujer de la ONU ha proporcionado directrices sobre qué medidas deben tomar los Estados para cumplir con sus obligaciones internacionales de debida diligencia en cuanto a prevención, a saber: ratificación de los instrumentos internacionales de derechos humanos; garantías constitucionales sobre la igualdad de la mujer; existencia de leyes nacionales y sanciones administrativas que proporcionen reparación adecuada a las mujeres víctimas de la violencia; políticas o planes de acción que se ocupen de la cuestión de la violencia contra la mujer; sensibilización del sistema de justicia penal y la policía en cuanto a cuestiones de género, accesibilidad y disponibilidad de servicios de apoyo; existencia de medidas para aumentar la sensibilización y modificar las políticas discriminatorias en la esfera de la educación y en los medios de información, y reunión de datos y elaboración de estadísticas sobre la violencia contra la mujer.</w:t>
      </w:r>
    </w:p>
    <w:p w14:paraId="74F81745" w14:textId="77777777" w:rsidR="007269CF" w:rsidRPr="00BB63D0" w:rsidRDefault="007269CF" w:rsidP="00BB63D0">
      <w:pPr>
        <w:rPr>
          <w:szCs w:val="20"/>
          <w:lang w:val="es-EC"/>
        </w:rPr>
      </w:pPr>
      <w:r w:rsidRPr="00BB63D0">
        <w:rPr>
          <w:szCs w:val="20"/>
          <w:lang w:val="es-EC"/>
        </w:rPr>
        <w:t>257.</w:t>
      </w:r>
      <w:r w:rsidRPr="00BB63D0">
        <w:rPr>
          <w:szCs w:val="20"/>
          <w:lang w:val="es-EC"/>
        </w:rPr>
        <w:tab/>
        <w:t xml:space="preserve">Asimismo, según un Informe del Secretario General de la ONU: </w:t>
      </w:r>
    </w:p>
    <w:p w14:paraId="6CA1AC59" w14:textId="77777777" w:rsidR="007269CF" w:rsidRPr="00BB63D0" w:rsidRDefault="007269CF" w:rsidP="007D0C7F">
      <w:pPr>
        <w:pStyle w:val="Citacuerpo"/>
        <w:rPr>
          <w:lang w:val="es-EC"/>
        </w:rPr>
      </w:pPr>
      <w:r w:rsidRPr="00BB63D0">
        <w:rPr>
          <w:lang w:val="es-EC"/>
        </w:rPr>
        <w:t xml:space="preserve">Es una buena práctica hacer que el entorno físico sea seguro para las mujeres, y se han utilizado comunitarias auditorías de seguridad para detectar los lugares peligrosos, examinar los temores de las mujeres y solicitar a las mujeres sus recomendaciones para mejorar su seguridad. La prevención de la violencia contra la mujer debe ser un elemento explícito en la planificación urbana y rural y en el diseño de los edificios y residencias. Forma parte de la labor de prevención el mejoramiento de la seguridad del transporte público y los caminos que emplean las mujeres, por ejemplo hacia las escuelas e instituciones educacionales, los pozos, los campos y las fábricas. </w:t>
      </w:r>
    </w:p>
    <w:p w14:paraId="115DBCF5" w14:textId="77777777" w:rsidR="007269CF" w:rsidRPr="00BB63D0" w:rsidRDefault="007269CF" w:rsidP="00BB63D0">
      <w:pPr>
        <w:rPr>
          <w:szCs w:val="20"/>
          <w:lang w:val="es-EC"/>
        </w:rPr>
      </w:pPr>
      <w:r w:rsidRPr="00BB63D0">
        <w:rPr>
          <w:szCs w:val="20"/>
          <w:lang w:val="es-EC"/>
        </w:rPr>
        <w:t>258.</w:t>
      </w:r>
      <w:r w:rsidRPr="00BB63D0">
        <w:rPr>
          <w:szCs w:val="20"/>
          <w:lang w:val="es-EC"/>
        </w:rPr>
        <w:tab/>
        <w:t>De todo lo anterior, se desprende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ante las denuncias. La estrategia de prevención debe ser integral, es decir, debe prevenir los factores de riesgo y a la vez fortalecer las instituciones para que puedan proporcionar una respuesta efectiva a los casos de violencia contra la mujer. Asimismo, los Estados deben adoptar medidas preventivas en casos específicos en los que es evidente que determinadas mujeres y niñas pueden ser víctimas de violencia. Todo esto debe tomar en cuenta que en casos de violencia contra la mujer, los Estados tienen, además de las obligaciones genéricas contenidas en la Convención Americana, una obligación reforzada a partir de la Convención Belém do Pará. La Corte pasará ahora a analizar las medidas adoptadas por el Estado hasta la fecha de los hechos del presente caso para cumplir con su deber de prevención.</w:t>
      </w:r>
    </w:p>
    <w:p w14:paraId="5426C8C3" w14:textId="77777777" w:rsidR="007269CF" w:rsidRPr="00BB63D0" w:rsidRDefault="007269CF" w:rsidP="00BB63D0">
      <w:pPr>
        <w:rPr>
          <w:szCs w:val="20"/>
          <w:lang w:val="es-EC"/>
        </w:rPr>
      </w:pPr>
      <w:r w:rsidRPr="00BB63D0">
        <w:rPr>
          <w:szCs w:val="20"/>
          <w:lang w:val="es-EC"/>
        </w:rPr>
        <w:lastRenderedPageBreak/>
        <w:t>279.</w:t>
      </w:r>
      <w:r w:rsidRPr="00BB63D0">
        <w:rPr>
          <w:szCs w:val="20"/>
          <w:lang w:val="es-EC"/>
        </w:rPr>
        <w:tab/>
        <w:t xml:space="preserve">A pesar de que el Estado tenía pleno conocimiento del riesgo que corrían las mujeres de ser objeto de violencia, no demostró haber adoptado medidas efectivas de prevención antes de noviembre de 2001 que redujeran los factores de riesgo para las mujeres. Aunque el deber de prevención sea uno de medio y no de resultado </w:t>
      </w:r>
      <w:r w:rsidRPr="00BB63D0">
        <w:rPr>
          <w:szCs w:val="20"/>
        </w:rPr>
        <w:t>[…]</w:t>
      </w:r>
      <w:r w:rsidRPr="00BB63D0">
        <w:rPr>
          <w:szCs w:val="20"/>
          <w:lang w:val="es-EC"/>
        </w:rPr>
        <w:t>, el Estado no ha demostrado que la creación de la FEIHM y algunas adiciones a su marco legislativo, por más que fueran necesarias y demuestren un compromiso estatal, fueran suficientes y efectivas para prevenir las graves manifestaciones de la violencia contra la mujer que se vivía en Ciudad Juárez en la época del presente caso.</w:t>
      </w:r>
    </w:p>
    <w:p w14:paraId="6EF0BECC" w14:textId="77777777" w:rsidR="007269CF" w:rsidRPr="00BB63D0" w:rsidRDefault="007269CF" w:rsidP="00BB63D0">
      <w:pPr>
        <w:rPr>
          <w:szCs w:val="20"/>
          <w:lang w:val="es-EC"/>
        </w:rPr>
      </w:pPr>
      <w:r w:rsidRPr="00BB63D0">
        <w:rPr>
          <w:szCs w:val="20"/>
          <w:lang w:val="es-EC"/>
        </w:rPr>
        <w:t>282.</w:t>
      </w:r>
      <w:r w:rsidRPr="00BB63D0">
        <w:rPr>
          <w:szCs w:val="20"/>
          <w:lang w:val="es-EC"/>
        </w:rPr>
        <w:tab/>
        <w:t xml:space="preserve">Sobre </w:t>
      </w:r>
      <w:r w:rsidRPr="007D0C7F">
        <w:rPr>
          <w:szCs w:val="20"/>
          <w:lang w:val="es-EC"/>
        </w:rPr>
        <w:t>el primer momento</w:t>
      </w:r>
      <w:r w:rsidRPr="00BB63D0">
        <w:rPr>
          <w:szCs w:val="20"/>
          <w:lang w:val="es-EC"/>
        </w:rPr>
        <w:t xml:space="preserve"> –antes de la desaparición de las víctimas- la Corte considera que la falta de prevención de la desaparición no conlleva per se la responsabilidad internacional del Estado porque, a pesar de que éste tenía conocimiento de una situación de riesgo para las mujeres en Ciudad Juárez, no ha sido establecido que tenía conocimiento de un riesgo real e inmediato para las víctimas de este caso. Aunque el contexto en este caso y sus obligaciones internacionales le imponen al Estado una responsabilidad reforzada con respecto a la protección de mujeres en Ciudad Juárez, quienes se encontraban en una situación de vulnerabilidad, especialmente las mujeres jóvenes y humildes, no le imponen una responsabilidad ilimitada frente a cualquier hecho ilícito en contra de ellas. Finalmente, la Corte no puede sino hacer presente que la ausencia de una política general que se hubiera iniciado por lo menos en 1998 –cuando la CNDH advirtió del patrón de violencia contra la mujer en Ciudad Juárez-, es una falta del Estado en el cumplimiento general de su obligación de prevención.</w:t>
      </w:r>
    </w:p>
    <w:p w14:paraId="24D48FC6" w14:textId="77777777" w:rsidR="007269CF" w:rsidRPr="00BB63D0" w:rsidRDefault="007269CF" w:rsidP="00BB63D0">
      <w:pPr>
        <w:rPr>
          <w:szCs w:val="20"/>
          <w:lang w:val="es-EC"/>
        </w:rPr>
      </w:pPr>
      <w:r w:rsidRPr="00BB63D0">
        <w:rPr>
          <w:szCs w:val="20"/>
          <w:lang w:val="es-EC"/>
        </w:rPr>
        <w:t>283.</w:t>
      </w:r>
      <w:r w:rsidRPr="00BB63D0">
        <w:rPr>
          <w:szCs w:val="20"/>
          <w:lang w:val="es-EC"/>
        </w:rPr>
        <w:tab/>
        <w:t xml:space="preserve">En cuanto </w:t>
      </w:r>
      <w:r w:rsidRPr="007D0C7F">
        <w:rPr>
          <w:szCs w:val="20"/>
          <w:lang w:val="es-EC"/>
        </w:rPr>
        <w:t>al segundo momento</w:t>
      </w:r>
      <w:r w:rsidRPr="00BB63D0">
        <w:rPr>
          <w:szCs w:val="20"/>
          <w:lang w:val="es-EC"/>
        </w:rPr>
        <w:t xml:space="preserve"> –antes del hallazgo de los cuerpos- el Estado, dado el contexto del caso, tuvo conocimiento de que existía un riesgo real e inmediato de que las víctimas fueran agredidas sexualmente, sometidas a vejámenes y asesinadas. La Corte considera que ante tal contexto surge un deber de debida diligencia estricta frente a denuncias de desaparición de mujeres, respecto a su búsqueda durante las primeras horas y los primeros días. Esta obligación de medio, al ser más estricta, exige la realización exhaustiva de actividades de búsqueda. En particular, es imprescindible la actuación pronta e inmediata de las autoridades policiales, fiscales y judiciales ordenando medidas oportunas y necesarias dirigidas a la determinación del paradero de las víctimas o el lugar donde puedan encontrarse privadas de libertad. Deben existir procedimientos adecuados para las denuncias y que éstas conlleven una investigación efectiva desde las primeras horas. Las autoridades deben presumir que la persona desaparecida está privada de libertad y sigue con vida hasta que se ponga fin a la incertidumbre sobre la suerte que ha corrido.</w:t>
      </w:r>
    </w:p>
    <w:p w14:paraId="099C558E" w14:textId="77777777" w:rsidR="007269CF" w:rsidRPr="00BB63D0" w:rsidRDefault="007269CF" w:rsidP="00BB63D0">
      <w:pPr>
        <w:rPr>
          <w:szCs w:val="20"/>
          <w:lang w:val="es-EC"/>
        </w:rPr>
      </w:pPr>
      <w:r w:rsidRPr="00BB63D0">
        <w:rPr>
          <w:szCs w:val="20"/>
          <w:lang w:val="es-EC"/>
        </w:rPr>
        <w:t>284.</w:t>
      </w:r>
      <w:r w:rsidRPr="00BB63D0">
        <w:rPr>
          <w:szCs w:val="20"/>
          <w:lang w:val="es-EC"/>
        </w:rPr>
        <w:tab/>
        <w:t xml:space="preserve">México no demostró haber adoptado </w:t>
      </w:r>
      <w:r w:rsidRPr="007D0C7F">
        <w:rPr>
          <w:szCs w:val="20"/>
          <w:lang w:val="es-EC"/>
        </w:rPr>
        <w:t>las medidas razonables</w:t>
      </w:r>
      <w:r w:rsidRPr="00BB63D0">
        <w:rPr>
          <w:szCs w:val="20"/>
          <w:lang w:val="es-EC"/>
        </w:rPr>
        <w:t xml:space="preserve">, conforme a las circunstancias que rodeaban a los casos, para encontrar a las víctimas con vida. El Estado no actuó con prontitud dentro de las primeras horas y días luego de las denuncias de desaparición, dejando perder horas valiosas. En el período entre las denuncias y el hallazgo de los cuerpos de las víctimas, el Estado se limitó a realizar formalidades y a tomar declaraciones que, aunque importantes, perdieron su valor una vez éstas no repercutieron en acciones de búsqueda específicas. Además, las actitudes y declaraciones de los funcionarios hacia los familiares de las víctimas que daban a entender que las denuncias de desaparición no debían ser tratadas con urgencia e inmediatez llevan al Tribunal razonablemente a concluir que hubo demoras injustificadas luego de las presentaciones de las denuncias de desaparición. Todo esto demuestra que el Estado no actuó con la debida diligencia requerida para prevenir adecuadamente las muertes y agresiones sufridas por las víctimas y que no actuó como razonablemente era de esperarse de acuerdo a las circunstancias del caso para poner fin a su privación de libertad. Este incumplimiento del deber de garantía es particularmente serio debido al contexto conocido por el Estado -el cual ponía a las mujeres en una situación especial de vulnerabilidad- y a las obligaciones </w:t>
      </w:r>
      <w:r w:rsidRPr="00BB63D0">
        <w:rPr>
          <w:szCs w:val="20"/>
          <w:lang w:val="es-EC"/>
        </w:rPr>
        <w:lastRenderedPageBreak/>
        <w:t>reforzadas impuestas en casos de violencia contra la mujer por el artículo 7.b de la Convención Belém do Pará.</w:t>
      </w:r>
    </w:p>
    <w:p w14:paraId="4D8AEC05" w14:textId="77777777" w:rsidR="007269CF" w:rsidRPr="00BB63D0" w:rsidRDefault="007269CF" w:rsidP="00BB63D0">
      <w:pPr>
        <w:rPr>
          <w:szCs w:val="20"/>
          <w:lang w:val="es-EC"/>
        </w:rPr>
      </w:pPr>
      <w:r w:rsidRPr="00BB63D0">
        <w:rPr>
          <w:szCs w:val="20"/>
          <w:lang w:val="es-EC"/>
        </w:rPr>
        <w:t>285.</w:t>
      </w:r>
      <w:r w:rsidRPr="00BB63D0">
        <w:rPr>
          <w:szCs w:val="20"/>
          <w:lang w:val="es-EC"/>
        </w:rPr>
        <w:tab/>
        <w:t xml:space="preserve">Además, la Corte considera que el Estado no demostró haber adoptado normas o implementado las medidas necesarias, conforme al artículo 2 de la Convención Americana y al artículo 7.c de </w:t>
      </w:r>
      <w:r w:rsidRPr="00DB5A6A">
        <w:rPr>
          <w:szCs w:val="20"/>
          <w:lang w:val="es-EC"/>
        </w:rPr>
        <w:t>la Convención Belém do Pará, que permitieran a las autoridades ofrecer una respuesta inmediata y eficaz ante las denuncias de desaparición y prevenir adecuadamente</w:t>
      </w:r>
      <w:r w:rsidRPr="00BB63D0">
        <w:rPr>
          <w:szCs w:val="20"/>
          <w:lang w:val="es-EC"/>
        </w:rPr>
        <w:t xml:space="preserve"> la violencia contra la mujer. Tampoco demostró haber adoptado normas o tomado medidas para que los funcionarios responsables de recibir las denuncias tuvieran la capacidad y la sensibilidad para entender la gravedad del fenómeno de la violencia contra la mujer y la voluntad para actuar de inmediato.</w:t>
      </w:r>
    </w:p>
    <w:p w14:paraId="658D67F0" w14:textId="77777777" w:rsidR="007269CF" w:rsidRPr="00BB63D0" w:rsidRDefault="007269CF" w:rsidP="00BB63D0">
      <w:pPr>
        <w:rPr>
          <w:szCs w:val="20"/>
          <w:lang w:val="es-EC"/>
        </w:rPr>
      </w:pPr>
      <w:r w:rsidRPr="00BB63D0">
        <w:rPr>
          <w:szCs w:val="20"/>
          <w:lang w:val="es-EC"/>
        </w:rPr>
        <w:t>286.</w:t>
      </w:r>
      <w:r w:rsidRPr="00BB63D0">
        <w:rPr>
          <w:szCs w:val="20"/>
          <w:lang w:val="es-EC"/>
        </w:rPr>
        <w:tab/>
        <w:t>En razón de todo lo expuesto, el Tribunal considera que el Estado violó los derechos a la vida, integridad personal y libertad personal reconocidos en los artículos 4.1, 5.1, 5.2 y 7.1 de la Convención Americana, en relación con la obligación general de garantía contemplada en el artículo 1.1 y la obligación de adoptar disposiciones de derecho interno contemplada en el artículo 2 de la misma, así como con las obligaciones contempladas en el artículo 7.b y 7.c de la Convención Belém do Pará, en perjuicio de Claudia Ivette González, Laura Berenice Ramos Monárrez y Esmeralda Herrera Monreal.</w:t>
      </w:r>
    </w:p>
    <w:p w14:paraId="7CD94025" w14:textId="77777777" w:rsidR="007269CF" w:rsidRPr="00BB63D0" w:rsidRDefault="007269CF" w:rsidP="00BB63D0">
      <w:pPr>
        <w:rPr>
          <w:b/>
          <w:szCs w:val="20"/>
          <w:lang w:val="es-EC"/>
        </w:rPr>
      </w:pPr>
      <w:r w:rsidRPr="00BB63D0">
        <w:rPr>
          <w:b/>
          <w:szCs w:val="20"/>
          <w:lang w:val="es-EC"/>
        </w:rPr>
        <w:t>Corte IDH. Caso Veliz Franco y otros Vs. Guatemala. Excepciones Preliminares, Fondo, Reparaciones y Costas. Sentencia de 19 de mayo de 2014. Serie C No. 277</w:t>
      </w:r>
    </w:p>
    <w:p w14:paraId="357EC31A" w14:textId="77777777" w:rsidR="007269CF" w:rsidRPr="00BB63D0" w:rsidRDefault="007269CF" w:rsidP="00BB63D0">
      <w:pPr>
        <w:rPr>
          <w:szCs w:val="20"/>
          <w:lang w:val="es-EC"/>
        </w:rPr>
      </w:pPr>
      <w:r w:rsidRPr="00BB63D0">
        <w:rPr>
          <w:szCs w:val="20"/>
          <w:lang w:val="es-EC"/>
        </w:rPr>
        <w:t>210.</w:t>
      </w:r>
      <w:r w:rsidRPr="00BB63D0">
        <w:rPr>
          <w:szCs w:val="20"/>
          <w:lang w:val="es-EC"/>
        </w:rPr>
        <w:tab/>
        <w:t xml:space="preserve">Como ya fue demostrado en el presente caso, las autoridades a cargo de la investigación omitieron pruebas pertinentes para determinar la violencia sexual, o las realizaron tardíamente cuando ya los elementos de prueba, cuya cadena de custodia no se resguardó, estaban contaminados </w:t>
      </w:r>
      <w:r w:rsidRPr="00BB63D0">
        <w:rPr>
          <w:szCs w:val="20"/>
        </w:rPr>
        <w:t>[…]</w:t>
      </w:r>
      <w:r w:rsidRPr="00BB63D0">
        <w:rPr>
          <w:szCs w:val="20"/>
          <w:lang w:val="es-EC"/>
        </w:rPr>
        <w:t>. Además, la Corte considera que la falta de debida diligencia en la investigación del homicidio de la víctima está estrechamente vinculada a la ausencia de normas o protocolos específicos para la investigación de casos de homicidios de mujeres por razón de género y de violencia contra la mujer en general. Tal como ha reconocido el Estado, en el momento de los hechos, no había legislación ni procedimientos específicos para investigar casos de violencia contra la mujer. La mayoría de las leyes y medidas para luchar contra dicho fenómeno han sido adoptadas por el Estado con posterioridad a los hechos del presente caso, por lo que no han podido ser aplicadas al mismo ni han contribuido para la efectividad de la investigación llevada a cabo en relación a la muerte de María Isabel Veliz Franco. Lo anterior podría, en parte, explicar la negligencia estatal, pero no justificarla o fungir como eximente de la responsabilidad internacional del Estado. Ello, en tanto las normas en que se sustentan los derechos y obligaciones aquí examinados mandan la plena observancia de éstas y aquéllos en forma inmediatamente exigible al Estado a partir de la entrada en vigor de los tratados respectivos. Por ello, el Tribunal no puede admitir el argumento del Estado según el cual se eximiría de responsabilidad con base en que las autoridades estatales tomaron todas las medidas pertinentes de conformidad con la legislación vigente en ese momento y dentro de sus posibilidades.</w:t>
      </w:r>
    </w:p>
    <w:p w14:paraId="5B0F996E" w14:textId="77777777" w:rsidR="007269CF" w:rsidRPr="00BB63D0" w:rsidRDefault="007269CF" w:rsidP="00BB63D0">
      <w:pPr>
        <w:rPr>
          <w:szCs w:val="20"/>
          <w:lang w:val="es-EC"/>
        </w:rPr>
      </w:pPr>
      <w:r w:rsidRPr="00BB63D0">
        <w:rPr>
          <w:szCs w:val="20"/>
          <w:lang w:val="es-EC"/>
        </w:rPr>
        <w:t>211.</w:t>
      </w:r>
      <w:r w:rsidRPr="00BB63D0">
        <w:rPr>
          <w:szCs w:val="20"/>
          <w:lang w:val="es-EC"/>
        </w:rPr>
        <w:tab/>
        <w:t xml:space="preserve">Adicionalmente, las dificultades para establecer si María Isabel Veliz Franco fue víctima de violencia contra la mujer según la Convención de Belém do Pará deriva en parte de la ausencia de una investigación profunda y efectiva por parte de las autoridades estatales sobre el incidente violento que causó la muerte de la víctima, así como de sus posibles causas y motivaciones. La Corte ya ha señalado que en el momento de los hechos ocurridos en el 2001, existía en Guatemala un contexto de incremento de homicidios que involucraba actos contra mujeres </w:t>
      </w:r>
      <w:r w:rsidRPr="00BB63D0">
        <w:rPr>
          <w:szCs w:val="20"/>
        </w:rPr>
        <w:t>[…]</w:t>
      </w:r>
      <w:r w:rsidRPr="00BB63D0">
        <w:rPr>
          <w:szCs w:val="20"/>
          <w:lang w:val="es-EC"/>
        </w:rPr>
        <w:t xml:space="preserve">, a lo que se une que en el presente caso había indicios suficientes para sospechar que el homicidio de </w:t>
      </w:r>
      <w:r w:rsidRPr="00BB63D0">
        <w:rPr>
          <w:szCs w:val="20"/>
          <w:lang w:val="es-EC"/>
        </w:rPr>
        <w:lastRenderedPageBreak/>
        <w:t xml:space="preserve">la víctima pudo tener un móvil discriminatorio, por el odio o desprecio por su condición de mujer, o que fue perpetrado con algún tipo de violencia sexual </w:t>
      </w:r>
      <w:r w:rsidRPr="00BB63D0">
        <w:rPr>
          <w:szCs w:val="20"/>
        </w:rPr>
        <w:t>[…]</w:t>
      </w:r>
      <w:r w:rsidRPr="00BB63D0">
        <w:rPr>
          <w:szCs w:val="20"/>
          <w:lang w:val="es-EC"/>
        </w:rPr>
        <w:t xml:space="preserve">. Además, según se desprende del expediente judicial, la señora Rosa Elvira Franco Sandoval comunicó mediante escrito al Fiscal General y Jefe del Ministerio Público que cuando tuvo que ir a la morgue a reconocer a su hija, el forense “le indicó que su hija había sido violada” </w:t>
      </w:r>
      <w:r w:rsidRPr="00BB63D0">
        <w:rPr>
          <w:szCs w:val="20"/>
        </w:rPr>
        <w:t>[…].</w:t>
      </w:r>
    </w:p>
    <w:p w14:paraId="007DFAC4" w14:textId="07C6E1C1" w:rsidR="007269CF" w:rsidRPr="00BB63D0" w:rsidRDefault="007269CF" w:rsidP="00FD29AB">
      <w:pPr>
        <w:pStyle w:val="Ttulo2"/>
      </w:pPr>
      <w:bookmarkStart w:id="32" w:name="_Toc89017888"/>
      <w:r w:rsidRPr="00BB63D0">
        <w:t>Deber reforzado de protección de personas que se encuentren en situación de discriminación</w:t>
      </w:r>
      <w:bookmarkEnd w:id="32"/>
    </w:p>
    <w:p w14:paraId="1F945B8C" w14:textId="77777777" w:rsidR="007269CF" w:rsidRPr="00BB63D0" w:rsidRDefault="007269CF" w:rsidP="00BB63D0">
      <w:pPr>
        <w:rPr>
          <w:b/>
          <w:szCs w:val="20"/>
        </w:rPr>
      </w:pPr>
      <w:r w:rsidRPr="00BB63D0">
        <w:rPr>
          <w:b/>
          <w:szCs w:val="20"/>
        </w:rPr>
        <w:t>Corte IDH. Condición jurídica y derechos de los migrantes indocumentados. Opinión Consultiva OC-18/03 de 17 de septiembre de 2003. Serie A No. 18</w:t>
      </w:r>
    </w:p>
    <w:p w14:paraId="1988C056" w14:textId="096B6B0A" w:rsidR="007269CF" w:rsidRPr="00BB63D0" w:rsidRDefault="007269CF" w:rsidP="00BB63D0">
      <w:pPr>
        <w:rPr>
          <w:b/>
          <w:szCs w:val="20"/>
        </w:rPr>
      </w:pPr>
      <w:r w:rsidRPr="00BB63D0">
        <w:rPr>
          <w:szCs w:val="20"/>
        </w:rPr>
        <w:t>104.</w:t>
      </w:r>
      <w:r w:rsidRPr="00BB63D0">
        <w:rPr>
          <w:szCs w:val="20"/>
        </w:rPr>
        <w:tab/>
      </w:r>
      <w:r w:rsidRPr="00FD29AB">
        <w:rPr>
          <w:szCs w:val="20"/>
        </w:rPr>
        <w:t>Además,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Pr="00BB63D0">
        <w:rPr>
          <w:szCs w:val="20"/>
        </w:rPr>
        <w:t xml:space="preserve"> </w:t>
      </w:r>
      <w:r w:rsidR="00651730">
        <w:rPr>
          <w:rStyle w:val="EnelmismoCar"/>
        </w:rPr>
        <w:t>En similar sentido, ver entre otros</w:t>
      </w:r>
      <w:r w:rsidRPr="00FD29AB">
        <w:rPr>
          <w:rStyle w:val="EnelmismoCar"/>
        </w:rPr>
        <w:t xml:space="preserve">: Caso Comunidad Indígena </w:t>
      </w:r>
      <w:proofErr w:type="spellStart"/>
      <w:r w:rsidRPr="00FD29AB">
        <w:rPr>
          <w:rStyle w:val="EnelmismoCar"/>
        </w:rPr>
        <w:t>Xákmok</w:t>
      </w:r>
      <w:proofErr w:type="spellEnd"/>
      <w:r w:rsidRPr="00FD29AB">
        <w:rPr>
          <w:rStyle w:val="EnelmismoCar"/>
        </w:rPr>
        <w:t xml:space="preserve"> </w:t>
      </w:r>
      <w:proofErr w:type="spellStart"/>
      <w:r w:rsidRPr="00FD29AB">
        <w:rPr>
          <w:rStyle w:val="EnelmismoCar"/>
        </w:rPr>
        <w:t>Kásek</w:t>
      </w:r>
      <w:proofErr w:type="spellEnd"/>
      <w:r w:rsidRPr="00FD29AB">
        <w:rPr>
          <w:rStyle w:val="EnelmismoCar"/>
        </w:rPr>
        <w:t xml:space="preserve"> Vs. Paraguay. Fondo, Reparaciones y Costas. Sentencia de 24 de agosto de 2010. Serie C No. 214, párr. 271; Caso </w:t>
      </w:r>
      <w:proofErr w:type="spellStart"/>
      <w:r w:rsidRPr="00FD29AB">
        <w:rPr>
          <w:rStyle w:val="EnelmismoCar"/>
        </w:rPr>
        <w:t>Nadege</w:t>
      </w:r>
      <w:proofErr w:type="spellEnd"/>
      <w:r w:rsidRPr="00FD29AB">
        <w:rPr>
          <w:rStyle w:val="EnelmismoCar"/>
        </w:rPr>
        <w:t xml:space="preserve"> </w:t>
      </w:r>
      <w:proofErr w:type="spellStart"/>
      <w:r w:rsidRPr="00FD29AB">
        <w:rPr>
          <w:rStyle w:val="EnelmismoCar"/>
        </w:rPr>
        <w:t>Dorzema</w:t>
      </w:r>
      <w:proofErr w:type="spellEnd"/>
      <w:r w:rsidRPr="00FD29AB">
        <w:rPr>
          <w:rStyle w:val="EnelmismoCar"/>
        </w:rPr>
        <w:t xml:space="preserve"> y otros Vs. República Dominicana. Fondo Reparaciones y Costas. Sentencia de 24 de octubre de 2012. Serie C No. 251, párr. 236; Caso Atala Riffo y niñas Vs. Chile. Fondo, Reparaciones y Costas. Sentencia de 24 de febrero de 2012. Serie C No. 239, párr. 80; Caso Veliz Franco y otros Vs. Guatemala. Excepciones Preliminares, Fondo, Reparaciones y Costas. Sentencia de 19 de mayo de 2014. Serie C No. 277, párr. 206; Caso Norín Catrimán y otros (Dirigentes, miembros y activista del Pueblo Indígena Mapuche) Vs. Chile. Fondo, Reparaciones y Costas. Sentencia de 29 de mayo de 2014. Serie C No. 279, párr. 201; Caso Trabajadores de la Hacienda Brasil Verde Vs. Brasil. Excepciones Preliminares, Fondo, Reparaciones y Costas. Sentencia de 20 de octubre de 2016. Serie C No. 318, párr. 336; Caso de personas dominicanas y haitianas expulsadas Vs. República Dominicana. Excepciones Preliminares, Fondo, Reparaciones y Costas. Sentencia de 28 de agosto de 2014. Serie C No. 282, párr. 263. </w:t>
      </w:r>
    </w:p>
    <w:p w14:paraId="2E4758BE" w14:textId="77777777" w:rsidR="007269CF" w:rsidRPr="00BB63D0" w:rsidRDefault="007269CF" w:rsidP="00BB63D0">
      <w:pPr>
        <w:rPr>
          <w:b/>
          <w:szCs w:val="20"/>
        </w:rPr>
      </w:pPr>
      <w:r w:rsidRPr="00BB63D0">
        <w:rPr>
          <w:szCs w:val="20"/>
        </w:rPr>
        <w:t>105.</w:t>
      </w:r>
      <w:r w:rsidRPr="00BB63D0">
        <w:rPr>
          <w:szCs w:val="20"/>
        </w:rPr>
        <w:tab/>
        <w:t>En razón de los efectos derivados de esta obligación general, los Estados sólo podrán establecer distinciones objetivas y razonables, cuando éstas se realicen con el debido respeto a los derechos humanos y de conformidad con el principio de la aplicación de la norma que mejor proteja a la persona humana</w:t>
      </w:r>
      <w:r w:rsidRPr="00BB63D0">
        <w:rPr>
          <w:b/>
          <w:szCs w:val="20"/>
        </w:rPr>
        <w:t>.</w:t>
      </w:r>
    </w:p>
    <w:p w14:paraId="192999CC" w14:textId="05ADE17E" w:rsidR="007269CF" w:rsidRPr="00BB63D0" w:rsidRDefault="007269CF" w:rsidP="00BB63D0">
      <w:pPr>
        <w:rPr>
          <w:b/>
          <w:szCs w:val="20"/>
        </w:rPr>
      </w:pPr>
      <w:r w:rsidRPr="00BB63D0">
        <w:rPr>
          <w:b/>
          <w:szCs w:val="20"/>
        </w:rPr>
        <w:t>Corte IDH. Caso de las comunidades afrodescendientes desplazadas de la Cuenca del Río Cacarica (Operación Génesis) Vs. Colombia. Excepciones Preliminares, Fondo, Reparaciones y Costas. Sentencia de 20 de noviembre de 2013. Serie C No. 270</w:t>
      </w:r>
      <w:r w:rsidRPr="00D03D1F">
        <w:rPr>
          <w:rStyle w:val="Refdenotaalpie"/>
          <w:b/>
          <w:lang w:val="es-ES_tradnl"/>
        </w:rPr>
        <w:footnoteReference w:id="48"/>
      </w:r>
    </w:p>
    <w:p w14:paraId="6BFDF70E" w14:textId="77777777" w:rsidR="007269CF" w:rsidRPr="00BB63D0" w:rsidRDefault="007269CF" w:rsidP="00BB63D0">
      <w:pPr>
        <w:rPr>
          <w:szCs w:val="20"/>
        </w:rPr>
      </w:pPr>
      <w:r w:rsidRPr="00BB63D0">
        <w:rPr>
          <w:szCs w:val="20"/>
        </w:rPr>
        <w:lastRenderedPageBreak/>
        <w:t>332.</w:t>
      </w:r>
      <w:r w:rsidRPr="00BB63D0">
        <w:rPr>
          <w:szCs w:val="20"/>
        </w:rPr>
        <w:tab/>
        <w:t xml:space="preserve">Con respecto a la obligación de garantizar los derechos sin discriminación, la Corte ha establecido que el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 </w:t>
      </w:r>
      <w:r w:rsidRPr="00FD29AB">
        <w:rPr>
          <w:szCs w:val="20"/>
        </w:rPr>
        <w:t>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p>
    <w:p w14:paraId="08FBCD06" w14:textId="77777777" w:rsidR="007269CF" w:rsidRPr="00BB63D0" w:rsidRDefault="007269CF" w:rsidP="00FD29AB">
      <w:pPr>
        <w:pStyle w:val="Caso"/>
        <w:rPr>
          <w:lang w:val="es-HN"/>
        </w:rPr>
      </w:pPr>
      <w:r w:rsidRPr="00BB63D0">
        <w:rPr>
          <w:lang w:val="es-HN"/>
        </w:rPr>
        <w:t>Corte IDH. Caso Poblete Vilches y otros Vs. Chile. Fondo, Reparaciones y Costas. Sentencia de 8 de marzo de 2018. Serie C No. 349</w:t>
      </w:r>
    </w:p>
    <w:p w14:paraId="3EF51940" w14:textId="19978DD4" w:rsidR="007269CF" w:rsidRDefault="007269CF" w:rsidP="00BB63D0">
      <w:pPr>
        <w:rPr>
          <w:szCs w:val="20"/>
          <w:lang w:val="es-HN"/>
        </w:rPr>
      </w:pPr>
      <w:r w:rsidRPr="00BB63D0">
        <w:rPr>
          <w:szCs w:val="20"/>
          <w:lang w:val="es-HN"/>
        </w:rPr>
        <w:t>127.</w:t>
      </w:r>
      <w:r w:rsidRPr="00BB63D0">
        <w:rPr>
          <w:szCs w:val="20"/>
          <w:lang w:val="es-HN"/>
        </w:rPr>
        <w:tab/>
        <w:t>Tales instrumentos internacionales reconocen un catálogo mínimo de derechos humanos, cuyo respeto es imprescindible para el más alto desarrollo de la persona mayor en todos los aspectos de su vida y en las mejores condiciones posibles, destacando en particular el derecho a la salud. Asimismo, las personas mayores, tienen derecho a una protección reforzada y, por ende, exige la adopción de medidas diferenciadas. Respecto al derecho a la salud, sea en la esfera privada como en la pública, el Estado tiene el deber de asegurar todas las medidas necesarias a su alcance, a fin de garantizar el mayor nivel de salud posible, sin discriminación. Se desprende también un avance en los estándares internacionales en materia de derechos de las personas mayores, al entender y reconocer la vejez de manera digna y por ende el trato frente a ella. Así, resalta en la región diversas agendas de mayor inclusión del adulto mayor en las políticas públicas, a través programas de sensibilización y valorización del adulto mayor en la sociedad, la creación de planes nacionales para abordar el tema de la vejez de manera integral, así como también sus necesidades, la promulgación de leyes y la facilitación del acceso a sistemas de seguridad social.</w:t>
      </w:r>
    </w:p>
    <w:p w14:paraId="6628CB7D" w14:textId="17A45F10" w:rsidR="007269CF" w:rsidRDefault="007269CF" w:rsidP="00F41528">
      <w:pPr>
        <w:pStyle w:val="Caso"/>
        <w:rPr>
          <w:lang w:val="es-HN"/>
        </w:rPr>
      </w:pPr>
      <w:r w:rsidRPr="00F41528">
        <w:rPr>
          <w:lang w:val="es-HN"/>
        </w:rPr>
        <w:t>Corte IDH. Caso Guzmán Albarracín y otras Vs. Ecuador. Fondo, Reparaciones y Costas. Sentencia de 24 de junio de 2020. Serie C No. 405</w:t>
      </w:r>
    </w:p>
    <w:p w14:paraId="17DF9D0A" w14:textId="5BA2EDB4" w:rsidR="007269CF" w:rsidRDefault="007269CF" w:rsidP="00BB63D0">
      <w:pPr>
        <w:rPr>
          <w:szCs w:val="20"/>
          <w:lang w:val="es-HN"/>
        </w:rPr>
      </w:pPr>
      <w:r w:rsidRPr="00F41528">
        <w:rPr>
          <w:szCs w:val="20"/>
          <w:lang w:val="es-HN"/>
        </w:rPr>
        <w:t>142. Ahora bien, en virtud de la obligación de no discriminar, los Estados están “obligados [...] a adoptar medidas positivas para revertir o cambiar situaciones discriminatorias existentes en sus sociedades, en perjuicio de determinado grupo de personas”. Por eso, “[l]os Estados deben invertir en medidas proactivas que promuevan el empoderamiento de las niñas e impugnen las normas y los estereotipos patriarcales y otras normas y estereotipos de género perjudiciales, así como en reformas jurídicas, para hacer frente a la discriminación directa e indirecta contra las niñas”. Este deber tiene vinculación con los artículos 19 de la Convención Americana y 7.c de la Convención de Belém do Pará. Pese a ello, no consta que antes de diciembre de 2002 el Estado adoptara políticas, que tuvieran un impacto efectivo en el ámbito educativo de Paola y que procuraran prevenir o revertir situaciones de violencia de género contra niñas en el marco de la enseñanza. Por lo expuesto, los actos de acoso y abuso sexual cometidos contra Paola no solo constituyeron, en sí mismos, actos de violencia y discriminación en que confluyeron, de modo interseccional, distintos factores de vulnerabilidad y riesgo de discriminación, como la edad y la condición de mujer. Esos actos de violencia y discriminación se enmarcaron, además, en una situación</w:t>
      </w:r>
      <w:r>
        <w:rPr>
          <w:szCs w:val="20"/>
          <w:lang w:val="es-HN"/>
        </w:rPr>
        <w:t xml:space="preserve"> </w:t>
      </w:r>
      <w:r w:rsidRPr="00F41528">
        <w:rPr>
          <w:szCs w:val="20"/>
          <w:lang w:val="es-HN"/>
        </w:rPr>
        <w:t xml:space="preserve">estructural, en la que pese a ser la violencia sexual en el ámbito educativo un problema existente y conocido, el Estado no había adoptado medidas efectivas para revertirlo </w:t>
      </w:r>
      <w:r w:rsidR="005B7B62">
        <w:rPr>
          <w:szCs w:val="20"/>
          <w:lang w:val="es-HN"/>
        </w:rPr>
        <w:t>[...]</w:t>
      </w:r>
      <w:r w:rsidRPr="00F41528">
        <w:rPr>
          <w:szCs w:val="20"/>
          <w:lang w:val="es-HN"/>
        </w:rPr>
        <w:t xml:space="preserve">. Por ello, en relación con los derechos humanos afectados por la violencia sexual que sufrió Paola </w:t>
      </w:r>
      <w:r w:rsidR="005B7B62">
        <w:rPr>
          <w:szCs w:val="20"/>
          <w:lang w:val="es-HN"/>
        </w:rPr>
        <w:t>[...]</w:t>
      </w:r>
      <w:r w:rsidRPr="00F41528">
        <w:rPr>
          <w:szCs w:val="20"/>
          <w:lang w:val="es-HN"/>
        </w:rPr>
        <w:t>, el Estado incumplió sus obligaciones de respetarlos y garantizarlos sin discriminación.</w:t>
      </w:r>
    </w:p>
    <w:p w14:paraId="46EB9192" w14:textId="77777777" w:rsidR="007269CF" w:rsidRDefault="007269CF" w:rsidP="00634A49">
      <w:pPr>
        <w:pStyle w:val="Caso"/>
        <w:rPr>
          <w:lang w:val="es-CR"/>
        </w:rPr>
      </w:pPr>
      <w:r w:rsidRPr="00634A49">
        <w:rPr>
          <w:lang w:val="es-CR"/>
        </w:rPr>
        <w:lastRenderedPageBreak/>
        <w:t xml:space="preserve">Corte IDH. Caso de los Empleados de la Fábrica de Fuegos de Santo </w:t>
      </w:r>
      <w:proofErr w:type="spellStart"/>
      <w:r w:rsidRPr="00634A49">
        <w:rPr>
          <w:lang w:val="es-CR"/>
        </w:rPr>
        <w:t>Antônio</w:t>
      </w:r>
      <w:proofErr w:type="spellEnd"/>
      <w:r w:rsidRPr="00634A49">
        <w:rPr>
          <w:lang w:val="es-CR"/>
        </w:rPr>
        <w:t xml:space="preserve"> de </w:t>
      </w:r>
      <w:proofErr w:type="spellStart"/>
      <w:r w:rsidRPr="00634A49">
        <w:rPr>
          <w:lang w:val="es-CR"/>
        </w:rPr>
        <w:t>Jesus</w:t>
      </w:r>
      <w:proofErr w:type="spellEnd"/>
      <w:r w:rsidRPr="00634A49">
        <w:rPr>
          <w:lang w:val="es-CR"/>
        </w:rPr>
        <w:t xml:space="preserve"> y sus familiares Vs. Brasil. Excepciones Preliminares, Fondo, Reparaciones y Costas. Sentencia de 15 de julio de 2020. Serie C No. 407.</w:t>
      </w:r>
    </w:p>
    <w:p w14:paraId="3DBC7735" w14:textId="60B55B99" w:rsidR="007269CF" w:rsidRDefault="007269CF" w:rsidP="00634A49">
      <w:pPr>
        <w:rPr>
          <w:szCs w:val="20"/>
          <w:lang w:val="es-CR"/>
        </w:rPr>
      </w:pPr>
      <w:r w:rsidRPr="00634A49">
        <w:rPr>
          <w:szCs w:val="20"/>
          <w:lang w:val="es-CR"/>
        </w:rPr>
        <w:t xml:space="preserve">186. Al respecto, la Corte recuerda que los Estados </w:t>
      </w:r>
      <w:proofErr w:type="spellStart"/>
      <w:r w:rsidRPr="00634A49">
        <w:rPr>
          <w:szCs w:val="20"/>
          <w:lang w:val="es-CR"/>
        </w:rPr>
        <w:t>están</w:t>
      </w:r>
      <w:proofErr w:type="spellEnd"/>
      <w:r w:rsidRPr="00634A49">
        <w:rPr>
          <w:szCs w:val="20"/>
          <w:lang w:val="es-CR"/>
        </w:rPr>
        <w:t xml:space="preserve"> obligados “a adoptar medidas positivas para revertir o cambiar situaciones discriminatorias existentes en sus sociedades, en perjuicio de determinado grupo de personas. Esto implica el deber especial de protección que el Estado debe ejercer respecto de actuaciones y </w:t>
      </w:r>
      <w:proofErr w:type="spellStart"/>
      <w:r w:rsidRPr="00634A49">
        <w:rPr>
          <w:szCs w:val="20"/>
          <w:lang w:val="es-CR"/>
        </w:rPr>
        <w:t>prácticas</w:t>
      </w:r>
      <w:proofErr w:type="spellEnd"/>
      <w:r w:rsidRPr="00634A49">
        <w:rPr>
          <w:szCs w:val="20"/>
          <w:lang w:val="es-CR"/>
        </w:rPr>
        <w:t xml:space="preserve"> de terceros que, bajo su tolerancia o aquiescencia, creen, mantengan o favorezcan las situaciones discriminatorias” y, </w:t>
      </w:r>
      <w:proofErr w:type="spellStart"/>
      <w:r w:rsidRPr="00634A49">
        <w:rPr>
          <w:szCs w:val="20"/>
          <w:lang w:val="es-CR"/>
        </w:rPr>
        <w:t>además</w:t>
      </w:r>
      <w:proofErr w:type="spellEnd"/>
      <w:r w:rsidRPr="00634A49">
        <w:rPr>
          <w:szCs w:val="20"/>
          <w:lang w:val="es-CR"/>
        </w:rPr>
        <w:t xml:space="preserve">, que los Estados </w:t>
      </w:r>
      <w:proofErr w:type="spellStart"/>
      <w:r w:rsidRPr="00634A49">
        <w:rPr>
          <w:szCs w:val="20"/>
          <w:lang w:val="es-CR"/>
        </w:rPr>
        <w:t>están</w:t>
      </w:r>
      <w:proofErr w:type="spellEnd"/>
      <w:r w:rsidRPr="00634A49">
        <w:rPr>
          <w:szCs w:val="20"/>
          <w:lang w:val="es-CR"/>
        </w:rPr>
        <w:t xml:space="preserve"> obligados a adoptar medidas positivas, determinables en</w:t>
      </w:r>
      <w:r>
        <w:rPr>
          <w:szCs w:val="20"/>
          <w:lang w:val="es-CR"/>
        </w:rPr>
        <w:t xml:space="preserve"> </w:t>
      </w:r>
      <w:proofErr w:type="spellStart"/>
      <w:r w:rsidRPr="00634A49">
        <w:rPr>
          <w:szCs w:val="20"/>
          <w:lang w:val="es-CR"/>
        </w:rPr>
        <w:t>función</w:t>
      </w:r>
      <w:proofErr w:type="spellEnd"/>
      <w:r w:rsidRPr="00634A49">
        <w:rPr>
          <w:szCs w:val="20"/>
          <w:lang w:val="es-CR"/>
        </w:rPr>
        <w:t xml:space="preserve"> de las particulares necesidades de protección del sujeto de derecho, ya sea por su condición personal o por la situación </w:t>
      </w:r>
      <w:proofErr w:type="spellStart"/>
      <w:r w:rsidRPr="00634A49">
        <w:rPr>
          <w:szCs w:val="20"/>
          <w:lang w:val="es-CR"/>
        </w:rPr>
        <w:t>específica</w:t>
      </w:r>
      <w:proofErr w:type="spellEnd"/>
      <w:r w:rsidRPr="00634A49">
        <w:rPr>
          <w:szCs w:val="20"/>
          <w:lang w:val="es-CR"/>
        </w:rPr>
        <w:t xml:space="preserve"> en que se encuentre, como la extrema pobreza o </w:t>
      </w:r>
      <w:proofErr w:type="spellStart"/>
      <w:r w:rsidRPr="00634A49">
        <w:rPr>
          <w:szCs w:val="20"/>
          <w:lang w:val="es-CR"/>
        </w:rPr>
        <w:t>marginación</w:t>
      </w:r>
      <w:proofErr w:type="spellEnd"/>
      <w:r w:rsidRPr="00634A49">
        <w:rPr>
          <w:szCs w:val="20"/>
          <w:lang w:val="es-CR"/>
        </w:rPr>
        <w:t>.</w:t>
      </w:r>
    </w:p>
    <w:p w14:paraId="2360FB70" w14:textId="77777777" w:rsidR="00144A80" w:rsidRDefault="00144A80" w:rsidP="00144A80">
      <w:pPr>
        <w:pStyle w:val="Caso"/>
        <w:rPr>
          <w:lang w:val="es-ES_tradnl"/>
        </w:rPr>
      </w:pPr>
      <w:r w:rsidRPr="00144A80">
        <w:rPr>
          <w:lang w:val="es-ES_tradnl"/>
        </w:rPr>
        <w:t>Corte IDH. Derechos a la libertad sindical, negociación colectiva y huelga, y su relación con otros derechos, con perspectiva de género (interpretación y alcance de los artículos 13, 15, 16, 24, 25 y 26, en relación con los artículos 1.1 y 2 de la Convención Americana sobre Derechos Humanos, de los artículos 3, 6, 7 y 8 del Protocolo de San Salvador, de los artículos 2, 3, 4, 5 y 6 de la Convención de Belem do Pará, de los artículos 34, 44 y 45 de la Carta de la Organización de los Estados Americanos, y de los artículos II, IV, XIV, XXI y XXII de la Declaración Americana de los Derechos y Deberes del Hombre). Opinión Consultiva OC-27/21 de 5 de mayo de 2021. Serie A No. 27</w:t>
      </w:r>
    </w:p>
    <w:p w14:paraId="74DE14E3" w14:textId="52C67AC7" w:rsidR="00144A80" w:rsidRDefault="00144A80" w:rsidP="00144A80">
      <w:pPr>
        <w:rPr>
          <w:szCs w:val="20"/>
          <w:lang w:val="es-ES_tradnl"/>
        </w:rPr>
      </w:pPr>
      <w:r w:rsidRPr="00412B5B">
        <w:rPr>
          <w:szCs w:val="20"/>
          <w:lang w:val="es-ES_tradnl"/>
        </w:rPr>
        <w:t>162.</w:t>
      </w:r>
      <w:r w:rsidRPr="00412B5B">
        <w:rPr>
          <w:szCs w:val="20"/>
          <w:lang w:val="es-ES_tradnl"/>
        </w:rPr>
        <w:tab/>
        <w:t>Al respecto, la Corte recuerda que los Estados están obligados a adoptar medidas positivas para revertir o cambiar situaciones discriminatorias existentes en sus sociedades, en perjuicio de determinado grupo de personas. Esto implica el deber especial de protección que el Estado debe ejercer respecto de actuaciones y prácticas de terceros que, bajo su tolerancia o aquiescencia, creen, mantengan o favorezcan las situaciones discriminatorias y, además, que los Estados están obligados a adoptar medidas positivas, determinables en función de las particulares necesidades de protección del sujeto de derecho, ya sea por su condición personal o por la situación específica en que se encuentre, como la extrema pobreza o marginación.</w:t>
      </w:r>
    </w:p>
    <w:p w14:paraId="0885175E" w14:textId="77777777" w:rsidR="00144A80" w:rsidRPr="00144A80" w:rsidRDefault="00144A80" w:rsidP="00FD5063">
      <w:pPr>
        <w:pStyle w:val="Caso"/>
        <w:rPr>
          <w:lang w:val="es-ES_tradnl"/>
        </w:rPr>
      </w:pPr>
    </w:p>
    <w:p w14:paraId="009ED09B" w14:textId="366980F5" w:rsidR="007269CF" w:rsidRDefault="007269CF" w:rsidP="00FD5063">
      <w:pPr>
        <w:pStyle w:val="Caso"/>
        <w:rPr>
          <w:lang w:val="es-CR"/>
        </w:rPr>
      </w:pPr>
      <w:r w:rsidRPr="00FD5063">
        <w:rPr>
          <w:lang w:val="es-CR"/>
        </w:rPr>
        <w:t xml:space="preserve">Corte IDH. Caso de los Buzos </w:t>
      </w:r>
      <w:proofErr w:type="spellStart"/>
      <w:r w:rsidRPr="00FD5063">
        <w:rPr>
          <w:lang w:val="es-CR"/>
        </w:rPr>
        <w:t>Miskitos</w:t>
      </w:r>
      <w:proofErr w:type="spellEnd"/>
      <w:r w:rsidRPr="00FD5063">
        <w:rPr>
          <w:lang w:val="es-CR"/>
        </w:rPr>
        <w:t xml:space="preserve"> (</w:t>
      </w:r>
      <w:proofErr w:type="spellStart"/>
      <w:r w:rsidRPr="00FD5063">
        <w:rPr>
          <w:lang w:val="es-CR"/>
        </w:rPr>
        <w:t>Lemoth</w:t>
      </w:r>
      <w:proofErr w:type="spellEnd"/>
      <w:r w:rsidRPr="00FD5063">
        <w:rPr>
          <w:lang w:val="es-CR"/>
        </w:rPr>
        <w:t xml:space="preserve"> Morris y otros) Vs. Honduras. Sentencia de 31 de agosto de 2021. Serie C No. 432</w:t>
      </w:r>
    </w:p>
    <w:p w14:paraId="51ACC1E6" w14:textId="4CD52262" w:rsidR="007269CF" w:rsidRPr="00FD5063" w:rsidRDefault="007269CF" w:rsidP="00FD5063">
      <w:pPr>
        <w:rPr>
          <w:szCs w:val="20"/>
          <w:lang w:val="es-CR"/>
        </w:rPr>
      </w:pPr>
      <w:r w:rsidRPr="00FD5063">
        <w:rPr>
          <w:szCs w:val="20"/>
          <w:lang w:val="es-CR"/>
        </w:rPr>
        <w:t xml:space="preserve">108. Por otra parte, la Corte recuerda que del artículo 24 de la Convención se desprende un mandato orientado a garantizar la igualdad material, lo que no </w:t>
      </w:r>
      <w:proofErr w:type="spellStart"/>
      <w:r w:rsidRPr="00FD5063">
        <w:rPr>
          <w:szCs w:val="20"/>
          <w:lang w:val="es-CR"/>
        </w:rPr>
        <w:t>sucedio</w:t>
      </w:r>
      <w:proofErr w:type="spellEnd"/>
      <w:r w:rsidRPr="00FD5063">
        <w:rPr>
          <w:szCs w:val="20"/>
          <w:lang w:val="es-CR"/>
        </w:rPr>
        <w:t xml:space="preserve">́ en el presente caso. En ese sentido, la Corte recuerda que el derecho a la igualdad garantizado por el artículo 24 convencional tiene dos dimensiones, la primera una </w:t>
      </w:r>
      <w:proofErr w:type="spellStart"/>
      <w:r w:rsidRPr="00FD5063">
        <w:rPr>
          <w:szCs w:val="20"/>
          <w:lang w:val="es-CR"/>
        </w:rPr>
        <w:t>dimensión</w:t>
      </w:r>
      <w:proofErr w:type="spellEnd"/>
      <w:r w:rsidRPr="00FD5063">
        <w:rPr>
          <w:szCs w:val="20"/>
          <w:lang w:val="es-CR"/>
        </w:rPr>
        <w:t xml:space="preserve"> formal, que establece la igualdad ante la ley. La segunda, una </w:t>
      </w:r>
      <w:proofErr w:type="spellStart"/>
      <w:r w:rsidRPr="00FD5063">
        <w:rPr>
          <w:szCs w:val="20"/>
          <w:lang w:val="es-CR"/>
        </w:rPr>
        <w:t>dimensión</w:t>
      </w:r>
      <w:proofErr w:type="spellEnd"/>
      <w:r w:rsidRPr="00FD5063">
        <w:rPr>
          <w:szCs w:val="20"/>
          <w:lang w:val="es-CR"/>
        </w:rPr>
        <w:t xml:space="preserve"> material o sustancial, que ordena la </w:t>
      </w:r>
      <w:proofErr w:type="spellStart"/>
      <w:r w:rsidRPr="00FD5063">
        <w:rPr>
          <w:szCs w:val="20"/>
          <w:lang w:val="es-CR"/>
        </w:rPr>
        <w:t>adopción</w:t>
      </w:r>
      <w:proofErr w:type="spellEnd"/>
      <w:r w:rsidRPr="00FD5063">
        <w:rPr>
          <w:szCs w:val="20"/>
          <w:lang w:val="es-CR"/>
        </w:rPr>
        <w:t xml:space="preserve"> de medidas positivas de </w:t>
      </w:r>
      <w:proofErr w:type="spellStart"/>
      <w:r w:rsidRPr="00FD5063">
        <w:rPr>
          <w:szCs w:val="20"/>
          <w:lang w:val="es-CR"/>
        </w:rPr>
        <w:t>promoción</w:t>
      </w:r>
      <w:proofErr w:type="spellEnd"/>
      <w:r w:rsidRPr="00FD5063">
        <w:rPr>
          <w:szCs w:val="20"/>
          <w:lang w:val="es-CR"/>
        </w:rPr>
        <w:t xml:space="preserve"> a favor de grupos </w:t>
      </w:r>
      <w:proofErr w:type="spellStart"/>
      <w:r w:rsidRPr="00FD5063">
        <w:rPr>
          <w:szCs w:val="20"/>
          <w:lang w:val="es-CR"/>
        </w:rPr>
        <w:t>históricamente</w:t>
      </w:r>
      <w:proofErr w:type="spellEnd"/>
      <w:r w:rsidRPr="00FD5063">
        <w:rPr>
          <w:szCs w:val="20"/>
          <w:lang w:val="es-CR"/>
        </w:rPr>
        <w:t xml:space="preserve"> discriminados o marginados en </w:t>
      </w:r>
      <w:proofErr w:type="spellStart"/>
      <w:r w:rsidRPr="00FD5063">
        <w:rPr>
          <w:szCs w:val="20"/>
          <w:lang w:val="es-CR"/>
        </w:rPr>
        <w:t>razón</w:t>
      </w:r>
      <w:proofErr w:type="spellEnd"/>
      <w:r w:rsidRPr="00FD5063">
        <w:rPr>
          <w:szCs w:val="20"/>
          <w:lang w:val="es-CR"/>
        </w:rPr>
        <w:t xml:space="preserve"> de los factores a los que hace referencia el artículo 1.1 de la Convención Americana. Lo anterior quiere decir que el derecho a la igualdad implica la obligación de adoptar medidas para garantizar que la igualdad sea real y efectiva, esto es, corregir las desigualdades existentes, promover la </w:t>
      </w:r>
      <w:proofErr w:type="spellStart"/>
      <w:r w:rsidRPr="00FD5063">
        <w:rPr>
          <w:szCs w:val="20"/>
          <w:lang w:val="es-CR"/>
        </w:rPr>
        <w:t>inclusión</w:t>
      </w:r>
      <w:proofErr w:type="spellEnd"/>
      <w:r w:rsidRPr="00FD5063">
        <w:rPr>
          <w:szCs w:val="20"/>
          <w:lang w:val="es-CR"/>
        </w:rPr>
        <w:t xml:space="preserve"> y la </w:t>
      </w:r>
      <w:proofErr w:type="spellStart"/>
      <w:r w:rsidRPr="00FD5063">
        <w:rPr>
          <w:szCs w:val="20"/>
          <w:lang w:val="es-CR"/>
        </w:rPr>
        <w:t>participación</w:t>
      </w:r>
      <w:proofErr w:type="spellEnd"/>
      <w:r w:rsidRPr="00FD5063">
        <w:rPr>
          <w:szCs w:val="20"/>
          <w:lang w:val="es-CR"/>
        </w:rPr>
        <w:t xml:space="preserve"> de los grupos </w:t>
      </w:r>
      <w:proofErr w:type="spellStart"/>
      <w:r w:rsidRPr="00FD5063">
        <w:rPr>
          <w:szCs w:val="20"/>
          <w:lang w:val="es-CR"/>
        </w:rPr>
        <w:t>históricamente</w:t>
      </w:r>
      <w:proofErr w:type="spellEnd"/>
      <w:r w:rsidRPr="00FD5063">
        <w:rPr>
          <w:szCs w:val="20"/>
          <w:lang w:val="es-CR"/>
        </w:rPr>
        <w:t xml:space="preserve"> marginados, garantizar a las personas o grupos en desventaja el goce efectivo de sus derechos, en suma, brindar a las personas posibilidades concretas de ver realizada, en sus propios casos, la igualdad material. Para ello, los Estados deben enfrentar activamente situaciones de </w:t>
      </w:r>
      <w:proofErr w:type="spellStart"/>
      <w:r w:rsidRPr="00FD5063">
        <w:rPr>
          <w:szCs w:val="20"/>
          <w:lang w:val="es-CR"/>
        </w:rPr>
        <w:t>exclusión</w:t>
      </w:r>
      <w:proofErr w:type="spellEnd"/>
      <w:r w:rsidRPr="00FD5063">
        <w:rPr>
          <w:szCs w:val="20"/>
          <w:lang w:val="es-CR"/>
        </w:rPr>
        <w:t xml:space="preserve"> y </w:t>
      </w:r>
      <w:proofErr w:type="spellStart"/>
      <w:r w:rsidRPr="00FD5063">
        <w:rPr>
          <w:szCs w:val="20"/>
          <w:lang w:val="es-CR"/>
        </w:rPr>
        <w:t>marginación</w:t>
      </w:r>
      <w:proofErr w:type="spellEnd"/>
      <w:r w:rsidRPr="00FD5063">
        <w:rPr>
          <w:szCs w:val="20"/>
          <w:lang w:val="es-CR"/>
        </w:rPr>
        <w:t>.</w:t>
      </w:r>
    </w:p>
    <w:p w14:paraId="2887F358" w14:textId="6B976746" w:rsidR="007269CF" w:rsidRPr="00634A49" w:rsidRDefault="007269CF" w:rsidP="00FD5063">
      <w:pPr>
        <w:rPr>
          <w:szCs w:val="20"/>
          <w:lang w:val="es-CR"/>
        </w:rPr>
      </w:pPr>
      <w:r w:rsidRPr="00FD5063">
        <w:rPr>
          <w:szCs w:val="20"/>
          <w:lang w:val="es-CR"/>
        </w:rPr>
        <w:t xml:space="preserve">109. En el caso concreto, este Tribunal advierte que el Estado no adoptó ninguna medida que pueda ser valorada por la Corte como una forma efectiva de enfrentar o de buscar revertir la situación de pobreza y </w:t>
      </w:r>
      <w:proofErr w:type="spellStart"/>
      <w:r w:rsidRPr="00FD5063">
        <w:rPr>
          <w:szCs w:val="20"/>
          <w:lang w:val="es-CR"/>
        </w:rPr>
        <w:t>marginación</w:t>
      </w:r>
      <w:proofErr w:type="spellEnd"/>
      <w:r w:rsidRPr="00FD5063">
        <w:rPr>
          <w:szCs w:val="20"/>
          <w:lang w:val="es-CR"/>
        </w:rPr>
        <w:t xml:space="preserve"> estructural de las </w:t>
      </w:r>
      <w:proofErr w:type="spellStart"/>
      <w:r w:rsidRPr="00FD5063">
        <w:rPr>
          <w:szCs w:val="20"/>
          <w:lang w:val="es-CR"/>
        </w:rPr>
        <w:t>víctimas</w:t>
      </w:r>
      <w:proofErr w:type="spellEnd"/>
      <w:r w:rsidRPr="00FD5063">
        <w:rPr>
          <w:szCs w:val="20"/>
          <w:lang w:val="es-CR"/>
        </w:rPr>
        <w:t xml:space="preserve">, </w:t>
      </w:r>
      <w:r w:rsidRPr="00FD5063">
        <w:rPr>
          <w:szCs w:val="20"/>
          <w:lang w:val="es-CR"/>
        </w:rPr>
        <w:lastRenderedPageBreak/>
        <w:t xml:space="preserve">con atención a los factores de discriminación que </w:t>
      </w:r>
      <w:proofErr w:type="spellStart"/>
      <w:r w:rsidRPr="00FD5063">
        <w:rPr>
          <w:szCs w:val="20"/>
          <w:lang w:val="es-CR"/>
        </w:rPr>
        <w:t>confluían</w:t>
      </w:r>
      <w:proofErr w:type="spellEnd"/>
      <w:r w:rsidRPr="00FD5063">
        <w:rPr>
          <w:szCs w:val="20"/>
          <w:lang w:val="es-CR"/>
        </w:rPr>
        <w:t xml:space="preserve">. </w:t>
      </w:r>
      <w:proofErr w:type="spellStart"/>
      <w:r w:rsidRPr="00FD5063">
        <w:rPr>
          <w:szCs w:val="20"/>
          <w:lang w:val="es-CR"/>
        </w:rPr>
        <w:t>Además</w:t>
      </w:r>
      <w:proofErr w:type="spellEnd"/>
      <w:r w:rsidRPr="00FD5063">
        <w:rPr>
          <w:szCs w:val="20"/>
          <w:lang w:val="es-CR"/>
        </w:rPr>
        <w:t xml:space="preserve">, el Estado </w:t>
      </w:r>
      <w:proofErr w:type="spellStart"/>
      <w:r w:rsidRPr="00FD5063">
        <w:rPr>
          <w:szCs w:val="20"/>
          <w:lang w:val="es-CR"/>
        </w:rPr>
        <w:t>tenía</w:t>
      </w:r>
      <w:proofErr w:type="spellEnd"/>
      <w:r w:rsidRPr="00FD5063">
        <w:rPr>
          <w:szCs w:val="20"/>
          <w:lang w:val="es-CR"/>
        </w:rPr>
        <w:t xml:space="preserve"> conocimiento de la situación de especial vulnerabilidad de las </w:t>
      </w:r>
      <w:proofErr w:type="spellStart"/>
      <w:r w:rsidRPr="00FD5063">
        <w:rPr>
          <w:szCs w:val="20"/>
          <w:lang w:val="es-CR"/>
        </w:rPr>
        <w:t>víctimas</w:t>
      </w:r>
      <w:proofErr w:type="spellEnd"/>
      <w:r w:rsidRPr="00FD5063">
        <w:rPr>
          <w:szCs w:val="20"/>
          <w:lang w:val="es-CR"/>
        </w:rPr>
        <w:t xml:space="preserve">, pues tal como fue reconocido por el Estado, en agosto de 2002 la </w:t>
      </w:r>
      <w:proofErr w:type="spellStart"/>
      <w:r w:rsidRPr="00FD5063">
        <w:rPr>
          <w:szCs w:val="20"/>
          <w:lang w:val="es-CR"/>
        </w:rPr>
        <w:t>Secretaría</w:t>
      </w:r>
      <w:proofErr w:type="spellEnd"/>
      <w:r w:rsidRPr="00FD5063">
        <w:rPr>
          <w:szCs w:val="20"/>
          <w:lang w:val="es-CR"/>
        </w:rPr>
        <w:t xml:space="preserve"> del Trabajo, de </w:t>
      </w:r>
      <w:proofErr w:type="spellStart"/>
      <w:r w:rsidRPr="00FD5063">
        <w:rPr>
          <w:szCs w:val="20"/>
          <w:lang w:val="es-CR"/>
        </w:rPr>
        <w:t>Gobernación</w:t>
      </w:r>
      <w:proofErr w:type="spellEnd"/>
      <w:r w:rsidRPr="00FD5063">
        <w:rPr>
          <w:szCs w:val="20"/>
          <w:lang w:val="es-CR"/>
        </w:rPr>
        <w:t xml:space="preserve"> y Justicia se </w:t>
      </w:r>
      <w:proofErr w:type="spellStart"/>
      <w:r w:rsidRPr="00FD5063">
        <w:rPr>
          <w:szCs w:val="20"/>
          <w:lang w:val="es-CR"/>
        </w:rPr>
        <w:t>reunio</w:t>
      </w:r>
      <w:proofErr w:type="spellEnd"/>
      <w:r w:rsidRPr="00FD5063">
        <w:rPr>
          <w:szCs w:val="20"/>
          <w:lang w:val="es-CR"/>
        </w:rPr>
        <w:t xml:space="preserve">́ con la </w:t>
      </w:r>
      <w:proofErr w:type="spellStart"/>
      <w:r w:rsidRPr="00FD5063">
        <w:rPr>
          <w:szCs w:val="20"/>
          <w:lang w:val="es-CR"/>
        </w:rPr>
        <w:t>organización</w:t>
      </w:r>
      <w:proofErr w:type="spellEnd"/>
      <w:r w:rsidRPr="00FD5063">
        <w:rPr>
          <w:szCs w:val="20"/>
          <w:lang w:val="es-CR"/>
        </w:rPr>
        <w:t xml:space="preserve"> </w:t>
      </w:r>
      <w:proofErr w:type="spellStart"/>
      <w:r w:rsidRPr="00FD5063">
        <w:rPr>
          <w:szCs w:val="20"/>
          <w:lang w:val="es-CR"/>
        </w:rPr>
        <w:t>Handicap</w:t>
      </w:r>
      <w:proofErr w:type="spellEnd"/>
      <w:r w:rsidRPr="00FD5063">
        <w:rPr>
          <w:szCs w:val="20"/>
          <w:lang w:val="es-CR"/>
        </w:rPr>
        <w:t xml:space="preserve"> International y la AMHBLI para acordar compromisos respecto de la </w:t>
      </w:r>
      <w:proofErr w:type="spellStart"/>
      <w:r w:rsidRPr="00FD5063">
        <w:rPr>
          <w:szCs w:val="20"/>
          <w:lang w:val="es-CR"/>
        </w:rPr>
        <w:t>solución</w:t>
      </w:r>
      <w:proofErr w:type="spellEnd"/>
      <w:r w:rsidRPr="00FD5063">
        <w:rPr>
          <w:szCs w:val="20"/>
          <w:lang w:val="es-CR"/>
        </w:rPr>
        <w:t xml:space="preserve"> “al problema de los buzos lisiados de la </w:t>
      </w:r>
      <w:proofErr w:type="spellStart"/>
      <w:r w:rsidRPr="00FD5063">
        <w:rPr>
          <w:szCs w:val="20"/>
          <w:lang w:val="es-CR"/>
        </w:rPr>
        <w:t>Moskitia</w:t>
      </w:r>
      <w:proofErr w:type="spellEnd"/>
      <w:r w:rsidRPr="00FD5063">
        <w:rPr>
          <w:szCs w:val="20"/>
          <w:lang w:val="es-CR"/>
        </w:rPr>
        <w:t xml:space="preserve">” Asimismo, </w:t>
      </w:r>
      <w:proofErr w:type="spellStart"/>
      <w:r w:rsidRPr="00FD5063">
        <w:rPr>
          <w:szCs w:val="20"/>
          <w:lang w:val="es-CR"/>
        </w:rPr>
        <w:t>según</w:t>
      </w:r>
      <w:proofErr w:type="spellEnd"/>
      <w:r w:rsidRPr="00FD5063">
        <w:rPr>
          <w:szCs w:val="20"/>
          <w:lang w:val="es-CR"/>
        </w:rPr>
        <w:t xml:space="preserve"> informes del Banco Mundial y del Programa de Naciones Unidas para el Desarrollo, para el </w:t>
      </w:r>
      <w:proofErr w:type="spellStart"/>
      <w:r w:rsidRPr="00FD5063">
        <w:rPr>
          <w:szCs w:val="20"/>
          <w:lang w:val="es-CR"/>
        </w:rPr>
        <w:t>año</w:t>
      </w:r>
      <w:proofErr w:type="spellEnd"/>
      <w:r w:rsidRPr="00FD5063">
        <w:rPr>
          <w:szCs w:val="20"/>
          <w:lang w:val="es-CR"/>
        </w:rPr>
        <w:t xml:space="preserve"> 2003, el departamento de Gracias a Dios presentaba altos </w:t>
      </w:r>
      <w:proofErr w:type="spellStart"/>
      <w:r w:rsidRPr="00FD5063">
        <w:rPr>
          <w:szCs w:val="20"/>
          <w:lang w:val="es-CR"/>
        </w:rPr>
        <w:t>índices</w:t>
      </w:r>
      <w:proofErr w:type="spellEnd"/>
      <w:r w:rsidRPr="00FD5063">
        <w:rPr>
          <w:szCs w:val="20"/>
          <w:lang w:val="es-CR"/>
        </w:rPr>
        <w:t xml:space="preserve"> de pobreza, analfabetismo, desempleo, y </w:t>
      </w:r>
      <w:proofErr w:type="spellStart"/>
      <w:r w:rsidRPr="00FD5063">
        <w:rPr>
          <w:szCs w:val="20"/>
          <w:lang w:val="es-CR"/>
        </w:rPr>
        <w:t>desnutrición</w:t>
      </w:r>
      <w:proofErr w:type="spellEnd"/>
      <w:r w:rsidRPr="00FD5063">
        <w:rPr>
          <w:szCs w:val="20"/>
          <w:lang w:val="es-CR"/>
        </w:rPr>
        <w:t xml:space="preserve"> </w:t>
      </w:r>
      <w:proofErr w:type="spellStart"/>
      <w:r w:rsidRPr="00FD5063">
        <w:rPr>
          <w:szCs w:val="20"/>
          <w:lang w:val="es-CR"/>
        </w:rPr>
        <w:t>crónica</w:t>
      </w:r>
      <w:proofErr w:type="spellEnd"/>
      <w:r w:rsidRPr="00FD5063">
        <w:rPr>
          <w:szCs w:val="20"/>
          <w:lang w:val="es-CR"/>
        </w:rPr>
        <w:t xml:space="preserve">, entre otros aspectos. En este sentido, al permitir la </w:t>
      </w:r>
      <w:proofErr w:type="spellStart"/>
      <w:r w:rsidRPr="00FD5063">
        <w:rPr>
          <w:szCs w:val="20"/>
          <w:lang w:val="es-CR"/>
        </w:rPr>
        <w:t>operación</w:t>
      </w:r>
      <w:proofErr w:type="spellEnd"/>
      <w:r w:rsidRPr="00FD5063">
        <w:rPr>
          <w:szCs w:val="20"/>
          <w:lang w:val="es-CR"/>
        </w:rPr>
        <w:t xml:space="preserve"> de empresas privadas sin una adecuada </w:t>
      </w:r>
      <w:proofErr w:type="spellStart"/>
      <w:r w:rsidRPr="00FD5063">
        <w:rPr>
          <w:szCs w:val="20"/>
          <w:lang w:val="es-CR"/>
        </w:rPr>
        <w:t>fiscalización</w:t>
      </w:r>
      <w:proofErr w:type="spellEnd"/>
      <w:r w:rsidRPr="00FD5063">
        <w:rPr>
          <w:szCs w:val="20"/>
          <w:lang w:val="es-CR"/>
        </w:rPr>
        <w:t xml:space="preserve"> y </w:t>
      </w:r>
      <w:proofErr w:type="spellStart"/>
      <w:r w:rsidRPr="00FD5063">
        <w:rPr>
          <w:szCs w:val="20"/>
          <w:lang w:val="es-CR"/>
        </w:rPr>
        <w:t>supervisión</w:t>
      </w:r>
      <w:proofErr w:type="spellEnd"/>
      <w:r w:rsidRPr="00FD5063">
        <w:rPr>
          <w:szCs w:val="20"/>
          <w:lang w:val="es-CR"/>
        </w:rPr>
        <w:t xml:space="preserve">, en una zona en la que una parte sustancial de la </w:t>
      </w:r>
      <w:proofErr w:type="spellStart"/>
      <w:r w:rsidRPr="00FD5063">
        <w:rPr>
          <w:szCs w:val="20"/>
          <w:lang w:val="es-CR"/>
        </w:rPr>
        <w:t>población</w:t>
      </w:r>
      <w:proofErr w:type="spellEnd"/>
      <w:r w:rsidRPr="00FD5063">
        <w:rPr>
          <w:szCs w:val="20"/>
          <w:lang w:val="es-CR"/>
        </w:rPr>
        <w:t xml:space="preserve"> es vulnerable, el Estado </w:t>
      </w:r>
      <w:proofErr w:type="spellStart"/>
      <w:r w:rsidRPr="00FD5063">
        <w:rPr>
          <w:szCs w:val="20"/>
          <w:lang w:val="es-CR"/>
        </w:rPr>
        <w:t>incumplio</w:t>
      </w:r>
      <w:proofErr w:type="spellEnd"/>
      <w:r w:rsidRPr="00FD5063">
        <w:rPr>
          <w:szCs w:val="20"/>
          <w:lang w:val="es-CR"/>
        </w:rPr>
        <w:t>́ con su obligación de garantizar que efectivamente se adoptaran medidas para la protección de la vida y la salud de los buzos y para garantizar su derecho a la igualdad material.</w:t>
      </w:r>
    </w:p>
    <w:p w14:paraId="2FAA9254" w14:textId="77777777" w:rsidR="007269CF" w:rsidRPr="00634A49" w:rsidRDefault="007269CF" w:rsidP="00BB63D0">
      <w:pPr>
        <w:rPr>
          <w:szCs w:val="20"/>
          <w:lang w:val="es-CR"/>
        </w:rPr>
      </w:pPr>
    </w:p>
    <w:p w14:paraId="4E92A128" w14:textId="09774346" w:rsidR="007269CF" w:rsidRPr="00960C71" w:rsidRDefault="007269CF" w:rsidP="00960C71">
      <w:pPr>
        <w:pStyle w:val="Ttulo2"/>
      </w:pPr>
      <w:bookmarkStart w:id="33" w:name="_Toc89017889"/>
      <w:r w:rsidRPr="00BB63D0">
        <w:t>Obligación del Esta</w:t>
      </w:r>
      <w:r>
        <w:t>d</w:t>
      </w:r>
      <w:r w:rsidRPr="00BB63D0">
        <w:t>o de realizar investigaciones serias en casos de violencia de género</w:t>
      </w:r>
      <w:bookmarkEnd w:id="33"/>
    </w:p>
    <w:p w14:paraId="6A3D6AB9" w14:textId="77777777" w:rsidR="007269CF" w:rsidRPr="00BB63D0" w:rsidRDefault="007269CF" w:rsidP="00BB63D0">
      <w:pPr>
        <w:rPr>
          <w:b/>
          <w:szCs w:val="20"/>
          <w:lang w:val="es-EC"/>
        </w:rPr>
      </w:pPr>
      <w:r w:rsidRPr="00BB63D0">
        <w:rPr>
          <w:b/>
          <w:szCs w:val="20"/>
          <w:lang w:val="es-EC"/>
        </w:rPr>
        <w:t>Corte IDH. Caso González y otras (“Campo Algodonero”) Vs. México. Excepción Preliminar, Fondo, Reparaciones y Costas. Sentencia de 16 de noviembre de 2009. Serie C No. 205</w:t>
      </w:r>
    </w:p>
    <w:p w14:paraId="51342A53" w14:textId="77777777" w:rsidR="007269CF" w:rsidRPr="00BB63D0" w:rsidRDefault="007269CF" w:rsidP="00BB63D0">
      <w:pPr>
        <w:rPr>
          <w:szCs w:val="20"/>
          <w:lang w:val="es-EC"/>
        </w:rPr>
      </w:pPr>
      <w:r w:rsidRPr="00BB63D0">
        <w:rPr>
          <w:szCs w:val="20"/>
          <w:lang w:val="es-EC"/>
        </w:rPr>
        <w:t>293.</w:t>
      </w:r>
      <w:r w:rsidRPr="00BB63D0">
        <w:rPr>
          <w:szCs w:val="20"/>
          <w:lang w:val="es-EC"/>
        </w:rPr>
        <w:tab/>
        <w:t xml:space="preserve">La Corte considera que el deber de investigar efectivamente, siguiendo los estándares establecidos por el Tribunal </w:t>
      </w:r>
      <w:r w:rsidRPr="00BB63D0">
        <w:rPr>
          <w:szCs w:val="20"/>
        </w:rPr>
        <w:t>[…]</w:t>
      </w:r>
      <w:r w:rsidRPr="00BB63D0">
        <w:rPr>
          <w:szCs w:val="20"/>
          <w:lang w:val="es-EC"/>
        </w:rPr>
        <w:t xml:space="preserve"> tiene alcances adicionales cuando se trata de una mujer que sufre una muerte, maltrato o afectación a su libertad personal en el marco de un contexto general de violencia contra las mujeres. En similar sentido, la Corte Europea ha dicho que cuando un ataque es motivado por razones de raza, es particularmente importante que la investigación sea realizada con vigor e imparcialidad, teniendo en cuenta la necesidad de reiterar continuamente la condena de racismo por parte de la sociedad y para mantener la confianza de las minorías en la habilidad de las autoridades de protegerlas de la amenaza de violencia racial. El criterio anterior es totalmente aplicable al analizarse los alcances del deber de debida diligencia en la investigación de casos de violencia por razón de género.</w:t>
      </w:r>
    </w:p>
    <w:p w14:paraId="59489A4D" w14:textId="77777777" w:rsidR="007269CF" w:rsidRPr="00BB63D0" w:rsidRDefault="007269CF" w:rsidP="00BB63D0">
      <w:pPr>
        <w:rPr>
          <w:szCs w:val="20"/>
          <w:lang w:val="es-EC"/>
        </w:rPr>
      </w:pPr>
      <w:r w:rsidRPr="00BB63D0">
        <w:rPr>
          <w:szCs w:val="20"/>
          <w:lang w:val="es-EC"/>
        </w:rPr>
        <w:t>294.</w:t>
      </w:r>
      <w:r w:rsidRPr="00BB63D0">
        <w:rPr>
          <w:szCs w:val="20"/>
          <w:lang w:val="es-EC"/>
        </w:rPr>
        <w:tab/>
        <w:t>Para determinar si la obligación procesal de proteger los derechos a la vida, integridad personal y libertad personal por la vía de una investigación seria de lo ocurrido se ha cumplido a cabalidad en este caso, es preciso examinar las diversas acciones tomadas por el Estado con posterioridad al hallazgo de los cuerpos sin vida, así como los procedimientos a nivel interno destinados a dilucidar los hechos ocurridos y a identificar a los responsables de las violaciones cometidas en perjuicio de las víctimas.</w:t>
      </w:r>
    </w:p>
    <w:p w14:paraId="5154683E" w14:textId="77777777" w:rsidR="007269CF" w:rsidRPr="00BB63D0" w:rsidRDefault="007269CF" w:rsidP="00BB63D0">
      <w:pPr>
        <w:rPr>
          <w:szCs w:val="20"/>
          <w:lang w:val="es-EC"/>
        </w:rPr>
      </w:pPr>
      <w:r w:rsidRPr="00BB63D0">
        <w:rPr>
          <w:szCs w:val="20"/>
          <w:lang w:val="es-EC"/>
        </w:rPr>
        <w:t>310.</w:t>
      </w:r>
      <w:r w:rsidRPr="00BB63D0">
        <w:rPr>
          <w:szCs w:val="20"/>
          <w:lang w:val="es-EC"/>
        </w:rPr>
        <w:tab/>
        <w:t xml:space="preserve">La Corte resalta que las autopsias tienen como objetivo recolectar, como mínimo, información para identificar a la persona muerta, la hora, fecha, causa y forma de la muerte. Estas deben respetar ciertas formalidades básicas, como indicar la fecha y hora de inicio y finalización, así como el lugar donde se realiza y el nombre del funcionario que la ejecuta. Asimismo, se debe, inter alia, fotografiar adecuadamente el cuerpo; tomar radiografías del cadáver, de su bolsa o envoltorio y después de desvestirlo, documentar toda lesión. Se debe documentar la ausencia, soltura o daño de los dientes, así como cualquier trabajo dental, y examinar cuidadosamente las áreas genital y para-genital en búsqueda de señales de abuso sexual. En casos de sospecha de violencia o abuso sexual, se debe preservar líquido oral, vaginal y rectal, y vello externo y púbico de la víctima. Asimismo, el Manual de Naciones Unidas indica que en los protocolos de autopsia se debe anotar la posición del cuerpo y sus condiciones, incluyendo si está tibio o frío, ligero o rígido; proteger </w:t>
      </w:r>
      <w:r w:rsidRPr="00BB63D0">
        <w:rPr>
          <w:szCs w:val="20"/>
          <w:lang w:val="es-EC"/>
        </w:rPr>
        <w:lastRenderedPageBreak/>
        <w:t>las manos del cadáver; registrar la temperatura del ambiente y recoger cualquier insecto.</w:t>
      </w:r>
    </w:p>
    <w:p w14:paraId="2E2FFE6C" w14:textId="77777777" w:rsidR="007269CF" w:rsidRPr="00BB63D0" w:rsidRDefault="007269CF" w:rsidP="00BB63D0">
      <w:pPr>
        <w:rPr>
          <w:szCs w:val="20"/>
          <w:lang w:val="es-EC"/>
        </w:rPr>
      </w:pPr>
      <w:r w:rsidRPr="00BB63D0">
        <w:rPr>
          <w:szCs w:val="20"/>
          <w:lang w:val="es-EC"/>
        </w:rPr>
        <w:t>333.</w:t>
      </w:r>
      <w:r w:rsidRPr="00BB63D0">
        <w:rPr>
          <w:szCs w:val="20"/>
          <w:lang w:val="es-EC"/>
        </w:rPr>
        <w:tab/>
        <w:t>Teniendo en cuenta lo expuesto, así como el reconocimiento de responsabilidad efectuado por el Estado, el Tribunal concluye que se presentaron irregularidades relacionadas con: i) falta de información en el reporte sobre el hallazgo de los cadáveres, ii) inadecuada preservación de la escena del crimen, iii) falta de rigor en la recolección de evidencias y en la cadena de custodia, iv) contradicciones e insuficiencias de las autopsias, y v) irregularidades e insuficiencias en la identificación de los cuerpos, así como en la entrega irregular de los mismos.</w:t>
      </w:r>
    </w:p>
    <w:p w14:paraId="02403E4B" w14:textId="77777777" w:rsidR="007269CF" w:rsidRPr="00BB63D0" w:rsidRDefault="007269CF" w:rsidP="00BB63D0">
      <w:pPr>
        <w:rPr>
          <w:szCs w:val="20"/>
          <w:lang w:val="es-EC"/>
        </w:rPr>
      </w:pPr>
      <w:r w:rsidRPr="00BB63D0">
        <w:rPr>
          <w:szCs w:val="20"/>
          <w:lang w:val="es-EC"/>
        </w:rPr>
        <w:t>346.</w:t>
      </w:r>
      <w:r w:rsidRPr="00BB63D0">
        <w:rPr>
          <w:szCs w:val="20"/>
          <w:lang w:val="es-EC"/>
        </w:rPr>
        <w:tab/>
        <w:t>Teniendo en cuenta todo lo anterior, la Corte acepta el reconocimiento de responsabilidad estatal respecto a que la investigación dirigida contra los señores García y González implicó que “no se continu[ara] agotando otras líneas de investigación” y que “la determinación de la no responsabilidad penal” de esos dos señores “generó en [los] familiares falta de credibilidad en las autoridades investigadoras, pérdida de indicios y pruebas por el simple transcurso del tiempo”. Además, el Tribunal resalta que la falta de debida investigación y sanción de las irregularidades denunciadas propicia la reiteración en el uso de tales métodos por parte de los investigadores. Ello afecta la capacidad del Poder Judicial para identificar y perseguir a los responsables y lograr la sanción que corresponda, lo cual hace inefectivo el acceso a la justicia. En el presente caso, estas irregularidades generaron el reinicio de la investigación cuatro años después de ocurridos los hechos, lo cual generó un impacto grave en la eficacia de la misma, más aún por el tipo de crimen cometido, donde la valoración de evidencias se hace aún más difícil con el transcurso del tiempo.</w:t>
      </w:r>
    </w:p>
    <w:p w14:paraId="75A27A8A" w14:textId="77777777" w:rsidR="007269CF" w:rsidRPr="00BB63D0" w:rsidRDefault="007269CF" w:rsidP="00BB63D0">
      <w:pPr>
        <w:rPr>
          <w:szCs w:val="20"/>
          <w:lang w:val="es-EC"/>
        </w:rPr>
      </w:pPr>
      <w:r w:rsidRPr="00BB63D0">
        <w:rPr>
          <w:szCs w:val="20"/>
          <w:lang w:val="es-EC"/>
        </w:rPr>
        <w:t>388.</w:t>
      </w:r>
      <w:r w:rsidRPr="00BB63D0">
        <w:rPr>
          <w:szCs w:val="20"/>
          <w:lang w:val="es-EC"/>
        </w:rPr>
        <w:tab/>
        <w:t>A manera de conclusión, la Corte acepta el reconocimiento de responsabilidad por las irregularidades cometidas en la primera etapa de las investigaciones. Sin embargo, el Tribunal ha constatado que en la segunda etapa de las mismas no se han subsanado totalmente dichas falencias. Las irregularidades en el manejo de evidencias, la alegada fabricación de culpables, el retraso en las investigaciones, la falta de líneas de investigación que tengan en cuenta el contexto de violencia contra la mujer en el que se desenvolvieron las ejecuciones de las tres víctimas y la inexistencia de investigaciones contra funcionarios públicos por su supuesta negligencia grave, vulneran el derecho de acceso a la justicia, a una protección judicial eficaz y el derecho de los familiares y de la sociedad a conocer la verdad de lo ocurrido. Además, denota un incumplimiento estatal de garantizar, a través de una investigación seria y adecuada, los derechos a la vida, integridad personal y libertad personal de las tres víctimas. Todo ello permite concluir que en el presente caso existe impunidad y que las medidas de derecho interno adoptadas han sido insuficientes para enfrentar las graves violaciones de derechos humanos ocurridas. El Estado no demostró haber adoptado normas o implementado las medidas necesarias, conforme al artículo 2 de la Convención Americana y al artículo 7.c de la Convención Belém do Pará, que permitieran a las autoridades ofrecer una investigación con debida diligencia. Esta ineficacia judicial frente a casos individuales de violencia contra las mujeres propicia un ambiente de impunidad que facilita y promueve la repetición de los hechos de violencia en general y envía un mensaje según el cual la violencia contra las mujeres puede ser tolerada y aceptada como parte del diario vivir.</w:t>
      </w:r>
    </w:p>
    <w:p w14:paraId="6DC9884E" w14:textId="66BBFFB6" w:rsidR="007269CF" w:rsidRPr="00BB63D0" w:rsidRDefault="007269CF" w:rsidP="00BB63D0">
      <w:pPr>
        <w:rPr>
          <w:b/>
          <w:szCs w:val="20"/>
          <w:lang w:val="es-EC"/>
        </w:rPr>
      </w:pPr>
      <w:r w:rsidRPr="00BB63D0">
        <w:rPr>
          <w:b/>
          <w:szCs w:val="20"/>
          <w:lang w:val="es-EC"/>
        </w:rPr>
        <w:t>Corte IDH. Caso J. Vs. Perú. Excepción Preliminar, Fondo, Reparaciones y Costas. Sentencia de 27 de noviembre de 2013. Serie C No. 275</w:t>
      </w:r>
      <w:r w:rsidRPr="00960C71">
        <w:rPr>
          <w:b/>
          <w:szCs w:val="20"/>
          <w:vertAlign w:val="superscript"/>
        </w:rPr>
        <w:footnoteReference w:id="49"/>
      </w:r>
    </w:p>
    <w:p w14:paraId="677F00C9" w14:textId="77777777" w:rsidR="007269CF" w:rsidRPr="00BB63D0" w:rsidRDefault="007269CF" w:rsidP="00BB63D0">
      <w:pPr>
        <w:rPr>
          <w:szCs w:val="20"/>
          <w:lang w:val="es-EC"/>
        </w:rPr>
      </w:pPr>
      <w:r w:rsidRPr="00BB63D0">
        <w:rPr>
          <w:szCs w:val="20"/>
          <w:lang w:val="es-EC"/>
        </w:rPr>
        <w:lastRenderedPageBreak/>
        <w:t>348.</w:t>
      </w:r>
      <w:r w:rsidRPr="00BB63D0">
        <w:rPr>
          <w:szCs w:val="20"/>
          <w:lang w:val="es-EC"/>
        </w:rPr>
        <w:tab/>
        <w:t>Respecto a la inexistencia de la obligación internacional de investigar “manoseos” sexuales al momento de los hechos, la Corte reitera su jurisprudencia constante sobre la obligación de investigar posibles actos de tortura o tratos crueles, inhumanos o degradantes. Además, la Corte hace notar que, previo a los hechos del presente caso y durante la época de su investigación, ya existía para el Perú una obligación de investigar actos de violencia contra la mujer, incluyendo la violencia sexual, y otros órganos internacionales, como el Comité para la Eliminación de la Discriminación contra la Mujer y el Consejo Económico y Social de las Naciones Unidas ya se habían pronunciado sobre dicha obligación. Al respecto, es preciso indicar que si bien la jurisprudencia de esta Corte tiene autoridad interpretativa de las obligaciones establecidas en la Convención Americana, la obligación de investigar y juzgar actos de tortura o tratos crueles, inhumanos o degradantes se deriva del deber de garantizar el pleno ejercicio de los derechos reconocidos en la Convención contenido en el artículo 1.1 de la Convención Americana y no depende únicamente de que lo haya reafirmado este Tribunal en su jurisprudencia. La garantía de que violaciones a derechos humanos tales como la vida y la integridad personal sean investigadas está consagrada en la Convención Americana y no nace a partir de su aplicación e interpretación por esta Corte en el ejercicio de su jurisdicción contenciosa, por lo cual debe ser respetada por los Estados Parte desde el momento en que ratifican dicho tratado. Por tanto, el alegato estatal al respecto es improcedente.</w:t>
      </w:r>
    </w:p>
    <w:p w14:paraId="0E4E00F4" w14:textId="77777777" w:rsidR="007269CF" w:rsidRPr="00BB63D0" w:rsidRDefault="007269CF" w:rsidP="00BB63D0">
      <w:pPr>
        <w:rPr>
          <w:b/>
          <w:szCs w:val="20"/>
        </w:rPr>
      </w:pPr>
      <w:r w:rsidRPr="00BB63D0">
        <w:rPr>
          <w:b/>
          <w:szCs w:val="20"/>
        </w:rPr>
        <w:t>Corte IDH. Caso Veliz Franco y otros Vs. Guatemala. Excepciones Preliminares, Fondo, Reparaciones y Costas. Sentencia de 19 de mayo de 2014. Serie C No. 277</w:t>
      </w:r>
    </w:p>
    <w:p w14:paraId="618753A0" w14:textId="1221B95B" w:rsidR="007269CF" w:rsidRPr="00144170" w:rsidRDefault="007269CF" w:rsidP="00BB63D0">
      <w:pPr>
        <w:rPr>
          <w:rStyle w:val="EnelmismoCar"/>
        </w:rPr>
      </w:pPr>
      <w:r w:rsidRPr="00BB63D0">
        <w:rPr>
          <w:szCs w:val="20"/>
        </w:rPr>
        <w:t>208.</w:t>
      </w:r>
      <w:r w:rsidRPr="00BB63D0">
        <w:rPr>
          <w:szCs w:val="20"/>
        </w:rPr>
        <w:tab/>
        <w:t xml:space="preserve">La Corte reitera que la ineficacia judicial frente a casos individuales de violencia contra las mujeres propicia un ambiente de impunidad que facilita y promueve la repetición de los hechos de violencia en general y envía un mensaje según el cual la violencia contra las mujeres puede ser tolerada y aceptada, lo que favorece su perpetuación y la aceptación social del </w:t>
      </w:r>
      <w:r w:rsidRPr="00144170">
        <w:rPr>
          <w:szCs w:val="20"/>
        </w:rPr>
        <w:t>fenómeno, el sentimiento y la sensación de inseguridad de las mujeres, así como una persistente desconfianza de estas en el sistema de administración de justicia. Dicha ineficacia o indiferencia constituye en sí misma una discriminación [de la mujer] en el acceso a la justicia. Por ello, cuando existan indicios o sospechas concretas de violencia de género, la falta de investigación por parte de las autoridades</w:t>
      </w:r>
      <w:r w:rsidRPr="00BB63D0">
        <w:rPr>
          <w:szCs w:val="20"/>
        </w:rPr>
        <w:t xml:space="preserve"> de los posibles móviles discriminatorios que tuvo un acto de violencia contra la mujer, puede constituir en sí misma una forma de discriminación basada en el género. </w:t>
      </w:r>
      <w:r w:rsidR="00651730">
        <w:rPr>
          <w:rStyle w:val="EnelmismoCar"/>
        </w:rPr>
        <w:t>En similar sentido, ver entre otros</w:t>
      </w:r>
      <w:r w:rsidRPr="00144170">
        <w:rPr>
          <w:rStyle w:val="EnelmismoCar"/>
        </w:rPr>
        <w:t xml:space="preserve">: Caso Espinoza Gonzáles Vs. Perú. Excepciones Preliminares, Fondo, Reparaciones y Costas. Sentencia de 20 de noviembre de 2014. Serie C No. 289, párr. 280; Caso Velásquez Paiz y otros Vs. Guatemala. Excepciones Preliminares, Fondo, Reparaciones y Costas. Sentencia de 19 de noviembre de 2015. Serie C No. 307, párr. 176. </w:t>
      </w:r>
    </w:p>
    <w:p w14:paraId="1FA009CD" w14:textId="77777777" w:rsidR="007269CF" w:rsidRPr="00BB63D0" w:rsidRDefault="007269CF" w:rsidP="00BB63D0">
      <w:pPr>
        <w:rPr>
          <w:szCs w:val="20"/>
          <w:lang w:val="es-CR"/>
        </w:rPr>
      </w:pPr>
      <w:r w:rsidRPr="00BB63D0">
        <w:rPr>
          <w:szCs w:val="20"/>
          <w:lang w:val="es-CR"/>
        </w:rPr>
        <w:t>215.</w:t>
      </w:r>
      <w:r w:rsidRPr="00BB63D0">
        <w:rPr>
          <w:szCs w:val="20"/>
          <w:lang w:val="es-CR"/>
        </w:rPr>
        <w:tab/>
        <w:t>Los hechos del presente caso comprenden ambas modalidades de discriminación y por lo tanto no se hace necesario realizar una distinción, por lo cual la Corte considera que se ha violado tanto el derecho a la igual protección de la ley (artículo 24) como el deber de respetar y garantizar sin discriminación los derechos contenidos en la Convención Americana (artículo 1.1).</w:t>
      </w:r>
    </w:p>
    <w:p w14:paraId="59A4CDCB" w14:textId="77777777" w:rsidR="007269CF" w:rsidRPr="00BB63D0" w:rsidRDefault="007269CF" w:rsidP="00BB63D0">
      <w:pPr>
        <w:rPr>
          <w:szCs w:val="20"/>
        </w:rPr>
      </w:pPr>
      <w:r w:rsidRPr="00BB63D0">
        <w:rPr>
          <w:szCs w:val="20"/>
        </w:rPr>
        <w:t>216.</w:t>
      </w:r>
      <w:r w:rsidRPr="00BB63D0">
        <w:rPr>
          <w:szCs w:val="20"/>
        </w:rPr>
        <w:tab/>
        <w:t xml:space="preserve">En consecuencia, la Corte estima </w:t>
      </w:r>
      <w:r w:rsidRPr="00144170">
        <w:rPr>
          <w:szCs w:val="20"/>
        </w:rPr>
        <w:t xml:space="preserve">que la investigación del homicidio de María Isabel no ha sido conducida con una perspectiva de género de acuerdo a las obligaciones especiales impuestas por la Convención de Belém do Pará. Por ello, en </w:t>
      </w:r>
      <w:r w:rsidRPr="00144170">
        <w:rPr>
          <w:szCs w:val="20"/>
        </w:rPr>
        <w:lastRenderedPageBreak/>
        <w:t>el marco de la investigación, en el presente</w:t>
      </w:r>
      <w:r w:rsidRPr="00BB63D0">
        <w:rPr>
          <w:szCs w:val="20"/>
        </w:rPr>
        <w:t xml:space="preserve"> caso el Estado violó el derecho a la igual protección de la ley contenido en el artículo 24 de la Convención Americana, en relación con el deber de no discriminación contenido en el artículo 1.1 del tratado. </w:t>
      </w:r>
    </w:p>
    <w:p w14:paraId="2277DA29" w14:textId="77777777" w:rsidR="007269CF" w:rsidRPr="00BB63D0" w:rsidRDefault="007269CF" w:rsidP="00BB63D0">
      <w:pPr>
        <w:rPr>
          <w:szCs w:val="20"/>
        </w:rPr>
      </w:pPr>
      <w:r w:rsidRPr="00BB63D0">
        <w:rPr>
          <w:szCs w:val="20"/>
        </w:rPr>
        <w:t>225.</w:t>
      </w:r>
      <w:r w:rsidRPr="00BB63D0">
        <w:rPr>
          <w:szCs w:val="20"/>
        </w:rPr>
        <w:tab/>
        <w:t xml:space="preserve"> Por lo expuesto, la Corte colige que pese a indicios de que el homicidio de María Isabel podría haberse cometido por razones de género, la investigación no fue conducida con una perspectiva de género y se demostró que hubo faltas a la debida diligencia y actos de sesgo discriminatorio en la misma. La investigación, ha sobrepasado excesivamente el plazo razonable y aún continúa en su fase investigativa inicial. Además, la falta de diligencia en el caso, como reconoció el Estado, se vinculó a la inexistencia de normas y protocolos para la investigación de este tipo de hechos. Por todo lo dicho, esta Corte concluye que la investigación abierta a nivel interno no ha garantizado el acceso a la justicia de los familiares de María Isabel Veliz Franco, lo cual constituye una violación de los derechos a las garantías judiciales y a la protección judicial consagrados en los artículos 8.1 y 25.1 de la Convención Americana, y el derecho a la igualdad ante ley consagrado en el artículo 24 de la Convención, en relación con las obligaciones generales contenidas en los artículos 1.1 y 2 de la Convención Americana, y con los artículos 7.b y 7.c de la Convención de Belém do Pará, en perjuicio la señora Rosa Elvira Franco Sandoval, Leonel Enrique Veliz Franco, José Roberto Franco, y de los abuelos ya fallecidos Cruz Elvira Sandoval Polanco y Roberto Franco Pérez.</w:t>
      </w:r>
    </w:p>
    <w:p w14:paraId="6AF92292" w14:textId="77777777" w:rsidR="007269CF" w:rsidRPr="00BB63D0" w:rsidRDefault="007269CF" w:rsidP="00BB63D0">
      <w:pPr>
        <w:rPr>
          <w:b/>
          <w:szCs w:val="20"/>
          <w:lang w:val="es-EC"/>
        </w:rPr>
      </w:pPr>
      <w:r w:rsidRPr="00BB63D0">
        <w:rPr>
          <w:b/>
          <w:szCs w:val="20"/>
          <w:lang w:val="es-EC"/>
        </w:rPr>
        <w:t>Corte IDH. Caso Velásquez Paiz y otros Vs. Guatemala. Excepciones Preliminares, Fondo, Reparaciones y Costas. Sentencia de 19 de noviembre de 2015. Serie C No. 307</w:t>
      </w:r>
    </w:p>
    <w:p w14:paraId="72B02669" w14:textId="77777777" w:rsidR="007269CF" w:rsidRPr="00BB63D0" w:rsidRDefault="007269CF" w:rsidP="00BB63D0">
      <w:pPr>
        <w:rPr>
          <w:szCs w:val="20"/>
          <w:lang w:val="es-EC"/>
        </w:rPr>
      </w:pPr>
      <w:r w:rsidRPr="00BB63D0">
        <w:rPr>
          <w:szCs w:val="20"/>
          <w:lang w:val="es-EC"/>
        </w:rPr>
        <w:t>191.</w:t>
      </w:r>
      <w:r w:rsidRPr="00BB63D0">
        <w:rPr>
          <w:szCs w:val="20"/>
          <w:lang w:val="es-EC"/>
        </w:rPr>
        <w:tab/>
        <w:t xml:space="preserve">En el presente caso, la Corte constató que la escena del crimen no fue trabajada como es debido ni con la exhaustividad requerida para lograr resultados positivos en la investigación; hubo una falta en la recaudación, documentación y preservación de evidencia, e irregularidades en el reconocimiento médico forense, en la práctica de la necropsia y en su documentación respectiva. Además, las diligencias de investigación han sido tardías, repetitivas y se han prolongado a través del tiempo, y algunas otras no se tiene claridad sobre las razones por las cuales se han practicado </w:t>
      </w:r>
      <w:r w:rsidRPr="00BB63D0">
        <w:rPr>
          <w:szCs w:val="20"/>
        </w:rPr>
        <w:t>[…]</w:t>
      </w:r>
      <w:r w:rsidRPr="00BB63D0">
        <w:rPr>
          <w:szCs w:val="20"/>
          <w:lang w:val="es-EC"/>
        </w:rPr>
        <w:t xml:space="preserve">. Dichas falencias </w:t>
      </w:r>
      <w:r w:rsidRPr="00144170">
        <w:rPr>
          <w:szCs w:val="20"/>
          <w:lang w:val="es-EC"/>
        </w:rPr>
        <w:t>investigativas no son un hecho casual ni colateral a la investigación; son una consecuencia directa de una práctica común de las autoridades que investigan de realizar una valoración estereotipada de la víctima, aunado a la ausencia de</w:t>
      </w:r>
      <w:r w:rsidRPr="00BB63D0">
        <w:rPr>
          <w:szCs w:val="20"/>
          <w:lang w:val="es-EC"/>
        </w:rPr>
        <w:t xml:space="preserve"> controles administrativos sobre la actividad de los agentes estatales que intervinieron y actuaron en la investigación con base en estos estereotipos y prejuicios. Todo lo cual derivó en que el caso no se investigara de manera diligente ni con rigor, manteniéndose en la impunidad hasta el día de hoy, lo cual constituyó una forma de discriminación en el acceso a la justicia por razones de género.</w:t>
      </w:r>
    </w:p>
    <w:p w14:paraId="6ABE6F38" w14:textId="77777777" w:rsidR="007269CF" w:rsidRPr="00BB63D0" w:rsidRDefault="007269CF" w:rsidP="00BB63D0">
      <w:pPr>
        <w:rPr>
          <w:szCs w:val="20"/>
          <w:lang w:val="es-EC"/>
        </w:rPr>
      </w:pPr>
      <w:r w:rsidRPr="00BB63D0">
        <w:rPr>
          <w:szCs w:val="20"/>
          <w:lang w:val="es-EC"/>
        </w:rPr>
        <w:t>192.</w:t>
      </w:r>
      <w:r w:rsidRPr="00BB63D0">
        <w:rPr>
          <w:szCs w:val="20"/>
          <w:lang w:val="es-EC"/>
        </w:rPr>
        <w:tab/>
        <w:t>Ahora bien, es posible asumir que la muerte violenta de Claudina Velásquez Paiz fue una manifestación de violencia de género a los efectos de la aplicación al caso del artículo 7 de la Convención de Belém do Pará, teniendo en cuenta:</w:t>
      </w:r>
    </w:p>
    <w:p w14:paraId="26BDB8E6" w14:textId="77777777" w:rsidR="007269CF" w:rsidRPr="00BB63D0" w:rsidRDefault="007269CF" w:rsidP="00BB63D0">
      <w:pPr>
        <w:ind w:left="708"/>
        <w:rPr>
          <w:szCs w:val="20"/>
          <w:lang w:val="es-EC"/>
        </w:rPr>
      </w:pPr>
      <w:r w:rsidRPr="00BB63D0">
        <w:rPr>
          <w:szCs w:val="20"/>
          <w:lang w:val="es-EC"/>
        </w:rPr>
        <w:t>a)</w:t>
      </w:r>
      <w:r w:rsidRPr="00BB63D0">
        <w:rPr>
          <w:szCs w:val="20"/>
          <w:lang w:val="es-EC"/>
        </w:rPr>
        <w:tab/>
        <w:t xml:space="preserve">los indicios de una probable violación sexual. El brasier no lo tenía puesto sino colocado entre el pantalón y la cadera, el zipper del pantalón estaba abajo, el cincho estaba removido, la blusa estaba puesta al revés y se documentó la presencia de semen en la cavidad vaginal de la víctima </w:t>
      </w:r>
      <w:r w:rsidRPr="00BB63D0">
        <w:rPr>
          <w:szCs w:val="20"/>
        </w:rPr>
        <w:t>[…]</w:t>
      </w:r>
      <w:r w:rsidRPr="00BB63D0">
        <w:rPr>
          <w:szCs w:val="20"/>
          <w:lang w:val="es-EC"/>
        </w:rPr>
        <w:t>;</w:t>
      </w:r>
    </w:p>
    <w:p w14:paraId="576B0534" w14:textId="77777777" w:rsidR="007269CF" w:rsidRPr="00BB63D0" w:rsidRDefault="007269CF" w:rsidP="00BB63D0">
      <w:pPr>
        <w:ind w:left="708"/>
        <w:rPr>
          <w:szCs w:val="20"/>
          <w:lang w:val="es-EC"/>
        </w:rPr>
      </w:pPr>
      <w:r w:rsidRPr="00BB63D0">
        <w:rPr>
          <w:szCs w:val="20"/>
          <w:lang w:val="es-EC"/>
        </w:rPr>
        <w:t>b)</w:t>
      </w:r>
      <w:r w:rsidRPr="00BB63D0">
        <w:rPr>
          <w:szCs w:val="20"/>
          <w:lang w:val="es-EC"/>
        </w:rPr>
        <w:tab/>
        <w:t xml:space="preserve">las lesiones que presentaba el cuerpo. Una lesión a nivel peri orbital y al lado izquierdo de la mejilla causada antes de su muerte, y excoriaciones en la rodilla izquierda y a nivel flanco, aparentemente causadas con posterioridad a la muerte </w:t>
      </w:r>
      <w:r w:rsidRPr="00BB63D0">
        <w:rPr>
          <w:szCs w:val="20"/>
        </w:rPr>
        <w:t>[…]</w:t>
      </w:r>
      <w:r w:rsidRPr="00BB63D0">
        <w:rPr>
          <w:szCs w:val="20"/>
          <w:lang w:val="es-EC"/>
        </w:rPr>
        <w:t>, y</w:t>
      </w:r>
    </w:p>
    <w:p w14:paraId="3FB377D4" w14:textId="77777777" w:rsidR="007269CF" w:rsidRPr="00BB63D0" w:rsidRDefault="007269CF" w:rsidP="00BB63D0">
      <w:pPr>
        <w:ind w:left="708"/>
        <w:rPr>
          <w:szCs w:val="20"/>
          <w:lang w:val="es-EC"/>
        </w:rPr>
      </w:pPr>
      <w:r w:rsidRPr="00BB63D0">
        <w:rPr>
          <w:szCs w:val="20"/>
          <w:lang w:val="es-EC"/>
        </w:rPr>
        <w:lastRenderedPageBreak/>
        <w:t>c)</w:t>
      </w:r>
      <w:r w:rsidRPr="00BB63D0">
        <w:rPr>
          <w:szCs w:val="20"/>
          <w:lang w:val="es-EC"/>
        </w:rPr>
        <w:tab/>
        <w:t xml:space="preserve">el contexto de aumento de la violencia homicida contra las mujeres en Guatemala, agravamiento del grado de violencia contra aquellas y el ensañamiento ejercidos contra los cuerpos de muchas de las víctimas, lo cual ocurre en un entorno de diversas formas de violencia contra la mujer </w:t>
      </w:r>
      <w:r w:rsidRPr="00BB63D0">
        <w:rPr>
          <w:szCs w:val="20"/>
        </w:rPr>
        <w:t>[…]</w:t>
      </w:r>
      <w:r w:rsidRPr="00BB63D0">
        <w:rPr>
          <w:szCs w:val="20"/>
          <w:lang w:val="es-EC"/>
        </w:rPr>
        <w:t>.</w:t>
      </w:r>
    </w:p>
    <w:p w14:paraId="6308D4FC" w14:textId="77777777" w:rsidR="007269CF" w:rsidRPr="00BB63D0" w:rsidRDefault="007269CF" w:rsidP="00BB63D0">
      <w:pPr>
        <w:rPr>
          <w:szCs w:val="20"/>
          <w:lang w:val="es-EC"/>
        </w:rPr>
      </w:pPr>
      <w:r w:rsidRPr="00BB63D0">
        <w:rPr>
          <w:szCs w:val="20"/>
          <w:lang w:val="es-EC"/>
        </w:rPr>
        <w:t>196.</w:t>
      </w:r>
      <w:r w:rsidRPr="00BB63D0">
        <w:rPr>
          <w:szCs w:val="20"/>
          <w:lang w:val="es-EC"/>
        </w:rPr>
        <w:tab/>
        <w:t xml:space="preserve">En definitiva, la existencia de indicios sobre posible violencia de género en contra de Claudina Velásquez fue de conocimiento de las autoridades encargadas de la investigación a partir de los primeros momentos en que se inició la investigación. Adicionalmente, dichos indicios fueron referidos reiteradamente en el transcurso de la misma. No obstante, a causa de los prejuicios y las manifestaciones discriminatorias basadas en estereotipos de género de los agentes estatales que intervinieron en la investigación, se omitió conducir la investigación desde un enfoque de género y la muerte de Claudina Velásquez fue conducida como un homicidio más. </w:t>
      </w:r>
    </w:p>
    <w:p w14:paraId="64DFA0A2" w14:textId="77777777" w:rsidR="007269CF" w:rsidRPr="00BB63D0" w:rsidRDefault="007269CF" w:rsidP="00BB63D0">
      <w:pPr>
        <w:rPr>
          <w:szCs w:val="20"/>
          <w:lang w:val="es-EC"/>
        </w:rPr>
      </w:pPr>
      <w:r w:rsidRPr="00BB63D0">
        <w:rPr>
          <w:szCs w:val="20"/>
          <w:lang w:val="es-EC"/>
        </w:rPr>
        <w:t>197.</w:t>
      </w:r>
      <w:r w:rsidRPr="00BB63D0">
        <w:rPr>
          <w:szCs w:val="20"/>
          <w:lang w:val="es-EC"/>
        </w:rPr>
        <w:tab/>
        <w:t xml:space="preserve">Para la </w:t>
      </w:r>
      <w:r w:rsidRPr="00144170">
        <w:rPr>
          <w:szCs w:val="20"/>
          <w:lang w:val="es-EC"/>
        </w:rPr>
        <w:t>Corte tres aspectos son fundamentales en cuanto a las consecuencias derivadas de la falta de un enfoque de género en la investigación penal. Primero, la invisibilización de las</w:t>
      </w:r>
      <w:r w:rsidRPr="00BB63D0">
        <w:rPr>
          <w:szCs w:val="20"/>
          <w:lang w:val="es-EC"/>
        </w:rPr>
        <w:t xml:space="preserve"> circunstancias previas a la muerte, siendo que los indicios indican la existencia de un acto de violencia ocurrido previo a la muerte. Segundo, la invisibilización de la forma en que ocurrió la muerte, a pesar que de los indicios se desprende la presunta comisión de un acto de violencia ocurrido con posterioridad a la muerte. Tercero, la invisibilización de la posible violencia sexual. Estos tres aspectos se presentan como una posible reiteración de la violencia ejercida en contra de la víctima ocurrida durante el tiempo de su desaparición, y adicionales al hecho de darle muerte.</w:t>
      </w:r>
    </w:p>
    <w:p w14:paraId="722265ED" w14:textId="77777777" w:rsidR="007269CF" w:rsidRPr="00BB63D0" w:rsidRDefault="007269CF" w:rsidP="00BB63D0">
      <w:pPr>
        <w:rPr>
          <w:szCs w:val="20"/>
          <w:lang w:val="es-EC"/>
        </w:rPr>
      </w:pPr>
      <w:r w:rsidRPr="00BB63D0">
        <w:rPr>
          <w:szCs w:val="20"/>
          <w:lang w:val="es-EC"/>
        </w:rPr>
        <w:t>198.</w:t>
      </w:r>
      <w:r w:rsidRPr="00BB63D0">
        <w:rPr>
          <w:szCs w:val="20"/>
          <w:lang w:val="es-EC"/>
        </w:rPr>
        <w:tab/>
        <w:t>En razón de todo lo anterior, el Estado incumplió su obligación de investigar ex officio la muerte de Claudina Velásquez como una posible manifestación de violencia de género y con un enfoque de género. Por el contrario, la investigación se limitó a la muerte de la víctima y continuó como un caso de homicidio sin tener en cuenta los estándares establecidos para este tipo de casos. Así pues, no se aseguraron las pruebas como la ropa de la víctima ni su correcta cadena de custodia; no se conservaron las evidencias físicas; no se realizaron los exámenes y pericias correspondientes; no se siguieron líneas de investigación adecuadas y se cerraron otras líneas posibles de investigación sobre las circunstancias del caso e identificación de los autores. Por ende, el Estado faltó a su deber de investigar con debida diligencia.</w:t>
      </w:r>
    </w:p>
    <w:p w14:paraId="2CAD37B3" w14:textId="77777777" w:rsidR="007269CF" w:rsidRPr="00BB63D0" w:rsidRDefault="007269CF" w:rsidP="00BB63D0">
      <w:pPr>
        <w:rPr>
          <w:szCs w:val="20"/>
          <w:lang w:val="es-EC"/>
        </w:rPr>
      </w:pPr>
      <w:r w:rsidRPr="00BB63D0">
        <w:rPr>
          <w:szCs w:val="20"/>
          <w:lang w:val="es-EC"/>
        </w:rPr>
        <w:t>199.</w:t>
      </w:r>
      <w:r w:rsidRPr="00BB63D0">
        <w:rPr>
          <w:szCs w:val="20"/>
          <w:lang w:val="es-EC"/>
        </w:rPr>
        <w:tab/>
        <w:t xml:space="preserve">En consecuencia, la Corte estima que la investigación de la muerte de Claudina Velásquez no ha sido conducida con una perspectiva de género de acuerdo a las obligaciones especiales impuestas por la Convención de Belém do Pará. Al igual que en el Caso Veliz Franco y otros, la Corte considera que se ha violado tanto el derecho a la igual protección de la ley (artículo 24) como el deber de respetar y garantizar sin discriminación los derechos contenidos en la Convención Americana (artículo 1.1), en razón que los hechos del presente caso comprenden ambas modalidades de discriminación y, por lo tanto, no se hace necesario realizar una distinción. </w:t>
      </w:r>
    </w:p>
    <w:p w14:paraId="0C3E9896" w14:textId="77777777" w:rsidR="007269CF" w:rsidRPr="00BB63D0" w:rsidRDefault="007269CF" w:rsidP="00BB63D0">
      <w:pPr>
        <w:rPr>
          <w:szCs w:val="20"/>
          <w:lang w:val="es-EC"/>
        </w:rPr>
      </w:pPr>
      <w:r w:rsidRPr="00BB63D0">
        <w:rPr>
          <w:szCs w:val="20"/>
          <w:lang w:val="es-EC"/>
        </w:rPr>
        <w:t>200.</w:t>
      </w:r>
      <w:r w:rsidRPr="00BB63D0">
        <w:rPr>
          <w:szCs w:val="20"/>
          <w:lang w:val="es-EC"/>
        </w:rPr>
        <w:tab/>
        <w:t xml:space="preserve">La Corte considera que en el presente caso, el Estado incumplió su obligación de investigar la muerte violenta de Claudina Velásquez como una posible manifestación de violencia de género y con un enfoque de género. A su vez, la existencia de estereotipos de género y prejuicios por los cuales se consideró a Claudina Isabel Velásquez Paiz como una persona cuya muerte no merecía ser investigada derivó en que el caso no se investigara de manera diligente ni con rigor. Todo lo anterior, constituyó violencia contra la mujer y una forma de discriminación en el acceso a la justicia por razones de género. </w:t>
      </w:r>
    </w:p>
    <w:p w14:paraId="58705BB4" w14:textId="77777777" w:rsidR="007269CF" w:rsidRPr="00BB63D0" w:rsidRDefault="007269CF" w:rsidP="00BB63D0">
      <w:pPr>
        <w:rPr>
          <w:szCs w:val="20"/>
          <w:lang w:val="es-EC"/>
        </w:rPr>
      </w:pPr>
      <w:r w:rsidRPr="00BB63D0">
        <w:rPr>
          <w:szCs w:val="20"/>
          <w:lang w:val="es-EC"/>
        </w:rPr>
        <w:t>201.</w:t>
      </w:r>
      <w:r w:rsidRPr="00BB63D0">
        <w:rPr>
          <w:szCs w:val="20"/>
          <w:lang w:val="es-EC"/>
        </w:rPr>
        <w:tab/>
        <w:t xml:space="preserve">En el presente caso, la Corte constató que la escena del crimen no fue trabajada como es debido ni con la exhaustividad requerida para lograr resultados positivos en la investigación; hubo una falta en la recaudación, documentación y </w:t>
      </w:r>
      <w:r w:rsidRPr="00BB63D0">
        <w:rPr>
          <w:szCs w:val="20"/>
          <w:lang w:val="es-EC"/>
        </w:rPr>
        <w:lastRenderedPageBreak/>
        <w:t>preservación de evidencia; y hubo irregularidades en el reconocimiento médico forense y en la práctica de la necropsia, así como en su documentación respectiva. La presencia de estas falencias en las primeras diligencias de la investigación difícilmente pueden ser subsanadas, aunado a la pérdida de evidencia que deviene en irreparable. Además, las diligencias de investigación han sido tardías, repetitivas y se han prolongado a través del tiempo, y algunas otras no se tiene claridad sobre las razones por las cuales se han practicado. A su vez, no se siguieron líneas de investigación adecuadas. Dichas falencias investigativas son una consecuencia directa de la valoración estereotipada que las autoridades que investigan hicieron de la víctima y de la falta de un enfoque de género sobre la misma. Es así que, transcurridos más de 10 años de los hechos del caso y desde que se inició la investigación, la muerte de Claudina Velásquez aún se encuentra en la más absoluta impunidad, fuera de todo plazo razonable.</w:t>
      </w:r>
    </w:p>
    <w:p w14:paraId="697ADE7B" w14:textId="77777777" w:rsidR="007269CF" w:rsidRPr="00BB63D0" w:rsidRDefault="007269CF" w:rsidP="00BB63D0">
      <w:pPr>
        <w:rPr>
          <w:szCs w:val="20"/>
          <w:lang w:val="es-EC"/>
        </w:rPr>
      </w:pPr>
      <w:r w:rsidRPr="00BB63D0">
        <w:rPr>
          <w:szCs w:val="20"/>
          <w:lang w:val="es-EC"/>
        </w:rPr>
        <w:t>202.</w:t>
      </w:r>
      <w:r w:rsidRPr="00BB63D0">
        <w:rPr>
          <w:szCs w:val="20"/>
          <w:lang w:val="es-EC"/>
        </w:rPr>
        <w:tab/>
        <w:t>Por lo anterior, el Estado violó los derechos a las garantías judiciales y a la protección judicial, reconocidos en los artículos 8.1 y 25.1 de la Convención Americana sobre Derechos Humanos, y el derecho a la igualdad ante la ley reconocido en el artículo 24 de la Convención, en relación con las obligaciones generales contenidas en los artículos 1.1 y 2 de la misma, y con el artículo 7 de la Convención Interamericana para Prevenir, Sancionar y Erradicar la Violencia contra la Mujer, en perjuicio de Jorge Rolando Velásquez Durán, Elsa Claudina Paiz Vidal y Pablo Andrés Velásquez Paiz, todos ellos familiares de Claudina Isabel Velásquez Paiz.</w:t>
      </w:r>
    </w:p>
    <w:p w14:paraId="29B60993" w14:textId="1F937413" w:rsidR="007269CF" w:rsidRDefault="007269CF" w:rsidP="007979A9">
      <w:pPr>
        <w:pStyle w:val="Caso"/>
        <w:rPr>
          <w:lang w:val="es-EC"/>
        </w:rPr>
      </w:pPr>
      <w:r w:rsidRPr="007979A9">
        <w:rPr>
          <w:lang w:val="es-EC"/>
        </w:rPr>
        <w:t>Corte IDH. Caso Azul Rojas Marín y otra Vs. Perú. Excepciones Preliminares, Fondo, Reparaciones y Costas. Sentencia de 12 de marzo de 2020. Serie C No. 402</w:t>
      </w:r>
    </w:p>
    <w:p w14:paraId="76D8C7AE" w14:textId="10BB9A21" w:rsidR="007269CF" w:rsidRPr="00BB63D0" w:rsidRDefault="007269CF" w:rsidP="00BB63D0">
      <w:pPr>
        <w:rPr>
          <w:szCs w:val="20"/>
          <w:lang w:val="es-EC"/>
        </w:rPr>
      </w:pPr>
      <w:r w:rsidRPr="007979A9">
        <w:rPr>
          <w:szCs w:val="20"/>
          <w:lang w:val="es-EC"/>
        </w:rPr>
        <w:t>196. Adicionalmente, este Tribunal considera que cuando se investigan actos violentos, como la tortura, las autoridades estatales tienen el deber de tomar todas las medidas que sean razonables para develar si existen posibles motivos discriminatorios. Esta obligación implica que cuando existan indicios o sospechas concretas de violencia por motivos discriminatorios, el Estado debe hacer lo que sea razonable de acuerdo con las circunstancias, en aras de recolectar y asegurar las pruebas, explorar todos los medios prácticos para descubrir la verdad y emitir decisiones completamente razonadas, imparciales y objetivas, sin omitir hechos sospechosos que puedan ser indicativos de violencia motivada por discriminación. La falta de investigación por parte de las autoridades de los posibles móviles discriminatorios, puede constituir en sí misma una forma de discriminación, contraria a la prohibición establecida en el artículo 1.1 de la Convención.</w:t>
      </w:r>
    </w:p>
    <w:p w14:paraId="479A0DAA" w14:textId="4AACDF23" w:rsidR="007269CF" w:rsidRDefault="007269CF" w:rsidP="00BB63D0">
      <w:pPr>
        <w:rPr>
          <w:szCs w:val="20"/>
          <w:lang w:val="es-EC"/>
        </w:rPr>
      </w:pPr>
    </w:p>
    <w:p w14:paraId="64F91854" w14:textId="3CCA3CA8" w:rsidR="007269CF" w:rsidRDefault="007269CF">
      <w:pPr>
        <w:spacing w:line="252" w:lineRule="auto"/>
        <w:jc w:val="left"/>
        <w:rPr>
          <w:szCs w:val="20"/>
          <w:lang w:val="es-EC"/>
        </w:rPr>
      </w:pPr>
      <w:r>
        <w:rPr>
          <w:szCs w:val="20"/>
          <w:lang w:val="es-EC"/>
        </w:rPr>
        <w:br w:type="page"/>
      </w:r>
    </w:p>
    <w:p w14:paraId="4CB84F6C" w14:textId="77777777" w:rsidR="007269CF" w:rsidRDefault="007269CF" w:rsidP="00F41528">
      <w:pPr>
        <w:pStyle w:val="Ttulo1"/>
      </w:pPr>
    </w:p>
    <w:p w14:paraId="41B3D142" w14:textId="6B3E365C" w:rsidR="007269CF" w:rsidRPr="00BB63D0" w:rsidRDefault="007269CF" w:rsidP="00F41528">
      <w:pPr>
        <w:pStyle w:val="Ttulo1"/>
      </w:pPr>
      <w:bookmarkStart w:id="34" w:name="_Toc89017890"/>
      <w:r w:rsidRPr="00BB63D0">
        <w:t xml:space="preserve">6. </w:t>
      </w:r>
      <w:r w:rsidRPr="00BB63D0">
        <w:tab/>
      </w:r>
      <w:r w:rsidRPr="00F41528">
        <w:t>Reparaciones</w:t>
      </w:r>
      <w:r w:rsidRPr="00BB63D0">
        <w:t>: medidas de satisfacción y garantías de no repetición</w:t>
      </w:r>
      <w:bookmarkEnd w:id="34"/>
    </w:p>
    <w:p w14:paraId="2A6F99CF" w14:textId="065CCE73" w:rsidR="007269CF" w:rsidRPr="00BB63D0" w:rsidRDefault="007269CF" w:rsidP="00BB63D0">
      <w:pPr>
        <w:rPr>
          <w:szCs w:val="20"/>
          <w:lang w:val="es-ES_tradnl"/>
        </w:rPr>
      </w:pPr>
      <w:r w:rsidRPr="00BB63D0">
        <w:rPr>
          <w:szCs w:val="20"/>
          <w:lang w:val="es-ES_tradnl"/>
        </w:rPr>
        <w:t xml:space="preserve">Finalmente, la Corte IDH a lo largo de su jurisprudencia, ha establecido una serie de medidas de reparación en relación a la violación del derecho a la igualdad y no discriminación, </w:t>
      </w:r>
      <w:r w:rsidR="00E87C19">
        <w:rPr>
          <w:szCs w:val="20"/>
          <w:lang w:val="es-ES_tradnl"/>
        </w:rPr>
        <w:t>en este Cuadernillo se ha hecho una selección de las mismas</w:t>
      </w:r>
      <w:r w:rsidRPr="00BB63D0">
        <w:rPr>
          <w:szCs w:val="20"/>
          <w:lang w:val="es-ES_tradnl"/>
        </w:rPr>
        <w:t xml:space="preserve">. </w:t>
      </w:r>
    </w:p>
    <w:p w14:paraId="166C62F5" w14:textId="4672889F" w:rsidR="007269CF" w:rsidRPr="00BB63D0" w:rsidRDefault="007269CF" w:rsidP="00D1740E">
      <w:pPr>
        <w:pStyle w:val="Ttulo2"/>
      </w:pPr>
      <w:bookmarkStart w:id="35" w:name="_Toc89017891"/>
      <w:r w:rsidRPr="00BB63D0">
        <w:t>Cese efectivo de la discriminación</w:t>
      </w:r>
      <w:bookmarkEnd w:id="35"/>
    </w:p>
    <w:p w14:paraId="1166BBA8" w14:textId="77777777" w:rsidR="007269CF" w:rsidRPr="00BB63D0" w:rsidRDefault="007269CF" w:rsidP="00BB63D0">
      <w:pPr>
        <w:rPr>
          <w:b/>
          <w:szCs w:val="20"/>
        </w:rPr>
      </w:pPr>
      <w:r w:rsidRPr="00BB63D0">
        <w:rPr>
          <w:b/>
          <w:szCs w:val="20"/>
        </w:rPr>
        <w:t>Corte IDH. Caso Duque Vs. Colombia. Excepciones Preliminares, Fondo, Reparaciones y Costas. Sentencia de 26 de febrero de 2016. Serie C No. 310</w:t>
      </w:r>
    </w:p>
    <w:p w14:paraId="78A8CB57" w14:textId="7E8DB71F" w:rsidR="00960898" w:rsidRPr="00BB63D0" w:rsidRDefault="007269CF" w:rsidP="00BB63D0">
      <w:pPr>
        <w:rPr>
          <w:szCs w:val="20"/>
        </w:rPr>
      </w:pPr>
      <w:r w:rsidRPr="00BB63D0">
        <w:rPr>
          <w:szCs w:val="20"/>
        </w:rPr>
        <w:t>137.</w:t>
      </w:r>
      <w:r w:rsidRPr="00BB63D0">
        <w:rPr>
          <w:szCs w:val="20"/>
        </w:rPr>
        <w:tab/>
        <w:t xml:space="preserve">De ese modo, la Corte constata que, de acuerdo a lo alegado por el Estado, el hecho ilícito internacional habría sido totalmente reparado con la emisión de la sentencia T-051 de 2010, fecha en la cual se habrían modificado la reglas para acreditar la condición de uniones de hecho […]. Sin embargo, aun si esto último fuese cierto en el sentido de que el señor Duque podría solicitar una pensión de sobrevivencia sin que sea objeto de discriminación, también es cierto que en caso de ser otorgada la pensión, no existe una certeza sobre si el reconocimiento tendría efectos retroactivos hasta el momento en que éste fue objeto del trato diferente en el año 2002. En ese sentido, </w:t>
      </w:r>
      <w:r w:rsidRPr="00144170">
        <w:rPr>
          <w:szCs w:val="20"/>
        </w:rPr>
        <w:t>es razonable concluir que el hecho ilícito internacional del cual fue víctima el señor Duque aún no habría sido subsanado en su totalidad, puesto que los pagos retroactivos que podría percibir no serían equivalentes a los que habría percibido en caso de no haber sido tratado diferentemente de forma discriminatoria</w:t>
      </w:r>
      <w:r w:rsidRPr="00BB63D0">
        <w:rPr>
          <w:szCs w:val="20"/>
        </w:rPr>
        <w:t>.</w:t>
      </w:r>
    </w:p>
    <w:p w14:paraId="208F40BC" w14:textId="2C216C6E" w:rsidR="007269CF" w:rsidRPr="00BB63D0" w:rsidRDefault="007269CF" w:rsidP="00D1740E">
      <w:pPr>
        <w:pStyle w:val="Ttulo2"/>
      </w:pPr>
      <w:bookmarkStart w:id="36" w:name="_Toc89017892"/>
      <w:r w:rsidRPr="00BB63D0">
        <w:t>Traducción de la sentencia</w:t>
      </w:r>
      <w:bookmarkEnd w:id="36"/>
    </w:p>
    <w:p w14:paraId="1D695A02" w14:textId="6F80A75D" w:rsidR="007269CF" w:rsidRPr="00BB63D0" w:rsidRDefault="007269CF" w:rsidP="00BB63D0">
      <w:pPr>
        <w:rPr>
          <w:b/>
          <w:szCs w:val="20"/>
        </w:rPr>
      </w:pPr>
      <w:r w:rsidRPr="00BB63D0">
        <w:rPr>
          <w:b/>
          <w:szCs w:val="20"/>
        </w:rPr>
        <w:t>Corte IDH. Caso Masacre Plan de Sánchez Vs. Guatemala. Reparaciones. Sentencia de 19 de noviembre 2004. Serie C No. 116</w:t>
      </w:r>
      <w:r>
        <w:rPr>
          <w:rStyle w:val="Refdenotaalpie"/>
          <w:b/>
          <w:szCs w:val="20"/>
        </w:rPr>
        <w:footnoteReference w:id="50"/>
      </w:r>
    </w:p>
    <w:p w14:paraId="6DAEC5C2" w14:textId="77777777" w:rsidR="007269CF" w:rsidRPr="00BB63D0" w:rsidRDefault="007269CF" w:rsidP="00BB63D0">
      <w:pPr>
        <w:rPr>
          <w:szCs w:val="20"/>
        </w:rPr>
      </w:pPr>
      <w:r w:rsidRPr="00BB63D0">
        <w:rPr>
          <w:szCs w:val="20"/>
        </w:rPr>
        <w:t>102.</w:t>
      </w:r>
      <w:r w:rsidRPr="00BB63D0">
        <w:rPr>
          <w:szCs w:val="20"/>
        </w:rPr>
        <w:tab/>
        <w:t xml:space="preserve">La Corte estima que el Estado debe traducir al idioma maya </w:t>
      </w:r>
      <w:proofErr w:type="spellStart"/>
      <w:r w:rsidRPr="00BB63D0">
        <w:rPr>
          <w:szCs w:val="20"/>
        </w:rPr>
        <w:t>achí</w:t>
      </w:r>
      <w:proofErr w:type="spellEnd"/>
      <w:r w:rsidRPr="00BB63D0">
        <w:rPr>
          <w:szCs w:val="20"/>
        </w:rPr>
        <w:t xml:space="preserve"> la Convención Americana sobre Derechos Humanos, en el caso de que no se hubiere hecho, la sentencia de fondo dictada por la Corte el 29 de abril de 2004, así como la presente Sentencia. Asimismo, Guatemala debe disponer de los recursos necesarios para facilitar la divulgación de dichos textos en el Municipio de Rabinal y hacer entrega de los mismos a las víctimas del presente caso. Para tal efecto, el Estado cuenta con un plazo de un año, contado a partir de la notificación de la presente Sentencia.</w:t>
      </w:r>
    </w:p>
    <w:p w14:paraId="64E584CE" w14:textId="011FD8EF" w:rsidR="007269CF" w:rsidRPr="00BB63D0" w:rsidRDefault="007269CF" w:rsidP="00D1740E">
      <w:pPr>
        <w:pStyle w:val="Ttulo2"/>
      </w:pPr>
      <w:bookmarkStart w:id="37" w:name="_Toc89017893"/>
      <w:r w:rsidRPr="00BB63D0">
        <w:t>Creación de monumento</w:t>
      </w:r>
      <w:bookmarkEnd w:id="37"/>
    </w:p>
    <w:p w14:paraId="237BFB69" w14:textId="77777777" w:rsidR="007269CF" w:rsidRPr="00BB63D0" w:rsidRDefault="007269CF" w:rsidP="00BB63D0">
      <w:pPr>
        <w:rPr>
          <w:szCs w:val="20"/>
        </w:rPr>
      </w:pPr>
      <w:r w:rsidRPr="00BB63D0">
        <w:rPr>
          <w:b/>
          <w:szCs w:val="20"/>
        </w:rPr>
        <w:lastRenderedPageBreak/>
        <w:t>Corte IDH. Caso González y otras (“Campo Algodonero”) Vs. México. Excepción Preliminar, Fondo, Reparaciones y Costas. Sentencia de 16 de noviembre de 2009. Serie C No. 205</w:t>
      </w:r>
    </w:p>
    <w:p w14:paraId="6668B459" w14:textId="77777777" w:rsidR="007269CF" w:rsidRPr="00BB63D0" w:rsidRDefault="007269CF" w:rsidP="00BB63D0">
      <w:pPr>
        <w:rPr>
          <w:szCs w:val="20"/>
          <w:lang w:val="es-EC"/>
        </w:rPr>
      </w:pPr>
      <w:r w:rsidRPr="00BB63D0">
        <w:rPr>
          <w:szCs w:val="20"/>
          <w:lang w:val="es-EC"/>
        </w:rPr>
        <w:t>471.</w:t>
      </w:r>
      <w:r w:rsidRPr="00BB63D0">
        <w:rPr>
          <w:szCs w:val="20"/>
          <w:lang w:val="es-EC"/>
        </w:rPr>
        <w:tab/>
        <w:t xml:space="preserve">A criterio del Tribunal, en el presente caso es pertinente que el Estado levante un monumento en memoria de las mujeres víctimas de homicidio por razones de género en Ciudad Juárez, entre ellas las víctimas de este caso, como forma de dignificarlas y como recuerdo del contexto de violencia que padecieron y que el Estado se compromete a evitar en el futuro. El monumento se develará en la misma ceremonia en la que el Estado reconozca públicamente su responsabilidad internacional </w:t>
      </w:r>
      <w:r w:rsidRPr="00BB63D0">
        <w:rPr>
          <w:szCs w:val="20"/>
        </w:rPr>
        <w:t>[…]</w:t>
      </w:r>
      <w:r w:rsidRPr="00BB63D0">
        <w:rPr>
          <w:szCs w:val="20"/>
          <w:lang w:val="es-EC"/>
        </w:rPr>
        <w:t xml:space="preserve"> y deberá ser construido en el campo algodonero en el que fueron encontradas las víctimas de este caso.</w:t>
      </w:r>
    </w:p>
    <w:p w14:paraId="59DBA5EE" w14:textId="77777777" w:rsidR="007269CF" w:rsidRPr="00BB63D0" w:rsidRDefault="007269CF" w:rsidP="00BB63D0">
      <w:pPr>
        <w:rPr>
          <w:szCs w:val="20"/>
          <w:lang w:val="es-EC"/>
        </w:rPr>
      </w:pPr>
      <w:r w:rsidRPr="00BB63D0">
        <w:rPr>
          <w:szCs w:val="20"/>
          <w:lang w:val="es-EC"/>
        </w:rPr>
        <w:t>472.</w:t>
      </w:r>
      <w:r w:rsidRPr="00BB63D0">
        <w:rPr>
          <w:szCs w:val="20"/>
          <w:lang w:val="es-EC"/>
        </w:rPr>
        <w:tab/>
        <w:t>En vista de que el monumento se refiere a más personas que las consideradas víctimas en este caso, la decisión del tipo de monumento corresponderá a las autoridades públicas, quienes consultarán el parecer de las organizaciones de la sociedad civil a través de un procedimiento público y abierto, en el que se incluirá a las organizaciones que representaron a las víctimas del presente caso.</w:t>
      </w:r>
    </w:p>
    <w:p w14:paraId="5A796F01" w14:textId="080AE0AC" w:rsidR="007269CF" w:rsidRPr="00BB63D0" w:rsidRDefault="007269CF" w:rsidP="00D1740E">
      <w:pPr>
        <w:pStyle w:val="Ttulo2"/>
      </w:pPr>
      <w:bookmarkStart w:id="38" w:name="_Toc89017894"/>
      <w:r w:rsidRPr="00BB63D0">
        <w:t>Devolución de concesión</w:t>
      </w:r>
      <w:bookmarkEnd w:id="38"/>
    </w:p>
    <w:p w14:paraId="6123C083" w14:textId="77777777" w:rsidR="007269CF" w:rsidRPr="00BB63D0" w:rsidRDefault="007269CF" w:rsidP="00BB63D0">
      <w:pPr>
        <w:rPr>
          <w:b/>
          <w:szCs w:val="20"/>
        </w:rPr>
      </w:pPr>
      <w:r w:rsidRPr="00BB63D0">
        <w:rPr>
          <w:b/>
          <w:szCs w:val="20"/>
        </w:rPr>
        <w:t xml:space="preserve">Corte IDH. Caso </w:t>
      </w:r>
      <w:proofErr w:type="spellStart"/>
      <w:r w:rsidRPr="00BB63D0">
        <w:rPr>
          <w:b/>
          <w:szCs w:val="20"/>
        </w:rPr>
        <w:t>Granier</w:t>
      </w:r>
      <w:proofErr w:type="spellEnd"/>
      <w:r w:rsidRPr="00BB63D0">
        <w:rPr>
          <w:b/>
          <w:szCs w:val="20"/>
        </w:rPr>
        <w:t xml:space="preserve"> y otros (Radio Caracas Televisión) Vs. Venezuela. Excepciones Preliminares, Fondo, Reparaciones y Costas. Sentencia de 22 de junio de 2015. Serie C No. 293</w:t>
      </w:r>
    </w:p>
    <w:p w14:paraId="339D5D26" w14:textId="77777777" w:rsidR="007269CF" w:rsidRPr="00BB63D0" w:rsidRDefault="007269CF" w:rsidP="00BB63D0">
      <w:pPr>
        <w:rPr>
          <w:szCs w:val="20"/>
        </w:rPr>
      </w:pPr>
      <w:r w:rsidRPr="00BB63D0">
        <w:rPr>
          <w:szCs w:val="20"/>
        </w:rPr>
        <w:t>380.</w:t>
      </w:r>
      <w:r w:rsidRPr="00BB63D0">
        <w:rPr>
          <w:szCs w:val="20"/>
        </w:rPr>
        <w:tab/>
        <w:t>Es por ello que en virtud de la naturaleza de las violaciones antes referidas y sin que ello implique un reconocimiento de la propiedad de la concesión por parte de RCTV, como medida necesaria para garantizar el goce y ejercicio de los derechos conculcados en el presente caso de conformidad con el artículo 63.1 de la Convención Americana, la Corte ordena que se restablezca la concesión de la frecuencia del espectro radioeléctrico correspondiente al canal 2 de televisión, hasta tanto se otorgue de manera definitiva como consecuencia del proceso establecido en el párrafo 382 de la presente Sentencia. Esta medida no implica la protección o reparación de la persona jurídica (RCTV C.A), sino que constituye el medio idóneo para reparar los derechos que se declararon vulnerados de los accionistas y trabajadores, aun si actualmente no hacen parte o trabajan para la empresa.</w:t>
      </w:r>
    </w:p>
    <w:p w14:paraId="370B4270" w14:textId="77777777" w:rsidR="007269CF" w:rsidRPr="00BB63D0" w:rsidRDefault="007269CF" w:rsidP="00BB63D0">
      <w:pPr>
        <w:rPr>
          <w:szCs w:val="20"/>
        </w:rPr>
      </w:pPr>
      <w:r w:rsidRPr="00BB63D0">
        <w:rPr>
          <w:szCs w:val="20"/>
        </w:rPr>
        <w:t>381.</w:t>
      </w:r>
      <w:r w:rsidRPr="00BB63D0">
        <w:rPr>
          <w:szCs w:val="20"/>
        </w:rPr>
        <w:tab/>
        <w:t>Para que la anterior medida no sea ilusoria y sin que esto suponga un pronunciamiento sobre el derecho a la propiedad, este Tribunal ordena la devolución de los bienes objeto de las medidas cautelares, por cuanto son elementos indispensables para la efectiva operación de la concesión. Además, esta medida repara las violaciones declaradas en relación con las garantías judiciales al derecho a ser oído y a un plazo razonable en los procesos judiciales respecto al trámite de la demanda por intereses difusos y colectivos […].</w:t>
      </w:r>
    </w:p>
    <w:p w14:paraId="46008F0A" w14:textId="77777777" w:rsidR="007269CF" w:rsidRPr="00BB63D0" w:rsidRDefault="007269CF" w:rsidP="00BB63D0">
      <w:pPr>
        <w:rPr>
          <w:szCs w:val="20"/>
        </w:rPr>
      </w:pPr>
      <w:r w:rsidRPr="00BB63D0">
        <w:rPr>
          <w:szCs w:val="20"/>
        </w:rPr>
        <w:t>382.</w:t>
      </w:r>
      <w:r w:rsidRPr="00BB63D0">
        <w:rPr>
          <w:szCs w:val="20"/>
        </w:rPr>
        <w:tab/>
        <w:t xml:space="preserve">Una vez se efectúe la restitución de la concesión a RCTV, el Estado deberá, en un plazo razonable, ordenar la apertura de un proceso abierto, independiente y transparente para el otorgamiento de la frecuencia del espectro radioeléctrico correspondiente al canal 2 de televisión, siguiendo para tal efecto el procedimiento establecido en la </w:t>
      </w:r>
      <w:r w:rsidRPr="00144170">
        <w:rPr>
          <w:szCs w:val="20"/>
        </w:rPr>
        <w:t>LOTEL o la norma interna vigente para tales efectos. Dicho proceso deberá ser llevado a cabo garantizando que no se apliquen criterios discriminatorios que condicionen el otorgamiento de la concesión, y deberá estar encaminado a fortalecer de manera efectiva el pluralismo democrático y el respeto a las garantías judiciales. Por lo tanto, el Estado deberá: i) adoptar las medidas apropiadas para que se implemente un proceso abierto, independiente y transparente para asignar la frecuencia, y ii) dar a las víctimas</w:t>
      </w:r>
      <w:r w:rsidRPr="00BB63D0">
        <w:rPr>
          <w:szCs w:val="20"/>
        </w:rPr>
        <w:t xml:space="preserve"> del presente caso la oportunidad de participar en dicho proceso a través de la empresa RCTV, de otra empresa o a título personal, </w:t>
      </w:r>
      <w:r w:rsidRPr="00BB63D0">
        <w:rPr>
          <w:szCs w:val="20"/>
        </w:rPr>
        <w:lastRenderedPageBreak/>
        <w:t>como mínimo, en igualdad de condiciones. El Estado deberá informar en un año sobre las medidas adoptadas al respecto.</w:t>
      </w:r>
    </w:p>
    <w:p w14:paraId="1E7C4FFF" w14:textId="2823A27E" w:rsidR="007269CF" w:rsidRPr="00BB63D0" w:rsidRDefault="007269CF" w:rsidP="00D1740E">
      <w:pPr>
        <w:pStyle w:val="Ttulo2"/>
      </w:pPr>
      <w:bookmarkStart w:id="39" w:name="_Toc89017895"/>
      <w:r w:rsidRPr="00BB63D0">
        <w:t>Elaboración de página búsqueda para personas desaparecidas</w:t>
      </w:r>
      <w:bookmarkEnd w:id="39"/>
    </w:p>
    <w:p w14:paraId="34165DBD" w14:textId="77777777" w:rsidR="007269CF" w:rsidRPr="00BB63D0" w:rsidRDefault="007269CF" w:rsidP="00BB63D0">
      <w:pPr>
        <w:rPr>
          <w:szCs w:val="20"/>
        </w:rPr>
      </w:pPr>
      <w:r w:rsidRPr="00BB63D0">
        <w:rPr>
          <w:b/>
          <w:szCs w:val="20"/>
        </w:rPr>
        <w:t>Corte IDH. Caso González y otras (“Campo Algodonero”) Vs. México. Excepción Preliminar, Fondo, Reparaciones y Costas. Sentencia de 16 de noviembre de 2009. Serie C No. 205</w:t>
      </w:r>
    </w:p>
    <w:p w14:paraId="5916FB7E" w14:textId="77777777" w:rsidR="007269CF" w:rsidRPr="00BB63D0" w:rsidRDefault="007269CF" w:rsidP="00BB63D0">
      <w:pPr>
        <w:rPr>
          <w:szCs w:val="20"/>
          <w:lang w:val="es-EC"/>
        </w:rPr>
      </w:pPr>
      <w:r w:rsidRPr="00BB63D0">
        <w:rPr>
          <w:szCs w:val="20"/>
          <w:lang w:val="es-EC"/>
        </w:rPr>
        <w:t>506.</w:t>
      </w:r>
      <w:r w:rsidRPr="00BB63D0">
        <w:rPr>
          <w:szCs w:val="20"/>
          <w:lang w:val="es-EC"/>
        </w:rPr>
        <w:tab/>
        <w:t xml:space="preserve">La Corte considera que el Protocolo Alba, o cualquier otro dispositivo análogo en Chihuahua, debe seguir, entre otros, los siguientes parámetros: i) implementar búsquedas de oficio y sin dilación alguna, cuando se presenten casos de desaparición, como una medida tendiente a proteger la vida, libertad personal y la integridad personal de la persona desaparecida; ii) establecer un trabajo coordinado entre diferentes cuerpos de seguridad para dar con el paradero de la persona; iii) eliminar cualquier obstáculo de hecho o de derecho que le reste efectividad a la búsqueda o que haga imposible su inicio como exigir investigaciones o procedimientos preliminares; iv) asignar los recursos humanos, económicos, logísticos, científicos o de cualquier índole que sean necesarios para el éxito de la búsqueda; v) confrontar el reporte de desaparición con la base de datos de personas desaparecidas </w:t>
      </w:r>
      <w:r w:rsidRPr="00BB63D0">
        <w:rPr>
          <w:szCs w:val="20"/>
        </w:rPr>
        <w:t>[…]</w:t>
      </w:r>
      <w:r w:rsidRPr="00BB63D0">
        <w:rPr>
          <w:szCs w:val="20"/>
          <w:lang w:val="es-EC"/>
        </w:rPr>
        <w:t xml:space="preserve"> priorizar las búsquedas en áreas donde razonablemente sea más probable encontrar a la persona desaparecida sin descartar arbitrariamente otras posibilidades o áreas de búsqueda. Todo lo anterior deberá ser aún más urgente y riguroso cuando la desaparecida sea un niña. Al respecto, se deberá rendir un informe anual durante tres años.</w:t>
      </w:r>
    </w:p>
    <w:p w14:paraId="61BAF6D3" w14:textId="77777777" w:rsidR="007269CF" w:rsidRPr="00BB63D0" w:rsidRDefault="007269CF" w:rsidP="00BB63D0">
      <w:pPr>
        <w:rPr>
          <w:szCs w:val="20"/>
          <w:lang w:val="es-EC"/>
        </w:rPr>
      </w:pPr>
      <w:r w:rsidRPr="00BB63D0">
        <w:rPr>
          <w:szCs w:val="20"/>
          <w:lang w:val="es-EC"/>
        </w:rPr>
        <w:t>508.</w:t>
      </w:r>
      <w:r w:rsidRPr="00BB63D0">
        <w:rPr>
          <w:szCs w:val="20"/>
          <w:lang w:val="es-EC"/>
        </w:rPr>
        <w:tab/>
        <w:t>Al respecto, y teniendo en cuenta que una red informática en la que cualquier persona pueda suministrar información sobre una mujer o niña desaparecida puede ser útil para localizarla, la Corte, como lo ha dispuesto en otras ocasiones, ordena la creación de una página electrónica que contendrá la información personal necesaria de todas las mujeres, jóvenes y niñas que desaparecieron en Chihuahua desde 1993 y que continúan desaparecidas. Dicha página electrónica deberá permitir que cualquier individuo se comunique por cualquier medio con las autoridades, inclusive de manera anónima, a efectos de proporcionar información relevante sobre el paradero de la mujer o niña desaparecida o, en su caso, de sus restos. La información contenida en la página electrónica deberá actualizarse permanentemente.</w:t>
      </w:r>
    </w:p>
    <w:p w14:paraId="5C9BE5A0" w14:textId="77777777" w:rsidR="007269CF" w:rsidRPr="00BB63D0" w:rsidRDefault="007269CF" w:rsidP="00BB63D0">
      <w:pPr>
        <w:rPr>
          <w:szCs w:val="20"/>
          <w:lang w:val="es-EC"/>
        </w:rPr>
      </w:pPr>
      <w:r w:rsidRPr="00BB63D0">
        <w:rPr>
          <w:szCs w:val="20"/>
          <w:lang w:val="es-EC"/>
        </w:rPr>
        <w:t>512.</w:t>
      </w:r>
      <w:r w:rsidRPr="00BB63D0">
        <w:rPr>
          <w:szCs w:val="20"/>
          <w:lang w:val="es-EC"/>
        </w:rPr>
        <w:tab/>
        <w:t>La Corte estima que la racionalidad de crear una base de datos de mujeres y niñas desaparecidas a nivel nacional y la actualización y confrontación de la información genética proveniente de familiares de personas desaparecidas y de cuerpos no identificados responde a la posibilidad de que los cuerpos de algunas mujeres o niñas encontradas en Chihuahua pertenezcan a personas desaparecidas en otras entidades federativas, incluso, otros países. Por ello, como lo ha dispuesto en otros casos, la Corte ordena: i) la creación o actualización de una base de datos que contenga la información personal disponible de mujeres y niñas desaparecidas a nivel nacional; ii) la creación o actualización de una base de datos con la información personal que sea necesaria, principalmente genética y muestras celulares, de los familiares de las personas desaparecidas que consientan –o que así lo ordene un juez- para que el Estado almacene dicha información personal únicamente con objeto de localizar a la persona desaparecida, y iii) la creación o actualización de una base de datos con la información genética y muestras celulares proveniente de los cuerpos de cualquier mujer o niña no identificada que fuera privada de la vida en el estado de Chihuahua. El Estado en todo momento deberá proteger los datos personales contenidos en dichas bases de datos.</w:t>
      </w:r>
    </w:p>
    <w:p w14:paraId="63C51752" w14:textId="77777777" w:rsidR="007269CF" w:rsidRPr="00BB63D0" w:rsidRDefault="007269CF" w:rsidP="00BB63D0">
      <w:pPr>
        <w:rPr>
          <w:b/>
          <w:szCs w:val="20"/>
          <w:lang w:val="es-EC"/>
        </w:rPr>
      </w:pPr>
      <w:r w:rsidRPr="00BB63D0">
        <w:rPr>
          <w:b/>
          <w:szCs w:val="20"/>
          <w:lang w:val="es-EC"/>
        </w:rPr>
        <w:lastRenderedPageBreak/>
        <w:t>Corte IDH. Caso Velásquez Paiz y otros Vs. Guatemala. Excepciones Preliminares, Fondo, Reparaciones y Costas. Sentencia de 19 de noviembre de 2015. Serie C No. 307</w:t>
      </w:r>
    </w:p>
    <w:p w14:paraId="1B1C89B8" w14:textId="77777777" w:rsidR="007269CF" w:rsidRPr="00BB63D0" w:rsidRDefault="007269CF" w:rsidP="00BB63D0">
      <w:pPr>
        <w:rPr>
          <w:szCs w:val="20"/>
          <w:lang w:val="es-EC"/>
        </w:rPr>
      </w:pPr>
      <w:r w:rsidRPr="00BB63D0">
        <w:rPr>
          <w:szCs w:val="20"/>
          <w:lang w:val="es-EC"/>
        </w:rPr>
        <w:t>263.</w:t>
      </w:r>
      <w:r w:rsidRPr="00BB63D0">
        <w:rPr>
          <w:szCs w:val="20"/>
          <w:lang w:val="es-EC"/>
        </w:rPr>
        <w:tab/>
        <w:t xml:space="preserve">El Tribunal valora las diversas medidas adoptadas por el Estado, inclusive la creación de diversos organismos, dirigidos a la prevención de la violencia contra la mujer y la erradicación de patrones socioculturales discriminatorios. </w:t>
      </w:r>
    </w:p>
    <w:p w14:paraId="30DC2505" w14:textId="77777777" w:rsidR="007269CF" w:rsidRPr="00BB63D0" w:rsidRDefault="007269CF" w:rsidP="00BB63D0">
      <w:pPr>
        <w:rPr>
          <w:szCs w:val="20"/>
          <w:lang w:val="es-EC"/>
        </w:rPr>
      </w:pPr>
      <w:r w:rsidRPr="00BB63D0">
        <w:rPr>
          <w:szCs w:val="20"/>
          <w:lang w:val="es-EC"/>
        </w:rPr>
        <w:t>264.</w:t>
      </w:r>
      <w:r w:rsidRPr="00BB63D0">
        <w:rPr>
          <w:szCs w:val="20"/>
          <w:lang w:val="es-EC"/>
        </w:rPr>
        <w:tab/>
        <w:t xml:space="preserve">Sin perjuicio de ello, en este caso la Corte estableció que, según los informes de diversas organizaciones internacionales y nacionales, así como la perita Karen Musalo, las medidas implementadas por el Estado dirigidas a abordar la problemática de la violencia contra las mujeres hasta el momento en que acontecieron los hechos del caso fueron insuficientes para solucionar el problema debido a la carencia de recursos asignados, la falta de coordinación entre las diversas instituciones y de una estrategia integral de protección. Además, la Corte constató que, en su último Informe nacional presentado al Grupo de Trabajo sobre el Examen Periódico Universal del Consejo de Derechos Humanos de la ONU, de 7 de agosto 2012, el Estado reconoció que dentro de los desafíos que enfrentaba estaba el de “[o]perativizar una estrategia interinstitucional articulada para atender la prevención de la violencia contra la mujer en todos los ámbitos”. Para efectos del presente caso, la Corte también estableció de manera particular que el Estado no demostró haber implementado las medidas necesarias a fin de que los funcionarios responsables de recibir denuncias de desaparición tuvieran la capacidad y la sensibilidad para entender la gravedad de las mismas frente al contexto de violencia contra la mujer, así como la voluntad y entrenamiento para actuar de inmediato y de forma eficaz </w:t>
      </w:r>
      <w:r w:rsidRPr="00BB63D0">
        <w:rPr>
          <w:szCs w:val="20"/>
        </w:rPr>
        <w:t>[…]</w:t>
      </w:r>
      <w:r w:rsidRPr="00BB63D0">
        <w:rPr>
          <w:szCs w:val="20"/>
          <w:lang w:val="es-EC"/>
        </w:rPr>
        <w:t xml:space="preserve">. Ahora bien, en su contestación, el Estado mencionó la creación del “sistema de alerta de la Ley Alba-Ke[n]eth”, coordinado por la Procuraduría General de la Nación (PGN) </w:t>
      </w:r>
      <w:r w:rsidRPr="00BB63D0">
        <w:rPr>
          <w:szCs w:val="20"/>
        </w:rPr>
        <w:t>[…]</w:t>
      </w:r>
      <w:r w:rsidRPr="00BB63D0">
        <w:rPr>
          <w:szCs w:val="20"/>
          <w:lang w:val="es-EC"/>
        </w:rPr>
        <w:t xml:space="preserve">, el cual “busca proteger de mejor manera a los niños, niñas y adolescentes contra el secuestro, el tráfico, la venta y la trata […]”. Sin embargo, no indicó si en su ordenamiento interno existe algún sistema análogo que abarque la situación de mujeres adultas reportadas como desaparecidas dentro en el contexto del presente caso. </w:t>
      </w:r>
    </w:p>
    <w:p w14:paraId="08850E1B" w14:textId="77777777" w:rsidR="007269CF" w:rsidRPr="00BB63D0" w:rsidRDefault="007269CF" w:rsidP="00BB63D0">
      <w:pPr>
        <w:rPr>
          <w:szCs w:val="20"/>
          <w:lang w:val="es-EC"/>
        </w:rPr>
      </w:pPr>
      <w:r w:rsidRPr="00BB63D0">
        <w:rPr>
          <w:szCs w:val="20"/>
          <w:lang w:val="es-EC"/>
        </w:rPr>
        <w:t>265.</w:t>
      </w:r>
      <w:r w:rsidRPr="00BB63D0">
        <w:rPr>
          <w:szCs w:val="20"/>
          <w:lang w:val="es-EC"/>
        </w:rPr>
        <w:tab/>
        <w:t xml:space="preserve">Esta Corte ha constatado que el 11 de octubre de 2012 un grupo de diputadas y diputados del Congreso de la República de Guatemala, presentó una “iniciativa de Ley de Búsqueda Inmediata de Mujeres Desaparecidas”. En la exposición de motivos de dicha iniciativa se cita el caso de Claudina Isabel Velásquez Paiz como uno de los ejemplos en los que “la tardanza en realizar acciones de búsqueda inmediata de personas desaparecidas, en especial de mujeres, pudo favorecer la actuación de los victimarios que les cortaron la vida”. Asimismo, se cita el informe de la Procuraduría de los Derechos Humanos de Guatemala en relación al caso de Claudina Velásquez, en el cual se critica la espera de 24 horas para recibir una denuncia por desaparición, ya que se genera un espacio de tiempo en el cual se deja en situación de indefensión a la víctima e impide que se cuente con un registro adecuado de personas desaparecidas para su posterior identificación </w:t>
      </w:r>
      <w:r w:rsidRPr="00BB63D0">
        <w:rPr>
          <w:szCs w:val="20"/>
        </w:rPr>
        <w:t>[…]</w:t>
      </w:r>
      <w:r w:rsidRPr="00BB63D0">
        <w:rPr>
          <w:szCs w:val="20"/>
          <w:lang w:val="es-EC"/>
        </w:rPr>
        <w:t xml:space="preserve">. El 18 de marzo de 2014, la Comisión de Legislación y Puntos Constitucionales del Congreso de la República emitió un dictamen favorable en relación con dicha iniciativa de ley, considerando que “no existe un mecanismo de coordinación que permita dar respuesta adecuada a las desapariciones de mujeres”, “que a pesar de los esfuerzos que se han hecho en materia de seguridad y justicia, los niveles de violencia contra las mujeres en Guatemala es alto y [se han] increment[ado] año con año” y que “los niveles de impunidad en los casos de muerte de mujeres significan más del 90%”. El mencionado anteproyecto no ha sido aprobado por el Congreso de Guatemala. </w:t>
      </w:r>
    </w:p>
    <w:p w14:paraId="737ADAC0" w14:textId="77777777" w:rsidR="007269CF" w:rsidRPr="00BB63D0" w:rsidRDefault="007269CF" w:rsidP="00BB63D0">
      <w:pPr>
        <w:rPr>
          <w:szCs w:val="20"/>
          <w:lang w:val="es-EC"/>
        </w:rPr>
      </w:pPr>
      <w:r w:rsidRPr="00BB63D0">
        <w:rPr>
          <w:szCs w:val="20"/>
          <w:lang w:val="es-EC"/>
        </w:rPr>
        <w:t>266.</w:t>
      </w:r>
      <w:r w:rsidRPr="00BB63D0">
        <w:rPr>
          <w:szCs w:val="20"/>
          <w:lang w:val="es-EC"/>
        </w:rPr>
        <w:tab/>
        <w:t xml:space="preserve">De este modo, teniendo en cuenta que se ha identificado la necesidad de regular la búsqueda de mujeres desaparecidas en Guatemala, la Corte considera pertinente ordenar al Estado que adopte una estrategia, sistema, mecanismo o </w:t>
      </w:r>
      <w:r w:rsidRPr="00BB63D0">
        <w:rPr>
          <w:szCs w:val="20"/>
          <w:lang w:val="es-EC"/>
        </w:rPr>
        <w:lastRenderedPageBreak/>
        <w:t>programa nacional, a través de medidas legislativas o de otro carácter, a efectos de lograr la búsqueda eficaz e inmediata de mujeres desaparecidas. Asimismo, que permita asegurar que en casos de denuncias de esta naturaleza, las autoridades correspondientes las reciban inmediatamente y sin necesidad de ninguna formalidad y, al mismo tiempo, que inicien las acciones que permitan localizar y prevenir la violación de los derechos a la vida e integridad personal de las posibles víctimas. Lo anterior, en un plazo razonable y con la respectiva disposición presupuestaria e institucional.</w:t>
      </w:r>
    </w:p>
    <w:p w14:paraId="4B26F9C0" w14:textId="67BEE2AB" w:rsidR="007269CF" w:rsidRPr="00BB63D0" w:rsidRDefault="007269CF" w:rsidP="00D1740E">
      <w:pPr>
        <w:pStyle w:val="Ttulo2"/>
      </w:pPr>
      <w:bookmarkStart w:id="40" w:name="_Toc89017896"/>
      <w:r w:rsidRPr="00BB63D0">
        <w:t>Obligación de investigar</w:t>
      </w:r>
      <w:bookmarkEnd w:id="40"/>
    </w:p>
    <w:p w14:paraId="36252CB3" w14:textId="77777777" w:rsidR="007269CF" w:rsidRPr="00BB63D0" w:rsidRDefault="007269CF" w:rsidP="00BB63D0">
      <w:pPr>
        <w:rPr>
          <w:b/>
          <w:szCs w:val="20"/>
          <w:lang w:val="es-ES_tradnl"/>
        </w:rPr>
      </w:pPr>
      <w:r w:rsidRPr="00BB63D0">
        <w:rPr>
          <w:b/>
          <w:szCs w:val="20"/>
          <w:lang w:val="es-ES_tradnl"/>
        </w:rPr>
        <w:t xml:space="preserve">Corte IDH. Caso del Penal Miguel Castro </w:t>
      </w:r>
      <w:proofErr w:type="spellStart"/>
      <w:r w:rsidRPr="00BB63D0">
        <w:rPr>
          <w:b/>
          <w:szCs w:val="20"/>
          <w:lang w:val="es-ES_tradnl"/>
        </w:rPr>
        <w:t>Castro</w:t>
      </w:r>
      <w:proofErr w:type="spellEnd"/>
      <w:r w:rsidRPr="00BB63D0">
        <w:rPr>
          <w:b/>
          <w:szCs w:val="20"/>
          <w:lang w:val="es-ES_tradnl"/>
        </w:rPr>
        <w:t xml:space="preserve"> Vs. Perú. Fondo, Reparaciones y Costas. Sentencia de 25 de noviembre de 2006. Serie C No. 160</w:t>
      </w:r>
    </w:p>
    <w:p w14:paraId="4B30A21F" w14:textId="77777777" w:rsidR="007269CF" w:rsidRPr="00BB63D0" w:rsidRDefault="007269CF" w:rsidP="00BB63D0">
      <w:pPr>
        <w:rPr>
          <w:szCs w:val="20"/>
        </w:rPr>
      </w:pPr>
      <w:r w:rsidRPr="00BB63D0">
        <w:rPr>
          <w:szCs w:val="20"/>
        </w:rPr>
        <w:t>436.</w:t>
      </w:r>
      <w:r w:rsidRPr="00BB63D0">
        <w:rPr>
          <w:szCs w:val="20"/>
        </w:rPr>
        <w:tab/>
        <w:t>La Corte ha establecido en esta Sentencia que los procedimientos internos abiertos en el presente caso no han constituido recursos efectivos para garantizar un verdadero acceso a la justicia por parte de las víctimas, dentro de un plazo razonable, que abarque el esclarecimiento de los hechos, la investigación y sanción de los responsables y la reparación de las violaciones a la vida e integridad personal. Por ello, el Tribunal declaró al Estado responsable de la violación de los artículos 8.1 y 25 de la Convención, en relación con el artículo 1.1 de la misma, en conexión con los artículos 7.b de Convención Interamericana para Prevenir, Sancionar y Erradicar la Violencia contra la Mujer, y 1, 6 y 8 de la Convención Interamericana para Prevenir y Sancionar la Tortura.</w:t>
      </w:r>
    </w:p>
    <w:p w14:paraId="23C869F6" w14:textId="77777777" w:rsidR="007269CF" w:rsidRPr="00BB63D0" w:rsidRDefault="007269CF" w:rsidP="00BB63D0">
      <w:pPr>
        <w:rPr>
          <w:szCs w:val="20"/>
        </w:rPr>
      </w:pPr>
      <w:r w:rsidRPr="00BB63D0">
        <w:rPr>
          <w:szCs w:val="20"/>
        </w:rPr>
        <w:t>437.</w:t>
      </w:r>
      <w:r w:rsidRPr="00BB63D0">
        <w:rPr>
          <w:szCs w:val="20"/>
        </w:rPr>
        <w:tab/>
        <w:t xml:space="preserve">La Corte ha valorado como positivo que el Estado actualmente se encuentre desarrollando procesos penales en la jurisdicción ordinaria. Sin embargo, el Tribunal declaró como violatorio del derecho de acceso a la justicia que dichos procesos no abarquen la totalidad de los hechos violatorios de derechos humanos analizados en la presente Sentencia. Tanto las denuncias penales formuladas por la Fiscalía como los autos de apertura de instrucción de los procesos penales dictados por el Segundo Juzgado Penal </w:t>
      </w:r>
      <w:proofErr w:type="spellStart"/>
      <w:r w:rsidRPr="00BB63D0">
        <w:rPr>
          <w:szCs w:val="20"/>
        </w:rPr>
        <w:t>Supraprovincial</w:t>
      </w:r>
      <w:proofErr w:type="spellEnd"/>
      <w:r w:rsidRPr="00BB63D0">
        <w:rPr>
          <w:szCs w:val="20"/>
        </w:rPr>
        <w:t xml:space="preserve"> se refieren exclusivamente a delitos de homicidio.</w:t>
      </w:r>
    </w:p>
    <w:p w14:paraId="5A95CF04" w14:textId="77777777" w:rsidR="007269CF" w:rsidRPr="00BB63D0" w:rsidRDefault="007269CF" w:rsidP="00BB63D0">
      <w:pPr>
        <w:rPr>
          <w:szCs w:val="20"/>
        </w:rPr>
      </w:pPr>
      <w:r w:rsidRPr="00BB63D0">
        <w:rPr>
          <w:b/>
          <w:szCs w:val="20"/>
        </w:rPr>
        <w:t>Corte IDH. Caso González y otras (“Campo Algodonero”) Vs. México. Excepción Preliminar, Fondo, Reparaciones y Costas. Sentencia de 16 de noviembre de 2009. Serie C No. 205</w:t>
      </w:r>
    </w:p>
    <w:p w14:paraId="4033C5B0" w14:textId="77777777" w:rsidR="007269CF" w:rsidRPr="00BB63D0" w:rsidRDefault="007269CF" w:rsidP="00BB63D0">
      <w:pPr>
        <w:rPr>
          <w:szCs w:val="20"/>
          <w:lang w:val="es-EC"/>
        </w:rPr>
      </w:pPr>
      <w:r w:rsidRPr="00BB63D0">
        <w:rPr>
          <w:szCs w:val="20"/>
          <w:lang w:val="es-EC"/>
        </w:rPr>
        <w:t>453.</w:t>
      </w:r>
      <w:r w:rsidRPr="00BB63D0">
        <w:rPr>
          <w:szCs w:val="20"/>
          <w:lang w:val="es-EC"/>
        </w:rPr>
        <w:tab/>
        <w:t xml:space="preserve">La Corte aceptó el reconocimiento de responsabilidad del Estado por las irregularidades cometidas en la primera etapa de las investigaciones, pero también concluyó que muchas de ellas no se subsanaron en la segunda etapa </w:t>
      </w:r>
      <w:r w:rsidRPr="00BB63D0">
        <w:rPr>
          <w:szCs w:val="20"/>
        </w:rPr>
        <w:t>[…]</w:t>
      </w:r>
      <w:r w:rsidRPr="00BB63D0">
        <w:rPr>
          <w:szCs w:val="20"/>
          <w:lang w:val="es-EC"/>
        </w:rPr>
        <w:t>. El Tribunal concluyó que en el presente caso existía impunidad y que esa impunidad es causa y a la vez consecuencia de la serie de homicidios de mujeres por razones de género que ha sido acreditada en el presente caso.</w:t>
      </w:r>
    </w:p>
    <w:p w14:paraId="1D33C6BC" w14:textId="77777777" w:rsidR="007269CF" w:rsidRPr="00BB63D0" w:rsidRDefault="007269CF" w:rsidP="00BB63D0">
      <w:pPr>
        <w:rPr>
          <w:szCs w:val="20"/>
          <w:lang w:val="es-EC"/>
        </w:rPr>
      </w:pPr>
      <w:r w:rsidRPr="00BB63D0">
        <w:rPr>
          <w:szCs w:val="20"/>
          <w:lang w:val="es-EC"/>
        </w:rPr>
        <w:t>454.</w:t>
      </w:r>
      <w:r w:rsidRPr="00BB63D0">
        <w:rPr>
          <w:szCs w:val="20"/>
          <w:lang w:val="es-EC"/>
        </w:rPr>
        <w:tab/>
        <w:t>La Corte considera que el Estado está obligado a combatir dicha situación de impunidad por todos los medios disponibles, ya que ésta propicia la repetición crónica de las violaciones de derechos humanos. La ausencia de una investigación completa y efectiva sobre los hechos constituye una fuente de sufrimiento y angustia adicional para las víctimas, quienes tienen el derecho a conocer la verdad de lo ocurrido. Dicho derecho a la verdad exige la determinación de la más completa verdad histórica posible, lo cual incluye la determinación de los patrones de actuación conjunta y de todas las personas que de diversas formas participaron en dichas violaciones.</w:t>
      </w:r>
    </w:p>
    <w:p w14:paraId="665BCCF2" w14:textId="77777777" w:rsidR="007269CF" w:rsidRPr="00BB63D0" w:rsidRDefault="007269CF" w:rsidP="00BB63D0">
      <w:pPr>
        <w:rPr>
          <w:szCs w:val="20"/>
          <w:lang w:val="es-EC"/>
        </w:rPr>
      </w:pPr>
      <w:r w:rsidRPr="00BB63D0">
        <w:rPr>
          <w:szCs w:val="20"/>
          <w:lang w:val="es-EC"/>
        </w:rPr>
        <w:t>455.</w:t>
      </w:r>
      <w:r w:rsidRPr="00BB63D0">
        <w:rPr>
          <w:szCs w:val="20"/>
          <w:lang w:val="es-EC"/>
        </w:rPr>
        <w:tab/>
        <w:t xml:space="preserve">Por ello, la Corte dispone que el Estado debe conducir eficazmente el proceso penal en curso y, de ser el caso, los que se llegasen a abrir, para identificar, procesar y sancionar a los responsables materiales e intelectuales de la desaparición, </w:t>
      </w:r>
      <w:r w:rsidRPr="00BB63D0">
        <w:rPr>
          <w:szCs w:val="20"/>
          <w:lang w:val="es-EC"/>
        </w:rPr>
        <w:lastRenderedPageBreak/>
        <w:t>maltratos y privación de la vida de las jóvenes González, Herrera y Ramos, conforme a las siguientes directrices:</w:t>
      </w:r>
    </w:p>
    <w:p w14:paraId="6AD25806" w14:textId="77777777" w:rsidR="007269CF" w:rsidRPr="00BB63D0" w:rsidRDefault="007269CF" w:rsidP="00BB63D0">
      <w:pPr>
        <w:ind w:left="708"/>
        <w:rPr>
          <w:szCs w:val="20"/>
          <w:lang w:val="es-EC"/>
        </w:rPr>
      </w:pPr>
      <w:r w:rsidRPr="00BB63D0">
        <w:rPr>
          <w:szCs w:val="20"/>
          <w:lang w:val="es-EC"/>
        </w:rPr>
        <w:t>i)</w:t>
      </w:r>
      <w:r w:rsidRPr="00BB63D0">
        <w:rPr>
          <w:szCs w:val="20"/>
          <w:lang w:val="es-EC"/>
        </w:rPr>
        <w:tab/>
        <w:t>se deberá remover todos los obstáculos de jure o de facto que impidan la debida investigación de los hechos y el desarrollo de los respectivos procesos judiciales, y usar todos los medios disponibles para hacer que las investigaciones y procesos judiciales sean expeditos a fin de evitar la repetición de hechos iguales o análogos a los del presente caso;</w:t>
      </w:r>
    </w:p>
    <w:p w14:paraId="2287BE8A" w14:textId="77777777" w:rsidR="007269CF" w:rsidRPr="00BB63D0" w:rsidRDefault="007269CF" w:rsidP="00BB63D0">
      <w:pPr>
        <w:ind w:left="708"/>
        <w:rPr>
          <w:szCs w:val="20"/>
          <w:lang w:val="es-EC"/>
        </w:rPr>
      </w:pPr>
      <w:r w:rsidRPr="00BB63D0">
        <w:rPr>
          <w:szCs w:val="20"/>
          <w:lang w:val="es-EC"/>
        </w:rPr>
        <w:t>ii)</w:t>
      </w:r>
      <w:r w:rsidRPr="00BB63D0">
        <w:rPr>
          <w:szCs w:val="20"/>
          <w:lang w:val="es-EC"/>
        </w:rPr>
        <w:tab/>
        <w:t>la investigación deberá incluir una perspectiva de género; emprender líneas de investigación específicas respecto a violencia sexual, para lo cuál se deben involucrar las líneas de investigación sobre los patrones respectivos en la zona; realizarse conforme a protocolos y manuales que cumplan con los lineamientos de esta Sentencia; proveer regularmente de información a los familiares de las víctimas sobre los avances en la investigación y darles pleno acceso a los expedientes, y realizarse por funcionarios altamente capacitados en casos similares y en atención a víctimas de discriminación y violencia por razón de género;</w:t>
      </w:r>
    </w:p>
    <w:p w14:paraId="4CA57E63" w14:textId="77777777" w:rsidR="007269CF" w:rsidRPr="00BB63D0" w:rsidRDefault="007269CF" w:rsidP="00BB63D0">
      <w:pPr>
        <w:ind w:left="708"/>
        <w:rPr>
          <w:szCs w:val="20"/>
          <w:lang w:val="es-EC"/>
        </w:rPr>
      </w:pPr>
      <w:r w:rsidRPr="00BB63D0">
        <w:rPr>
          <w:szCs w:val="20"/>
          <w:lang w:val="es-EC"/>
        </w:rPr>
        <w:t>iii)</w:t>
      </w:r>
      <w:r w:rsidRPr="00BB63D0">
        <w:rPr>
          <w:szCs w:val="20"/>
          <w:lang w:val="es-EC"/>
        </w:rPr>
        <w:tab/>
        <w:t>deberá asegurarse que los distintos órganos que participen en el procedimiento de investigación y los procesos judiciales cuenten con los recursos humanos y materiales necesarios para desempeñar las tareas de manera adecuada, independiente e imparcial, y que las personas que participen en la investigación cuenten con las debidas garantías de seguridad, y</w:t>
      </w:r>
    </w:p>
    <w:p w14:paraId="03EE7608" w14:textId="77777777" w:rsidR="007269CF" w:rsidRPr="00BB63D0" w:rsidRDefault="007269CF" w:rsidP="00BB63D0">
      <w:pPr>
        <w:ind w:left="708"/>
        <w:rPr>
          <w:szCs w:val="20"/>
          <w:lang w:val="es-EC"/>
        </w:rPr>
      </w:pPr>
      <w:r w:rsidRPr="00BB63D0">
        <w:rPr>
          <w:szCs w:val="20"/>
          <w:lang w:val="es-EC"/>
        </w:rPr>
        <w:t>iv)</w:t>
      </w:r>
      <w:r w:rsidRPr="00BB63D0">
        <w:rPr>
          <w:szCs w:val="20"/>
          <w:lang w:val="es-EC"/>
        </w:rPr>
        <w:tab/>
        <w:t>los resultados de los procesos deberán ser públicamente divulgados para que la sociedad mexicana conozca los hechos objeto del presente caso.</w:t>
      </w:r>
    </w:p>
    <w:p w14:paraId="6E32D11E" w14:textId="77777777" w:rsidR="007269CF" w:rsidRPr="00BB63D0" w:rsidRDefault="007269CF" w:rsidP="00BB63D0">
      <w:pPr>
        <w:rPr>
          <w:szCs w:val="20"/>
          <w:lang w:val="es-EC"/>
        </w:rPr>
      </w:pPr>
      <w:r w:rsidRPr="00BB63D0">
        <w:rPr>
          <w:szCs w:val="20"/>
          <w:lang w:val="es-EC"/>
        </w:rPr>
        <w:t>459.</w:t>
      </w:r>
      <w:r w:rsidRPr="00BB63D0">
        <w:rPr>
          <w:szCs w:val="20"/>
          <w:lang w:val="es-EC"/>
        </w:rPr>
        <w:tab/>
        <w:t xml:space="preserve">En el presente caso la Corte constató que no había sido sancionada ninguna de las personas que incurrió en las graves irregularidades ocurridas en la primera etapa de la investigación </w:t>
      </w:r>
      <w:r w:rsidRPr="00BB63D0">
        <w:rPr>
          <w:szCs w:val="20"/>
        </w:rPr>
        <w:t>[…]</w:t>
      </w:r>
      <w:r w:rsidRPr="00BB63D0">
        <w:rPr>
          <w:szCs w:val="20"/>
          <w:lang w:val="es-EC"/>
        </w:rPr>
        <w:t>.</w:t>
      </w:r>
    </w:p>
    <w:p w14:paraId="2E8D5F4A" w14:textId="77777777" w:rsidR="007269CF" w:rsidRPr="00BB63D0" w:rsidRDefault="007269CF" w:rsidP="00BB63D0">
      <w:pPr>
        <w:rPr>
          <w:szCs w:val="20"/>
          <w:lang w:val="es-EC"/>
        </w:rPr>
      </w:pPr>
      <w:r w:rsidRPr="00BB63D0">
        <w:rPr>
          <w:szCs w:val="20"/>
          <w:lang w:val="es-EC"/>
        </w:rPr>
        <w:t>460.</w:t>
      </w:r>
      <w:r w:rsidRPr="00BB63D0">
        <w:rPr>
          <w:szCs w:val="20"/>
          <w:lang w:val="es-EC"/>
        </w:rPr>
        <w:tab/>
        <w:t>El Tribunal considera que como forma de combatir la impunidad, el Estado deberá, dentro de un plazo razonable, investigar, por intermedio de las instituciones públicas competentes, a los funcionarios acusados de irregularidades y, luego de un debido proceso, aplicará las sanciones administrativas, disciplinarias o penales correspondientes a quienes fueran encontrados responsables.</w:t>
      </w:r>
    </w:p>
    <w:p w14:paraId="4C0AE3FC" w14:textId="77777777" w:rsidR="007269CF" w:rsidRPr="00BB63D0" w:rsidRDefault="007269CF" w:rsidP="00BB63D0">
      <w:pPr>
        <w:rPr>
          <w:b/>
          <w:szCs w:val="20"/>
          <w:lang w:val="es-EC"/>
        </w:rPr>
      </w:pPr>
      <w:r w:rsidRPr="00BB63D0">
        <w:rPr>
          <w:b/>
          <w:szCs w:val="20"/>
          <w:lang w:val="es-EC"/>
        </w:rPr>
        <w:t>Corte IDH. Caso Espinoza Gonzáles Vs. Perú. Excepciones Preliminares, Fondo, Reparaciones y Costas. Sentencia de 20 de noviembre de 2014. Serie C No. 289</w:t>
      </w:r>
    </w:p>
    <w:p w14:paraId="58D9156F" w14:textId="77777777" w:rsidR="007269CF" w:rsidRPr="00BB63D0" w:rsidRDefault="007269CF" w:rsidP="00BB63D0">
      <w:pPr>
        <w:rPr>
          <w:szCs w:val="20"/>
          <w:lang w:val="es-EC"/>
        </w:rPr>
      </w:pPr>
      <w:r w:rsidRPr="00BB63D0">
        <w:rPr>
          <w:szCs w:val="20"/>
          <w:lang w:val="es-EC"/>
        </w:rPr>
        <w:t>307.</w:t>
      </w:r>
      <w:r w:rsidRPr="00BB63D0">
        <w:rPr>
          <w:szCs w:val="20"/>
          <w:lang w:val="es-EC"/>
        </w:rPr>
        <w:tab/>
        <w:t xml:space="preserve">La Corte declaró en la presente Sentencia, inter alia, que el Estado incumplió, durante los años 1993 a 2012, con su deber de investigar los actos de tortura sufridos por Gladys Espinoza, la cual incluyó la violación sexual y otras formas de violencia sexual. Ello debido al retardo injustificado de aproximadamente 19 años con relación a los hechos ocurridos en el momento de la detención, así como en las instalaciones de la DIVISE y DINCOTE en 1993, y de aproximadamente 13 años con relación a los hechos ocurridos en el Penal Yanamayo en 1999. Además, la Corte determinó que la valoración estereotipada de la prueba por parte de la Sala Penal de la Corte Suprema de Justicia que derivó en que declarara que la señora Espinoza no fue víctima de tortura y, por tanto, en que no se ordenara la investigación de los hechos denunciados, constituyó discriminación en el acceso a la justicia por razones de género </w:t>
      </w:r>
      <w:r w:rsidRPr="00BB63D0">
        <w:rPr>
          <w:szCs w:val="20"/>
        </w:rPr>
        <w:t>[…].</w:t>
      </w:r>
    </w:p>
    <w:p w14:paraId="1B18354B" w14:textId="77777777" w:rsidR="007269CF" w:rsidRPr="00BB63D0" w:rsidRDefault="007269CF" w:rsidP="00BB63D0">
      <w:pPr>
        <w:rPr>
          <w:szCs w:val="20"/>
          <w:lang w:val="es-EC"/>
        </w:rPr>
      </w:pPr>
      <w:r w:rsidRPr="00BB63D0">
        <w:rPr>
          <w:szCs w:val="20"/>
          <w:lang w:val="es-EC"/>
        </w:rPr>
        <w:t>308.</w:t>
      </w:r>
      <w:r w:rsidRPr="00BB63D0">
        <w:rPr>
          <w:szCs w:val="20"/>
          <w:lang w:val="es-EC"/>
        </w:rPr>
        <w:tab/>
        <w:t xml:space="preserve">Por ello, la Corte dispone que el Estado debe, en un plazo razonable, abrir, impulsar, dirigir, continuar y concluir, según corresponda y con la mayor diligencia, </w:t>
      </w:r>
      <w:r w:rsidRPr="00BB63D0">
        <w:rPr>
          <w:szCs w:val="20"/>
          <w:lang w:val="es-EC"/>
        </w:rPr>
        <w:lastRenderedPageBreak/>
        <w:t xml:space="preserve">las investigaciones y procesos penales pertinentes, a fin de identificar, procesar y, en su caso, sancionar a los responsables de las graves afectaciones a la integridad personal ocasionadas a Gladys Espinoza. La investigación y proceso penal deben ser, según corresponda, por los actos de tortura, violencia sexual y violación sexual de los que fue víctima Gladys Carol Espinoza Gonzáles en los primeros momentos de su detención el 17 de abril de 1993, durante el tiempo que permaneció en las instalaciones de la DIVISE y DINCOTE entre abril y mayo de 1993, así como durante los hechos ocurridos el 5 de agosto de 1999 en el Establecimiento Penitenciario de Máxima Seguridad de Yanamayo Puno, </w:t>
      </w:r>
      <w:r w:rsidRPr="00144170">
        <w:rPr>
          <w:szCs w:val="20"/>
          <w:lang w:val="es-EC"/>
        </w:rPr>
        <w:t xml:space="preserve">considerando los criterios señalados sobre investigaciones en este tipo de casos </w:t>
      </w:r>
      <w:r w:rsidRPr="00144170">
        <w:rPr>
          <w:szCs w:val="20"/>
        </w:rPr>
        <w:t>[…]</w:t>
      </w:r>
      <w:r w:rsidRPr="00144170">
        <w:rPr>
          <w:szCs w:val="20"/>
          <w:lang w:val="es-EC"/>
        </w:rPr>
        <w:t>. En este sentido, el Estado debe remover todos los obstáculos de facto y de jure que mantienen la impunidad total en este caso. La debida diligencia en la investigación implica que</w:t>
      </w:r>
      <w:r w:rsidRPr="00BB63D0">
        <w:rPr>
          <w:szCs w:val="20"/>
          <w:lang w:val="es-EC"/>
        </w:rPr>
        <w:t xml:space="preserve"> todas las autoridades estatales correspondientes están obligadas a colaborar en la recolección de la prueba, por lo que deberán brindar al juez, fiscal u otra autoridad judicial toda la información que requiera y abstenerse de actos que impliquen la obstrucción para la marcha del proceso investigativo.</w:t>
      </w:r>
    </w:p>
    <w:p w14:paraId="0AC13C4A" w14:textId="77777777" w:rsidR="007269CF" w:rsidRPr="00BB63D0" w:rsidRDefault="007269CF" w:rsidP="00BB63D0">
      <w:pPr>
        <w:rPr>
          <w:szCs w:val="20"/>
          <w:lang w:val="es-EC"/>
        </w:rPr>
      </w:pPr>
      <w:r w:rsidRPr="00BB63D0">
        <w:rPr>
          <w:szCs w:val="20"/>
          <w:lang w:val="es-EC"/>
        </w:rPr>
        <w:t>309.</w:t>
      </w:r>
      <w:r w:rsidRPr="00BB63D0">
        <w:rPr>
          <w:szCs w:val="20"/>
          <w:lang w:val="es-EC"/>
        </w:rPr>
        <w:tab/>
        <w:t>Tal como se ha dispuesto en otras oportunidades relacionadas con este tipo de casos, tanto la investigación como el proceso penal consiguiente deberán incluir una perspectiva de género, emprender líneas de investigación específicas respecto de la violencia sexual, a fin de evitar omisiones en la recolección de prueba, así como posibilitar a la víctima información sobre los avances en la investigación y proceso penal, de conformidad con la legislación interna, y en su caso, la participación adecuada durante la investigación y el juzgamiento en todas las etapas. Asimismo, la investigación debe realizarse por funcionarios capacitados en casos similares y en atención a víctimas de discriminación y violencia por razón de género. Además, deberá asegurarse que las personas encargadas de la investigación y del proceso penal, así como, de ser el caso, otras personas involucradas, como testigos, peritos, o familiares de la víctima, cuenten con las debidas garantías de seguridad. De igual modo, por tratarse de una violación grave de derechos humanos, ya que los actos de tortura fueron una práctica generalizada en el contexto del conflicto en el Perú, el Estado debe abstenerse de recurrir a figuras como la amnistía en beneficio de los autores, así como ninguna otra disposición análoga, la prescripción, irretroactividad de la ley penal, cosa juzgada, ne bis in idem o cualquier eximente similar de responsabilidad, para excusarse de esta obligación.</w:t>
      </w:r>
    </w:p>
    <w:p w14:paraId="3232A5A5" w14:textId="77777777" w:rsidR="007269CF" w:rsidRPr="00BB63D0" w:rsidRDefault="007269CF" w:rsidP="00144170">
      <w:pPr>
        <w:pStyle w:val="Caso"/>
        <w:rPr>
          <w:lang w:val="es-EC"/>
        </w:rPr>
      </w:pPr>
      <w:r w:rsidRPr="00BB63D0">
        <w:rPr>
          <w:lang w:val="es-EC"/>
        </w:rPr>
        <w:t>Corte IDH. Caso López Soto y otros Vs. Venezuela. Fondo, Reparaciones y Costas. Sentencia de 26 de septiembre de 2018. Serie C No. 362</w:t>
      </w:r>
    </w:p>
    <w:p w14:paraId="5C097EB6" w14:textId="77777777" w:rsidR="007269CF" w:rsidRPr="00BB63D0" w:rsidRDefault="007269CF" w:rsidP="00BB63D0">
      <w:pPr>
        <w:rPr>
          <w:szCs w:val="20"/>
          <w:lang w:val="es-EC"/>
        </w:rPr>
      </w:pPr>
      <w:r w:rsidRPr="00BB63D0">
        <w:rPr>
          <w:szCs w:val="20"/>
          <w:lang w:val="es-EC"/>
        </w:rPr>
        <w:t>352.</w:t>
      </w:r>
      <w:r w:rsidRPr="00BB63D0">
        <w:rPr>
          <w:szCs w:val="20"/>
          <w:lang w:val="es-EC"/>
        </w:rPr>
        <w:tab/>
        <w:t>En consecuencia, en el entendimiento de que el acceso a la información vinculada a los índices de casos de violencia contra la mujer resulta necesario para dimensionar la magnitud real de este fenómeno y, en virtud de ello, diseñar las estrategias para prevenir y erradicar este flagelo, coadyuvando así a evitar la reiteración de hechos como los ocurridos en el presente caso, este Tribunal ordena al Estado que implemente de forma inmediata, a través del organismo estatal correspondiente, un sistema de recopilación de datos y cifras vinculadas a los casos de violencia contra las mujeres en todo el territorio nacional. Dicha base de datos deberá incluir estadísticas precisas y certeras, con datos desglosados por tipo de violencia, territorio donde tienen lugar los hechos, cantidad de casos denunciados, y cuántos de estos fueron efectivamente judicializados, debiéndose indicar el número de acusaciones, condenas y absoluciones. Esta información deberá ser difundida anualmente por el Estado a través del informe correspondiente, garantizando su acceso a toda la población en general. A tal efecto, el Estado deberá presentar un informe anual durante tres años, en el que indique las acciones que se han realizado para tal fin.</w:t>
      </w:r>
    </w:p>
    <w:p w14:paraId="734EE8CD" w14:textId="39730B4E" w:rsidR="007269CF" w:rsidRPr="00BB63D0" w:rsidRDefault="007269CF" w:rsidP="00D1740E">
      <w:pPr>
        <w:pStyle w:val="Ttulo2"/>
      </w:pPr>
      <w:bookmarkStart w:id="41" w:name="_Toc89017897"/>
      <w:r w:rsidRPr="00BB63D0">
        <w:t>Creación de mecanismos de reclamo: acceso a la justicia</w:t>
      </w:r>
      <w:bookmarkEnd w:id="41"/>
    </w:p>
    <w:p w14:paraId="57CBB315" w14:textId="77777777" w:rsidR="007269CF" w:rsidRPr="00BB63D0" w:rsidRDefault="007269CF" w:rsidP="00BB63D0">
      <w:pPr>
        <w:rPr>
          <w:b/>
          <w:szCs w:val="20"/>
        </w:rPr>
      </w:pPr>
      <w:r w:rsidRPr="00BB63D0">
        <w:rPr>
          <w:b/>
          <w:szCs w:val="20"/>
        </w:rPr>
        <w:lastRenderedPageBreak/>
        <w:t>Corte IDH. Caso I.V. Vs. Bolivia. Excepciones Preliminares, Fondo, Reparaciones y Costas. Sentencia de 30 de noviembre de 2016. Serie C No. 329</w:t>
      </w:r>
    </w:p>
    <w:p w14:paraId="3CA20917" w14:textId="77777777" w:rsidR="007269CF" w:rsidRPr="00BB63D0" w:rsidRDefault="007269CF" w:rsidP="00BB63D0">
      <w:pPr>
        <w:rPr>
          <w:szCs w:val="20"/>
        </w:rPr>
      </w:pPr>
      <w:r w:rsidRPr="00BB63D0">
        <w:rPr>
          <w:szCs w:val="20"/>
        </w:rPr>
        <w:t>311.</w:t>
      </w:r>
      <w:r w:rsidRPr="00BB63D0">
        <w:rPr>
          <w:szCs w:val="20"/>
        </w:rPr>
        <w:tab/>
        <w:t>En suma, la Corte considera que existe un reconocimiento cada vez mayor de que las prácticas de esterilización no consentida, involuntaria, forzada o coercitiva no pueden quedar impunes, ya que lo anterior conduciría a perpetuar desde lo institucional estereotipos discriminatorios en el ámbito de la salud reproductiva que se basan en la creencia de que las mujeres no son personas competentes para la toma de decisiones sobre su cuerpo y salud. Ello no implica necesariamente que la vía penal sea exigible en todos los casos, pero que el Estado debe disponer de mecanismos accesibles para presentar reclamos, que sean adecuados y eficaces para el establecimiento de responsabilidades individuales, ya sea en el ámbito disciplinario, administrativo o judicial, según corresponda, a fin de reparar a la víctima de forma adecuada.</w:t>
      </w:r>
    </w:p>
    <w:p w14:paraId="2F4396BE" w14:textId="77777777" w:rsidR="007269CF" w:rsidRPr="00BB63D0" w:rsidRDefault="007269CF" w:rsidP="00BB63D0">
      <w:pPr>
        <w:rPr>
          <w:szCs w:val="20"/>
        </w:rPr>
      </w:pPr>
      <w:r w:rsidRPr="00BB63D0">
        <w:rPr>
          <w:szCs w:val="20"/>
        </w:rPr>
        <w:t>317.</w:t>
      </w:r>
      <w:r w:rsidRPr="00BB63D0">
        <w:rPr>
          <w:szCs w:val="20"/>
        </w:rPr>
        <w:tab/>
        <w:t>La Corte reitera que la ineficacia judicial frente a casos individuales de violencia contra las mujeres propicia un ambiente de impunidad que facilita y promueve la repetición de los hechos de violencia en general y envía un mensaje según el cual la violencia contra las mujeres puede ser tolerada y aceptada, lo que favorece su perpetuación y la aceptación social del fenómeno, el sentimiento y la sensación de inseguridad de las mujeres, así como una persistente desconfianza de estas en el sistema de administración de justicia. Dicha ineficacia o indiferencia constituye en sí misma una discriminación de la mujer en el acceso a la justicia.</w:t>
      </w:r>
    </w:p>
    <w:p w14:paraId="4EFAB344" w14:textId="77777777" w:rsidR="007269CF" w:rsidRPr="00BB63D0" w:rsidRDefault="007269CF" w:rsidP="00144170">
      <w:pPr>
        <w:pStyle w:val="Caso"/>
      </w:pPr>
      <w:r w:rsidRPr="00BB63D0">
        <w:t>Corte IDH. Caso López Soto y otros Vs. Venezuela. Fondo, Reparaciones y Costas. Sentencia de 26 de septiembre de 2018. Serie C No. 362</w:t>
      </w:r>
    </w:p>
    <w:p w14:paraId="02BC130B" w14:textId="77777777" w:rsidR="007269CF" w:rsidRPr="00BB63D0" w:rsidRDefault="007269CF" w:rsidP="00BB63D0">
      <w:pPr>
        <w:rPr>
          <w:szCs w:val="20"/>
        </w:rPr>
      </w:pPr>
      <w:r w:rsidRPr="00BB63D0">
        <w:rPr>
          <w:szCs w:val="20"/>
        </w:rPr>
        <w:t>327.</w:t>
      </w:r>
      <w:r w:rsidRPr="00BB63D0">
        <w:rPr>
          <w:szCs w:val="20"/>
        </w:rPr>
        <w:tab/>
        <w:t>Por lo expuesto, teniendo en cuenta lo normado por la Ley Orgánica sobre el Derecho de las Mujeres a una Vida Libre de Violencia, la Corte considera pertinente ordenar al Estado que, en un plazo razonable, ponga en funcionamiento adecuadamente los Tribunales de Violencia contra la Mujer en cada capital de estado.</w:t>
      </w:r>
    </w:p>
    <w:p w14:paraId="04335096" w14:textId="11E6A85C" w:rsidR="007269CF" w:rsidRPr="00BB63D0" w:rsidRDefault="007269CF" w:rsidP="00D1740E">
      <w:pPr>
        <w:pStyle w:val="Ttulo2"/>
      </w:pPr>
      <w:bookmarkStart w:id="42" w:name="_Toc89017898"/>
      <w:r w:rsidRPr="00BB63D0">
        <w:t>Implementación de programas de formación y capacitación en derechos humanos con énfasis en el principio de igualdad</w:t>
      </w:r>
      <w:bookmarkEnd w:id="42"/>
    </w:p>
    <w:p w14:paraId="0D15865E" w14:textId="17BAC50E" w:rsidR="007269CF" w:rsidRPr="00BB63D0" w:rsidRDefault="007269CF" w:rsidP="00BB63D0">
      <w:pPr>
        <w:rPr>
          <w:b/>
          <w:szCs w:val="20"/>
        </w:rPr>
      </w:pPr>
      <w:r w:rsidRPr="00BB63D0">
        <w:rPr>
          <w:b/>
          <w:szCs w:val="20"/>
        </w:rPr>
        <w:t xml:space="preserve">Corte IDH. Caso de las niñas </w:t>
      </w:r>
      <w:proofErr w:type="spellStart"/>
      <w:r w:rsidRPr="00BB63D0">
        <w:rPr>
          <w:b/>
          <w:szCs w:val="20"/>
        </w:rPr>
        <w:t>Yean</w:t>
      </w:r>
      <w:proofErr w:type="spellEnd"/>
      <w:r w:rsidRPr="00BB63D0">
        <w:rPr>
          <w:b/>
          <w:szCs w:val="20"/>
        </w:rPr>
        <w:t xml:space="preserve"> y </w:t>
      </w:r>
      <w:proofErr w:type="spellStart"/>
      <w:r w:rsidRPr="00BB63D0">
        <w:rPr>
          <w:b/>
          <w:szCs w:val="20"/>
        </w:rPr>
        <w:t>Bosico</w:t>
      </w:r>
      <w:proofErr w:type="spellEnd"/>
      <w:r w:rsidRPr="00BB63D0">
        <w:rPr>
          <w:b/>
          <w:szCs w:val="20"/>
        </w:rPr>
        <w:t xml:space="preserve"> Vs. República Dominicana. Sentencia de 8 de septiembre de 2005. Serie C No. 130</w:t>
      </w:r>
      <w:r w:rsidRPr="00D03D1F">
        <w:rPr>
          <w:rStyle w:val="Refdenotaalpie"/>
          <w:b/>
          <w:bCs/>
        </w:rPr>
        <w:footnoteReference w:id="51"/>
      </w:r>
    </w:p>
    <w:p w14:paraId="0DD07DD9" w14:textId="77777777" w:rsidR="007269CF" w:rsidRPr="00BB63D0" w:rsidRDefault="007269CF" w:rsidP="00BB63D0">
      <w:pPr>
        <w:rPr>
          <w:szCs w:val="20"/>
        </w:rPr>
      </w:pPr>
      <w:r w:rsidRPr="00BB63D0">
        <w:rPr>
          <w:szCs w:val="20"/>
        </w:rPr>
        <w:t>242.</w:t>
      </w:r>
      <w:r w:rsidRPr="00BB63D0">
        <w:rPr>
          <w:szCs w:val="20"/>
        </w:rPr>
        <w:tab/>
        <w:t>La Corte también considera necesario que el Estado implemente, en un plazo razonable, un programa para la formación y capacitación en derechos humanos, con especial énfasis al principio de igualdad ante la ley y no discriminación, de los funcionarios estatales encargados de la inscripción de nacimiento, en el cual se les instruya sobre la especial situación de los menores de edad y se impulse la cultura de tolerancia y no discriminación.</w:t>
      </w:r>
    </w:p>
    <w:p w14:paraId="12789C11" w14:textId="77777777" w:rsidR="007269CF" w:rsidRPr="00BB63D0" w:rsidRDefault="007269CF" w:rsidP="00BB63D0">
      <w:pPr>
        <w:rPr>
          <w:szCs w:val="20"/>
        </w:rPr>
      </w:pPr>
      <w:r w:rsidRPr="00BB63D0">
        <w:rPr>
          <w:b/>
          <w:szCs w:val="20"/>
        </w:rPr>
        <w:lastRenderedPageBreak/>
        <w:t>Corte IDH. Caso González y otras (“Campo Algodonero”) Vs. México. Excepción Preliminar, Fondo, Reparaciones y Costas. Sentencia de 16 de noviembre de 2009. Serie C No. 205</w:t>
      </w:r>
    </w:p>
    <w:p w14:paraId="3807EE6D" w14:textId="77777777" w:rsidR="007269CF" w:rsidRPr="00BB63D0" w:rsidRDefault="007269CF" w:rsidP="00BB63D0">
      <w:pPr>
        <w:rPr>
          <w:szCs w:val="20"/>
          <w:lang w:val="es-EC"/>
        </w:rPr>
      </w:pPr>
      <w:r w:rsidRPr="00BB63D0">
        <w:rPr>
          <w:szCs w:val="20"/>
          <w:lang w:val="es-EC"/>
        </w:rPr>
        <w:t>541.</w:t>
      </w:r>
      <w:r w:rsidRPr="00BB63D0">
        <w:rPr>
          <w:szCs w:val="20"/>
          <w:lang w:val="es-EC"/>
        </w:rPr>
        <w:tab/>
        <w:t>En consecuencia, sin perjuicio de la existencia de programas y capacitaciones dirigidas a funcionarios públicos encargados de la impartición de justicia en Ciudad Juárez, así como de cursos en materia de derechos humanos y género, el Tribunal ordena que el Estado continúe implementando programas y cursos permanentes de educación y capacitación en: i) derechos humanos y género; ii) perspectiva de género para la debida diligencia en la conducción de averiguaciones previas y procesos judiciales relacionados con discriminación, violencia y homicidios de mujeres por razones de género, y iii) superación de estereotipos sobre el rol social de las mujeres.</w:t>
      </w:r>
    </w:p>
    <w:p w14:paraId="2352928F" w14:textId="77777777" w:rsidR="007269CF" w:rsidRPr="00BB63D0" w:rsidRDefault="007269CF" w:rsidP="00BB63D0">
      <w:pPr>
        <w:rPr>
          <w:szCs w:val="20"/>
          <w:lang w:val="es-EC"/>
        </w:rPr>
      </w:pPr>
      <w:r w:rsidRPr="00BB63D0">
        <w:rPr>
          <w:szCs w:val="20"/>
          <w:lang w:val="es-EC"/>
        </w:rPr>
        <w:t>542.</w:t>
      </w:r>
      <w:r w:rsidRPr="00BB63D0">
        <w:rPr>
          <w:szCs w:val="20"/>
          <w:lang w:val="es-EC"/>
        </w:rPr>
        <w:tab/>
        <w:t>Los programas y cursos estarán destinados a policías, fiscales, jueces, militares, funcionarios encargados de la atención y asistencia legal a víctimas del delito y a cualquier funcionario público, tanto a nivel local como federal, que participe directa o indirectamente en la prevención, investigación, procesamiento, sanción y reparación. Dentro de dichos programas permanentes deberá hacerse una especial mención a la presente Sentencia y a los instrumentos internacionales de derechos humanos, específicamente, a los relativos a violencia por razones de género, entre ellos la Convención Belém do Pará y la CEDAW, tomando en cuenta cómo ciertas normas o prácticas en el derecho interno, sea intencionalmente o por sus resultados, tienen efectos discriminatorios en la vida cotidiana de las mujeres. Los programas deberán también incluir estudios sobre el Protocolo de Estambul y el Manual sobre la Prevención e Investigación Efectiva de Ejecuciones Extrajudiciales, Arbitrarias y Sumarias de Naciones Unidas. El Estado deberá informar anualmente, durante tres años, sobre la implementación de los cursos y capacitaciones.</w:t>
      </w:r>
    </w:p>
    <w:p w14:paraId="31CD2BF3" w14:textId="77777777" w:rsidR="007269CF" w:rsidRPr="00BB63D0" w:rsidRDefault="007269CF" w:rsidP="00BB63D0">
      <w:pPr>
        <w:rPr>
          <w:szCs w:val="20"/>
          <w:lang w:val="es-EC"/>
        </w:rPr>
      </w:pPr>
      <w:r w:rsidRPr="00BB63D0">
        <w:rPr>
          <w:szCs w:val="20"/>
          <w:lang w:val="es-EC"/>
        </w:rPr>
        <w:t>543.</w:t>
      </w:r>
      <w:r w:rsidRPr="00BB63D0">
        <w:rPr>
          <w:szCs w:val="20"/>
          <w:lang w:val="es-EC"/>
        </w:rPr>
        <w:tab/>
        <w:t>Además, teniendo en cuenta la situación de discriminación en contra de la mujer reconocida por el Estado, es necesario que éste realice un programa de educación destinado a la población en general del estado de Chihuahua, con el fin de superar dicha situación. A tal efecto, el Estado deberá presentar un informe anual por tres años, en el que indique las acciones que se han realizado con tal fin.</w:t>
      </w:r>
    </w:p>
    <w:p w14:paraId="271BE55E" w14:textId="77777777" w:rsidR="007269CF" w:rsidRPr="00BB63D0" w:rsidRDefault="007269CF" w:rsidP="00BB63D0">
      <w:pPr>
        <w:rPr>
          <w:b/>
          <w:szCs w:val="20"/>
        </w:rPr>
      </w:pPr>
      <w:r w:rsidRPr="00BB63D0">
        <w:rPr>
          <w:b/>
          <w:szCs w:val="20"/>
        </w:rPr>
        <w:t xml:space="preserve">Corte IDH. Caso </w:t>
      </w:r>
      <w:proofErr w:type="spellStart"/>
      <w:r w:rsidRPr="00BB63D0">
        <w:rPr>
          <w:b/>
          <w:szCs w:val="20"/>
        </w:rPr>
        <w:t>Furlan</w:t>
      </w:r>
      <w:proofErr w:type="spellEnd"/>
      <w:r w:rsidRPr="00BB63D0">
        <w:rPr>
          <w:b/>
          <w:szCs w:val="20"/>
        </w:rPr>
        <w:t xml:space="preserve"> y familiares Vs. Argentina. Excepciones Preliminares, Fondo, Reparaciones y Costas. Sentencia de 31 de agosto de 2012. Serie C No. 246</w:t>
      </w:r>
    </w:p>
    <w:p w14:paraId="743B03B0" w14:textId="77777777" w:rsidR="007269CF" w:rsidRPr="00BB63D0" w:rsidRDefault="007269CF" w:rsidP="00BB63D0">
      <w:pPr>
        <w:rPr>
          <w:szCs w:val="20"/>
        </w:rPr>
      </w:pPr>
      <w:r w:rsidRPr="00BB63D0">
        <w:rPr>
          <w:szCs w:val="20"/>
        </w:rPr>
        <w:t>308.</w:t>
      </w:r>
      <w:r w:rsidRPr="00BB63D0">
        <w:rPr>
          <w:szCs w:val="20"/>
        </w:rPr>
        <w:tab/>
        <w:t xml:space="preserve">El Tribunal toma nota de las actividades desarrolladas por el Estado en materia de capacitación a funcionarios, campañas de divulgación y cooperación interinstitucional, tendientes a potencializar los servicios a favor de las personas con discapacidad. No obstante, teniendo en cuenta las violaciones que fueron declaradas, en perjuicio de una persona con discapacidad, respecto a la duración del proceso […] y la ejecución del mismo </w:t>
      </w:r>
      <w:r w:rsidRPr="00144170">
        <w:rPr>
          <w:szCs w:val="20"/>
        </w:rPr>
        <w:t>[…], la Corte entiende necesario que el Estado continúe realizando los cursos de capacitación a funcionarios de la rama ejecutiva y judicial y las campañas informativas públicas en materia de la protección de los derechos de personas con discapacidad. Los programas de capacitación y formación deben reflejar debidamente el principio de la plena participación e igualdad, y realizarse en consulta con las organizaciones de personas con discapacidad. Además, la Corte valora que el Estado continúe fortaleciendo la cooperación entre instituciones estatales y organizaciones no gubernamentales</w:t>
      </w:r>
      <w:r w:rsidRPr="00BB63D0">
        <w:rPr>
          <w:szCs w:val="20"/>
        </w:rPr>
        <w:t>, con el objetivo de brindar una mejor atención a las personas con discapacidad y sus familiares. Para esto, se debe garantizar que las organizaciones de personas con discapacidad puedan ejercer un rol fundamental, a fin de asegurar que sus preocupaciones sean consideradas y tramitadas debidamente.</w:t>
      </w:r>
    </w:p>
    <w:p w14:paraId="17096E27" w14:textId="77777777" w:rsidR="007269CF" w:rsidRPr="00BB63D0" w:rsidRDefault="007269CF" w:rsidP="00BB63D0">
      <w:pPr>
        <w:rPr>
          <w:b/>
          <w:szCs w:val="20"/>
        </w:rPr>
      </w:pPr>
      <w:r w:rsidRPr="00BB63D0">
        <w:rPr>
          <w:b/>
          <w:szCs w:val="20"/>
        </w:rPr>
        <w:t xml:space="preserve">Corte IDH. Caso </w:t>
      </w:r>
      <w:proofErr w:type="spellStart"/>
      <w:r w:rsidRPr="00BB63D0">
        <w:rPr>
          <w:b/>
          <w:szCs w:val="20"/>
        </w:rPr>
        <w:t>Nadege</w:t>
      </w:r>
      <w:proofErr w:type="spellEnd"/>
      <w:r w:rsidRPr="00BB63D0">
        <w:rPr>
          <w:b/>
          <w:szCs w:val="20"/>
        </w:rPr>
        <w:t xml:space="preserve"> </w:t>
      </w:r>
      <w:proofErr w:type="spellStart"/>
      <w:r w:rsidRPr="00BB63D0">
        <w:rPr>
          <w:b/>
          <w:szCs w:val="20"/>
        </w:rPr>
        <w:t>Dorzema</w:t>
      </w:r>
      <w:proofErr w:type="spellEnd"/>
      <w:r w:rsidRPr="00BB63D0">
        <w:rPr>
          <w:b/>
          <w:szCs w:val="20"/>
        </w:rPr>
        <w:t xml:space="preserve"> y otros Vs. República Dominicana. Fondo Reparaciones y Costas. Sentencia de 24 de octubre de 2012. Serie C No. 251</w:t>
      </w:r>
    </w:p>
    <w:p w14:paraId="5FD38158" w14:textId="77777777" w:rsidR="007269CF" w:rsidRPr="00BB63D0" w:rsidRDefault="007269CF" w:rsidP="00BB63D0">
      <w:pPr>
        <w:rPr>
          <w:szCs w:val="20"/>
        </w:rPr>
      </w:pPr>
      <w:r w:rsidRPr="00BB63D0">
        <w:rPr>
          <w:szCs w:val="20"/>
        </w:rPr>
        <w:lastRenderedPageBreak/>
        <w:t>269.</w:t>
      </w:r>
      <w:r w:rsidRPr="00BB63D0">
        <w:rPr>
          <w:szCs w:val="20"/>
        </w:rPr>
        <w:tab/>
        <w:t xml:space="preserve">La eficacia y el impacto de la implementación de los programas de educación en derechos humanos a los funcionarios públicos es crucial para generar garantías de no repetición de hechos como los del presente caso. Ahora bien, visto que se acreditó la responsabilidad internacional del Estado por la violación de los artículos 1.1, 2, 4, 5, 7, 8, 25 y 22.9, todos de la Convención Americana, esta Corte considera importante fortalecer las capacidades institucionales de los órganos a cargo de respetar y garantizar dichos derechos humanos, mediante la capacitación de miembros de las Fuerzas Armadas, agentes de control fronterizo y agentes encargados de procedimientos migratorios, a fin de evitar que hechos como los analizados en el presente caso se repitan. </w:t>
      </w:r>
    </w:p>
    <w:p w14:paraId="5015E921" w14:textId="77777777" w:rsidR="007269CF" w:rsidRPr="00BB63D0" w:rsidRDefault="007269CF" w:rsidP="00BB63D0">
      <w:pPr>
        <w:rPr>
          <w:szCs w:val="20"/>
        </w:rPr>
      </w:pPr>
      <w:r w:rsidRPr="00BB63D0">
        <w:rPr>
          <w:szCs w:val="20"/>
        </w:rPr>
        <w:t>270.</w:t>
      </w:r>
      <w:r w:rsidRPr="00BB63D0">
        <w:rPr>
          <w:szCs w:val="20"/>
        </w:rPr>
        <w:tab/>
        <w:t xml:space="preserve">Dentro de dichos programas, el Estado deberá referirse a la jurisprudencia de la Corte en la materia y, en especial, a los estándares dispuestos en la presente Sentencia, incluyendo los instrumentos internacionales aplicables, de los que República Dominicana es parte. Los rubros de las capacitaciones deberán versar, en lo concerniente a cada autoridad, sobre los siguientes temas: a) el uso de la fuerza por parte de agentes encargados de hacer cumplir la Ley, de acuerdo con los principios de legalidad, proporcionalidad, necesidad, y excepcionalidad, así como los criterios de uso diferenciado y </w:t>
      </w:r>
      <w:r w:rsidRPr="00144170">
        <w:rPr>
          <w:szCs w:val="20"/>
        </w:rPr>
        <w:t>progresivo de la fuerza. Asimismo, sobre las acciones preventivas adoptadas por el Estado, y las acciones concomitantes y con posterioridad al incidente; b) el principio de igualdad y no discriminación, aplicado especialmente a personas migrantes y con una perspectiva de género y protección a la infancia, y c) el debido proceso en la detención y deportación de migrantes irregulares, de acuerdo con los</w:t>
      </w:r>
      <w:r w:rsidRPr="00BB63D0">
        <w:rPr>
          <w:szCs w:val="20"/>
        </w:rPr>
        <w:t xml:space="preserve"> estándares establecidos en este Fallo. Adicionalmente, para cumplir tales objetivos y tratándose de un sistema de formación continua, dicho curso debe ser impartido de forma permanente. A tal efecto, el Estado deberá presentar un informe anual durante tres años consecutivos, en el que indique las acciones que se han realizado con tal fin.</w:t>
      </w:r>
    </w:p>
    <w:p w14:paraId="739D80DC" w14:textId="77777777" w:rsidR="007269CF" w:rsidRPr="00BB63D0" w:rsidRDefault="007269CF" w:rsidP="00BB63D0">
      <w:pPr>
        <w:rPr>
          <w:b/>
          <w:szCs w:val="20"/>
        </w:rPr>
      </w:pPr>
      <w:r w:rsidRPr="00BB63D0">
        <w:rPr>
          <w:b/>
          <w:szCs w:val="20"/>
        </w:rPr>
        <w:t>Corte IDH. Caso Veliz Franco y otros Vs. Guatemala. Excepciones Preliminares, Fondo, Reparaciones y Costas. Sentencia de 19 de mayo de 2014. Serie C No. 277</w:t>
      </w:r>
    </w:p>
    <w:p w14:paraId="7C656B02" w14:textId="77777777" w:rsidR="007269CF" w:rsidRPr="00BB63D0" w:rsidRDefault="007269CF" w:rsidP="00BB63D0">
      <w:pPr>
        <w:rPr>
          <w:szCs w:val="20"/>
        </w:rPr>
      </w:pPr>
      <w:r w:rsidRPr="00BB63D0">
        <w:rPr>
          <w:szCs w:val="20"/>
        </w:rPr>
        <w:t>275.</w:t>
      </w:r>
      <w:r w:rsidRPr="00BB63D0">
        <w:rPr>
          <w:szCs w:val="20"/>
        </w:rPr>
        <w:tab/>
        <w:t>En lo que respecta a la implementación de programas de formación y capacitación para funcionarios estatales, la Corte dispone que el Estado debe, en un plazo razonable, implementar programas y cursos para funcionarios públicos pertenecientes al Poder Judicial, Ministerio Público y Policía Nacional Civil que estén vinculados a la investigación de actos de homicidio de mujeres sobre estándares en materia de prevención, eventual sanción y erradicación de homicidios de mujeres y capacitarlos sobre la debida aplicación de la normativa pertinente en la materia.</w:t>
      </w:r>
    </w:p>
    <w:p w14:paraId="59C72BED" w14:textId="77777777" w:rsidR="007269CF" w:rsidRPr="00BB63D0" w:rsidRDefault="007269CF" w:rsidP="00BB63D0">
      <w:pPr>
        <w:rPr>
          <w:b/>
          <w:szCs w:val="20"/>
        </w:rPr>
      </w:pPr>
      <w:r w:rsidRPr="00BB63D0">
        <w:rPr>
          <w:b/>
          <w:szCs w:val="20"/>
        </w:rPr>
        <w:t>Corte IDH. Caso de personas dominicanas y haitianas expulsadas Vs. República Dominicana. Excepciones Preliminares, Fondo, Reparaciones y Costas. Sentencia de 28 de agosto de 2014. Serie C No. 282</w:t>
      </w:r>
    </w:p>
    <w:p w14:paraId="48ED1B35" w14:textId="77777777" w:rsidR="007269CF" w:rsidRPr="00BB63D0" w:rsidRDefault="007269CF" w:rsidP="00BB63D0">
      <w:pPr>
        <w:rPr>
          <w:szCs w:val="20"/>
        </w:rPr>
      </w:pPr>
      <w:r w:rsidRPr="00BB63D0">
        <w:rPr>
          <w:szCs w:val="20"/>
        </w:rPr>
        <w:t>464.</w:t>
      </w:r>
      <w:r w:rsidRPr="00BB63D0">
        <w:rPr>
          <w:szCs w:val="20"/>
        </w:rPr>
        <w:tab/>
        <w:t xml:space="preserve">La Corte ha considerado que la eficacia y el impacto de la implementación de los programas de educación en derechos humanos a los funcionarios públicos es crucial para generar garantías de no repetición de violaciones de derechos humanos. </w:t>
      </w:r>
    </w:p>
    <w:p w14:paraId="4B39A09D" w14:textId="77777777" w:rsidR="007269CF" w:rsidRPr="00BB63D0" w:rsidRDefault="007269CF" w:rsidP="00BB63D0">
      <w:pPr>
        <w:rPr>
          <w:szCs w:val="20"/>
        </w:rPr>
      </w:pPr>
      <w:r w:rsidRPr="00BB63D0">
        <w:rPr>
          <w:szCs w:val="20"/>
        </w:rPr>
        <w:t>465.</w:t>
      </w:r>
      <w:r w:rsidRPr="00BB63D0">
        <w:rPr>
          <w:szCs w:val="20"/>
        </w:rPr>
        <w:tab/>
        <w:t xml:space="preserve">En consideración de los hechos y las violaciones declaradas en el caso sub judice, este Tribunal considera relevante fortalecer el respeto y garantía de los derechos de la población dominicana de ascendencia haitiana y haitiana, mediante </w:t>
      </w:r>
      <w:r w:rsidRPr="00BB63D0">
        <w:rPr>
          <w:szCs w:val="20"/>
          <w:shd w:val="clear" w:color="auto" w:fill="EAF1DD" w:themeFill="accent3" w:themeFillTint="33"/>
        </w:rPr>
        <w:t xml:space="preserve">la </w:t>
      </w:r>
      <w:r w:rsidRPr="00144170">
        <w:rPr>
          <w:szCs w:val="20"/>
        </w:rPr>
        <w:t>capacitación de miembros de las Fuerzas Armadas, agentes de control fronterizo y agentes encargados de procedimientos migratorios y judiciales, vinculados con materia migratoria a fin de que hechos como los del presente caso no se repitan. Para tal fin, considera que el Estado debe realizar, dentro de un plazo razonable, programas de capacitación de carácter continuo</w:t>
      </w:r>
      <w:r w:rsidRPr="00BB63D0">
        <w:rPr>
          <w:szCs w:val="20"/>
        </w:rPr>
        <w:t xml:space="preserve"> y permanente sobre temas relacionados con dicha población con el fin de asegurar que: a) los perfiles raciales </w:t>
      </w:r>
      <w:r w:rsidRPr="00BB63D0">
        <w:rPr>
          <w:szCs w:val="20"/>
        </w:rPr>
        <w:lastRenderedPageBreak/>
        <w:t>no constituyan, de ningún modo, el motivo para realizar una detención o expulsión; b) la observancia estricta de las garantías del debido proceso durante cualquier procedimiento relacionado con la expulsión o deportación de extranjeros; c) no se realicen, bajo ningún supuesto, expulsiones de personas de nacionalidad dominicana, y d) no se realicen expulsiones de carácter colectivo de extranjeros.</w:t>
      </w:r>
    </w:p>
    <w:p w14:paraId="7CD37123" w14:textId="77777777" w:rsidR="007269CF" w:rsidRPr="00BB63D0" w:rsidRDefault="007269CF" w:rsidP="00BB63D0">
      <w:pPr>
        <w:rPr>
          <w:b/>
          <w:szCs w:val="20"/>
        </w:rPr>
      </w:pPr>
      <w:r w:rsidRPr="00BB63D0">
        <w:rPr>
          <w:b/>
          <w:szCs w:val="20"/>
        </w:rPr>
        <w:t>Corte IDH. Caso Espinoza Gonzáles Vs. Perú. Excepciones Preliminares, Fondo, Reparaciones y Costas. Sentencia de 20 de noviembre de 2014. Serie C No. 289</w:t>
      </w:r>
    </w:p>
    <w:p w14:paraId="56A83E34" w14:textId="77777777" w:rsidR="007269CF" w:rsidRPr="00BB63D0" w:rsidRDefault="007269CF" w:rsidP="00BB63D0">
      <w:pPr>
        <w:rPr>
          <w:szCs w:val="20"/>
        </w:rPr>
      </w:pPr>
      <w:r w:rsidRPr="00BB63D0">
        <w:rPr>
          <w:szCs w:val="20"/>
        </w:rPr>
        <w:t>326.</w:t>
      </w:r>
      <w:r w:rsidRPr="00BB63D0">
        <w:rPr>
          <w:szCs w:val="20"/>
        </w:rPr>
        <w:tab/>
        <w:t>La Corte valora positivamente las medidas adoptadas por el Estado respecto a la formación en derechos humanos en diversas instituciones del Estado. Sin embargo, recuerda que la capacitación, como sistema de formación continua, se debe extender durante un lapso importante para cumplir sus objetivos. De igual modo y a la luz de la jurisprudencia de este Tribunal, advierte que una capacitación con perspectiva de género implica no solo un aprendizaje de las normas, sino debe generar que todos los funcionarios reconozcan la existencia de discriminación contra la mujer y las afectaciones que generan en éstas las ideas y valoraciones estereotipadas en lo que respecta al alcance y contenido de los derechos humanos.</w:t>
      </w:r>
    </w:p>
    <w:p w14:paraId="0F673FB6" w14:textId="77777777" w:rsidR="007269CF" w:rsidRPr="00BB63D0" w:rsidRDefault="007269CF" w:rsidP="00BB63D0">
      <w:pPr>
        <w:rPr>
          <w:szCs w:val="20"/>
        </w:rPr>
      </w:pPr>
      <w:r w:rsidRPr="00BB63D0">
        <w:rPr>
          <w:szCs w:val="20"/>
        </w:rPr>
        <w:t>327.</w:t>
      </w:r>
      <w:r w:rsidRPr="00BB63D0">
        <w:rPr>
          <w:szCs w:val="20"/>
        </w:rPr>
        <w:tab/>
        <w:t>En razón de lo anterior, la Corte dispone que el Estado, en un plazo razonable, incorpore en los programas y cursos permanentes de educación y capacitación dirigidos a quienes están encargados de la persecución penal y su judicialización, los estándares establecidos en los párrafos 237 a 242, 248, 249, 251, 252, 255, 256, 258, 260, 266, 268 y 278 de esta Sentencia sobre: i) perspectiva de género para la debida diligencia en la conducción de averiguaciones previas y procesos judiciales relacionados con discriminación y violencia contra las mujeres por razones de género, en particular los actos de violencia y violación sexual, y ii) superación de estereotipos de género.</w:t>
      </w:r>
    </w:p>
    <w:p w14:paraId="0703F566" w14:textId="77777777" w:rsidR="007269CF" w:rsidRPr="00BB63D0" w:rsidRDefault="007269CF" w:rsidP="00BB63D0">
      <w:pPr>
        <w:rPr>
          <w:b/>
          <w:szCs w:val="20"/>
        </w:rPr>
      </w:pPr>
      <w:r w:rsidRPr="00BB63D0">
        <w:rPr>
          <w:b/>
          <w:szCs w:val="20"/>
        </w:rPr>
        <w:t>Corte IDH. Caso Velásquez Paiz y otros Vs. Guatemala. Excepciones Preliminares, Fondo, Reparaciones y Costas. Sentencia de 19 de noviembre de 2015. Serie C No. 307</w:t>
      </w:r>
    </w:p>
    <w:p w14:paraId="3DE9FA16" w14:textId="77777777" w:rsidR="007269CF" w:rsidRPr="00BB63D0" w:rsidRDefault="007269CF" w:rsidP="00BB63D0">
      <w:pPr>
        <w:rPr>
          <w:szCs w:val="20"/>
        </w:rPr>
      </w:pPr>
      <w:r w:rsidRPr="00BB63D0">
        <w:rPr>
          <w:szCs w:val="20"/>
        </w:rPr>
        <w:t>247.</w:t>
      </w:r>
      <w:r w:rsidRPr="00BB63D0">
        <w:rPr>
          <w:szCs w:val="20"/>
        </w:rPr>
        <w:tab/>
        <w:t xml:space="preserve">La Corte constató que los hechos del presente caso ocurrieron dentro de un contexto de aumento de la violencia homicida contra las mujeres en Guatemala, que los niveles de dicha violencia continúan siendo elevados, y que incluso existe un agravamiento en el grado de violencia contra las mujeres y el ensañamiento ejercido contra los cuerpos de muchas de las víctimas […]. Ante este tipo de situaciones, esta Corte ha ordenado la implementación de programas de educación destinados a la población en general a fin de superar situaciones de discriminación en contra de la mujer. </w:t>
      </w:r>
    </w:p>
    <w:p w14:paraId="542BE207" w14:textId="77777777" w:rsidR="007269CF" w:rsidRPr="00BB63D0" w:rsidRDefault="007269CF" w:rsidP="00BB63D0">
      <w:pPr>
        <w:rPr>
          <w:szCs w:val="20"/>
        </w:rPr>
      </w:pPr>
      <w:r w:rsidRPr="00BB63D0">
        <w:rPr>
          <w:szCs w:val="20"/>
        </w:rPr>
        <w:t>248.</w:t>
      </w:r>
      <w:r w:rsidRPr="00BB63D0">
        <w:rPr>
          <w:szCs w:val="20"/>
        </w:rPr>
        <w:tab/>
        <w:t xml:space="preserve">Si bien Guatemala ha indicado que ya cuenta con programas educativos dirigidos a promover el respeto de los derechos de las mujeres, la Corte nota que, de los programas descritos por Guatemala, solo uno estaría dirigido a la prevención de la violencia contra la mujer: la “estrategia” de “Prevención de la Violencia” presuntamente realizado por las Direcciones Generales y Departamentales con apoyo y acompañamiento de la Unidad de Equidad de Género con Pertinencia Étnica adscrita a la Dirección de Planificación Educativa. Sin embargo, el Estado no proporcionó información alguna respecto del contenido, alcance o implementación de dicha “estrategia”. En consecuencia, teniendo en cuenta la situación de discriminación y violencia en contra de la mujer constatada, la Corte ordena al Estado, en un plazo razonable, incorporar al currículo del Sistema Educativo Nacional, en todos los niveles educativos, un programa de educación permanente sobre la necesidad de erradicar la discriminación de género, los estereotipos de género y la violencia contra la mujer en Guatemala, a la luz de la normativa internacional en la materia y la jurisprudencia de este Tribunal. A tal efecto, el Estado deberá presentar un informe anual por tres </w:t>
      </w:r>
      <w:r w:rsidRPr="00BB63D0">
        <w:rPr>
          <w:szCs w:val="20"/>
        </w:rPr>
        <w:lastRenderedPageBreak/>
        <w:t>años, en el que indique las acciones que se han realizado para tal fin. La Corte no considera necesario ordenar, adicionalmente, la cátedra sobre derechos de las mujeres solicitada por los representantes.</w:t>
      </w:r>
    </w:p>
    <w:p w14:paraId="328AFDB0" w14:textId="77777777" w:rsidR="007269CF" w:rsidRPr="00BB63D0" w:rsidRDefault="007269CF" w:rsidP="00BB63D0">
      <w:pPr>
        <w:rPr>
          <w:b/>
          <w:szCs w:val="20"/>
        </w:rPr>
      </w:pPr>
      <w:r w:rsidRPr="00BB63D0">
        <w:rPr>
          <w:b/>
          <w:szCs w:val="20"/>
        </w:rPr>
        <w:t>Corte IDH. Caso Miembros de la Aldea Chichupac y comunidades vecinas del Municipio de Rabinal Vs. Guatemala. Excepciones Preliminares, Fondo, Reparaciones y Costas. Sentencia de 30 de noviembre de 2016. Serie C No. 328</w:t>
      </w:r>
      <w:r w:rsidRPr="00BB63D0">
        <w:rPr>
          <w:rStyle w:val="Refdenotaalpie"/>
          <w:b/>
          <w:szCs w:val="20"/>
        </w:rPr>
        <w:footnoteReference w:id="52"/>
      </w:r>
    </w:p>
    <w:p w14:paraId="193305EF" w14:textId="77777777" w:rsidR="003A3485" w:rsidRPr="00BB63D0" w:rsidRDefault="003A3485" w:rsidP="00BB63D0">
      <w:pPr>
        <w:rPr>
          <w:szCs w:val="20"/>
        </w:rPr>
      </w:pPr>
      <w:r w:rsidRPr="00BB63D0">
        <w:rPr>
          <w:szCs w:val="20"/>
        </w:rPr>
        <w:t xml:space="preserve">313. En el presente caso, el Estado informó sobre los cursos que estarían recibiendo miembros del Ejército de Guatemala; sin embargo, no presentó documentación que sustente lo informado, que establezca la permanencia de los cursos mencionados o que indique cuántos integrantes de sus fuerzas reciben dicha capacitación. Por tanto, la Corte ordena al Estado incluir formación en derechos humanos y derecho internacional humanitario de </w:t>
      </w:r>
      <w:r w:rsidRPr="00144170">
        <w:rPr>
          <w:szCs w:val="20"/>
        </w:rPr>
        <w:t>forma permanente en el pensum de los diferencies centros de formación, profesionalización vocacional y capacitación de todas las ramas del Ejército de Guatemala. Dicha capacitación debe ser implementada en el plazo de un año y dirigida a todos los niveles jerárquicos del Ejército de Guatemala e incorporar la necesidad de erradicar la discriminación racial y étnica, los estereotipos raciales y étnicos, y la violencia contra los pueblos indígenas, a la luz de la normativa internacional en la materia y la jurisprudencia</w:t>
      </w:r>
      <w:r w:rsidRPr="00BB63D0">
        <w:rPr>
          <w:szCs w:val="20"/>
        </w:rPr>
        <w:t xml:space="preserve"> de la Corte sobre graves violaciones a los derechos humanos, particularmente en casos guatemaltecos.</w:t>
      </w:r>
    </w:p>
    <w:p w14:paraId="55774FC1" w14:textId="77777777" w:rsidR="003A3485" w:rsidRPr="00BB63D0" w:rsidRDefault="003A3485" w:rsidP="00BB63D0">
      <w:pPr>
        <w:rPr>
          <w:szCs w:val="20"/>
        </w:rPr>
      </w:pPr>
      <w:r w:rsidRPr="00BB63D0">
        <w:rPr>
          <w:szCs w:val="20"/>
        </w:rPr>
        <w:t>319. La Comisión solicitó de manera general a la Corte que adopte las medidas necesarias para evitar que en el futuro se produzcan hechos similares conforme al deber de prevención y garantía de los derechos humanos reconocidos en la Convención Americana. La Corte considera necesario ordenar, como garantía de no repetición, que, en un plazo razonable, el Estado incorpore al currículo del Sistema Educativo Nacional, en todos sus niveles, un programa de educación cuyo contenido refleje la naturaleza pluricultural y multilingüe de la sociedad guatemalteca, impulsando el respeto y el conocimiento de las diversas culturas indígenas, incluyendo sus cosmovisiones, historias, lenguas, conocimientos, valores, culturas, prácticas y formas de vida. Dicho programa deberá hacer énfasis en la necesidad de erradicar la discriminación racial y étnica, los estereotipos raciales y étnicos, y la violencia contra los pueblos indígenas, a la luz de la normativa internacional en la materia y la jurisprudencia de este Tribunal.</w:t>
      </w:r>
    </w:p>
    <w:p w14:paraId="5D3B8637" w14:textId="77777777" w:rsidR="003A3485" w:rsidRPr="00BB63D0" w:rsidRDefault="003A3485" w:rsidP="00BB63D0">
      <w:pPr>
        <w:rPr>
          <w:b/>
          <w:szCs w:val="20"/>
        </w:rPr>
      </w:pPr>
      <w:r w:rsidRPr="00BB63D0">
        <w:rPr>
          <w:b/>
          <w:szCs w:val="20"/>
        </w:rPr>
        <w:t>Corte IDH. Caso I.V. Vs. Bolivia. Excepciones Preliminares, Fondo, Reparaciones y Costas. Sentencia de 30 de noviembre de 2016. Serie C No. 329</w:t>
      </w:r>
    </w:p>
    <w:p w14:paraId="4F98C36C" w14:textId="77777777" w:rsidR="003A3485" w:rsidRPr="00BB63D0" w:rsidRDefault="003A3485" w:rsidP="00BB63D0">
      <w:pPr>
        <w:rPr>
          <w:szCs w:val="20"/>
        </w:rPr>
      </w:pPr>
      <w:r w:rsidRPr="00BB63D0">
        <w:rPr>
          <w:szCs w:val="20"/>
        </w:rPr>
        <w:lastRenderedPageBreak/>
        <w:t>342.</w:t>
      </w:r>
      <w:r w:rsidRPr="00BB63D0">
        <w:rPr>
          <w:szCs w:val="20"/>
        </w:rPr>
        <w:tab/>
        <w:t>Además, teniendo en cuenta que las violaciones a la autonomía y libertad reproductiva de la señora I.V. se debieron a estereotipos de género negativos en el sector salud […], es preciso ordenar una medida de reparación para evitar que hechos como los del presente caso se repitan. A tal fin, la Corte ordena al Estado que, dentro de un plazo de un año, adopte programas de educación y formación permanentes dirigidos a los estudiantes de medicina y profesionales médicos, así como a todo el personal que conforma el sistema de salud y seguridad social, sobre temas de consentimiento informado, discriminación basada en género y estereotipos, y violencia de género.</w:t>
      </w:r>
    </w:p>
    <w:p w14:paraId="328DDF1A" w14:textId="74EED51F" w:rsidR="003A3485" w:rsidRPr="00BB63D0" w:rsidRDefault="003A3485" w:rsidP="00BB63D0">
      <w:pPr>
        <w:rPr>
          <w:szCs w:val="20"/>
        </w:rPr>
      </w:pPr>
      <w:r w:rsidRPr="00BB63D0">
        <w:rPr>
          <w:szCs w:val="20"/>
        </w:rPr>
        <w:t>341.</w:t>
      </w:r>
      <w:r w:rsidRPr="00BB63D0">
        <w:rPr>
          <w:szCs w:val="20"/>
        </w:rPr>
        <w:tab/>
        <w:t xml:space="preserve">Por consiguiente, este Tribunal dispone que el Estado debe adoptar e implementar capacitaciones y cursos, de carácter permanente y obligatorio, para funcionarios públicos que, con motivo de su rol dentro del sistema de administración de justicia, estén en contacto, trabajen o intervengan en casos de violencia contra las mujeres. Dichas capacitaciones y cursos deberán abordar los estándares de debida diligencia en la investigación y enjuiciamiento de estos casos desarrollados en la presente Sentencia y, especialmente en casos de violencia sexual contra las mujeres, así como la cuestión relativa a las medidas de protección a la víctima durante la sustanciación de estos procesos. Además, las capacitaciones deberán impartirse desde una perspectiva de género y de protección de los derechos de las mujeres, para </w:t>
      </w:r>
      <w:proofErr w:type="spellStart"/>
      <w:r w:rsidRPr="00BB63D0">
        <w:rPr>
          <w:szCs w:val="20"/>
        </w:rPr>
        <w:t>deconstruir</w:t>
      </w:r>
      <w:proofErr w:type="spellEnd"/>
      <w:r w:rsidRPr="00BB63D0">
        <w:rPr>
          <w:szCs w:val="20"/>
        </w:rPr>
        <w:t xml:space="preserve"> los estereotipos de género negativos o perjudiciales y así asegurar que las investigaciones y enjuiciamientos de este tipo de hechos se realicen de acuerdo a los más estrictos estándares de debida diligencia, a los protocolos ordenados por esta Corte </w:t>
      </w:r>
      <w:r w:rsidR="005B7B62">
        <w:rPr>
          <w:szCs w:val="20"/>
        </w:rPr>
        <w:t>[...]</w:t>
      </w:r>
      <w:r w:rsidRPr="00BB63D0">
        <w:rPr>
          <w:szCs w:val="20"/>
        </w:rPr>
        <w:t>, y a los instrumentos internacionales de derechos humanos en la materia.</w:t>
      </w:r>
    </w:p>
    <w:p w14:paraId="07B4AC42" w14:textId="77777777" w:rsidR="003A3485" w:rsidRPr="00BB63D0" w:rsidRDefault="003A3485" w:rsidP="00144170">
      <w:pPr>
        <w:pStyle w:val="Caso"/>
      </w:pPr>
      <w:r w:rsidRPr="00BB63D0">
        <w:t>Corte IDH. Caso López Soto y otros Vs. Venezuela. Fondo, Reparaciones y Costas. Sentencia de 26 de septiembre de 2018. Serie C No. 362</w:t>
      </w:r>
    </w:p>
    <w:p w14:paraId="39412237" w14:textId="1D922BFB" w:rsidR="003A3485" w:rsidRPr="00BB63D0" w:rsidRDefault="003A3485" w:rsidP="00BB63D0">
      <w:pPr>
        <w:rPr>
          <w:szCs w:val="20"/>
        </w:rPr>
      </w:pPr>
      <w:r w:rsidRPr="00BB63D0">
        <w:rPr>
          <w:szCs w:val="20"/>
        </w:rPr>
        <w:t>342.</w:t>
      </w:r>
      <w:r w:rsidRPr="00BB63D0">
        <w:rPr>
          <w:szCs w:val="20"/>
        </w:rPr>
        <w:tab/>
        <w:t xml:space="preserve">De igual forma, la Corte ordena al Estado que adopte e implemente capacitaciones y cursos, de carácter permanente y obligatorio, dirigidos a los profesionales de la salud que conforman el sistema de salud pública y que intervengan en el diagnóstico, tratamiento o acompañamiento de mujeres víctimas de cualquier tipo de violencia. Las capacitaciones y cursos deberán versar sobre los métodos de investigación y tratamiento de casos de violencia contra la mujer, especialmente en casos de violencia sexual, de modo tal de brindar a las víctimas un trato adecuado durante la realización de los exámenes médicos y con miras a que los mismos se ajusten a los protocolos estandarizados ordenados por esta Corte </w:t>
      </w:r>
      <w:r w:rsidR="005B7B62">
        <w:rPr>
          <w:szCs w:val="20"/>
        </w:rPr>
        <w:t>[...]</w:t>
      </w:r>
      <w:r w:rsidRPr="00BB63D0">
        <w:rPr>
          <w:szCs w:val="20"/>
        </w:rPr>
        <w:t xml:space="preserve"> como así también a los instrumentos internacionales de derechos humanos relativos a la protección de los derechos de las mujeres.</w:t>
      </w:r>
    </w:p>
    <w:p w14:paraId="12CA6157" w14:textId="77777777" w:rsidR="003A3485" w:rsidRPr="00BB63D0" w:rsidRDefault="003A3485" w:rsidP="00BB63D0">
      <w:pPr>
        <w:rPr>
          <w:szCs w:val="20"/>
        </w:rPr>
      </w:pPr>
      <w:r w:rsidRPr="00BB63D0">
        <w:rPr>
          <w:szCs w:val="20"/>
        </w:rPr>
        <w:t>343.</w:t>
      </w:r>
      <w:r w:rsidRPr="00BB63D0">
        <w:rPr>
          <w:szCs w:val="20"/>
        </w:rPr>
        <w:tab/>
        <w:t>Adicionalmente, el Estado debe adoptar e implementar capacitaciones y cursos, de carácter permanente y obligatorio, dirigidos a los funcionarios que se desempeñan en las fuerzas policiales y que, en función de ello, intervengan en el proceso de denuncia de hechos de violencia contra la mujer. Dichas capacitaciones y cursos deberán abordar los estándares de debida diligencia en la recepción y procesamiento de denuncias por este tipo de casos, así como la cuestión relativa a las medidas de protección a la víctima que, de acuerdo a la legislación interna, se encuentran facultados a adoptar. Además, las capacitaciones deberán impartirse desde una perspectiva de género y de protección de los derechos de las mujeres, de modo tal de erradicar estereotipos de género perjudiciales y así asegurar la debida recepción de la denuncia.</w:t>
      </w:r>
    </w:p>
    <w:p w14:paraId="7904F369" w14:textId="2EC7540A" w:rsidR="003A3485" w:rsidRPr="00BB63D0" w:rsidRDefault="003A3485" w:rsidP="00144170">
      <w:pPr>
        <w:pStyle w:val="Caso"/>
      </w:pPr>
      <w:r w:rsidRPr="00BB63D0">
        <w:lastRenderedPageBreak/>
        <w:t>Corte IDH. Caso Mujeres Víctimas de Tortura Sexual en Atenco Vs. México. Excepción Preliminar, Fondo, Reparaciones y Costas. Sentencia de 28 de noviembre de 2018. Serie C No. 371</w:t>
      </w:r>
      <w:r w:rsidR="00DB4AAB">
        <w:rPr>
          <w:rStyle w:val="Refdenotaalpie"/>
        </w:rPr>
        <w:footnoteReference w:id="53"/>
      </w:r>
    </w:p>
    <w:p w14:paraId="4DFAF4CF" w14:textId="77777777" w:rsidR="003A3485" w:rsidRPr="00BB63D0" w:rsidRDefault="003A3485" w:rsidP="00BB63D0">
      <w:pPr>
        <w:rPr>
          <w:szCs w:val="20"/>
        </w:rPr>
      </w:pPr>
      <w:r w:rsidRPr="00BB63D0">
        <w:rPr>
          <w:szCs w:val="20"/>
        </w:rPr>
        <w:t>355.</w:t>
      </w:r>
      <w:r w:rsidRPr="00BB63D0">
        <w:rPr>
          <w:szCs w:val="20"/>
        </w:rPr>
        <w:tab/>
        <w:t>Como la Corte constató en el capítulo IX-1 de esta Sentencia, el uso ilegítimo y excesivo de la fuerza por parte del Estado en el contexto de los hechos acaecidos el 3 y 4 de mayo de 2006 en Texcoco y San Salvador de Atenco conllevó violaciones a distintos derechos consagrados en la Convención. Este Tribunal valora de manera positiva los esfuerzos llevados a cabo por el Estado, tanto a nivel federal como estadual para establecer límites al uso de la fuerza en contextos de protesta social y para fiscalizar a los cuerpos de policía. Sin embargo, estima pertinente ordenar al Estado la creación e implementación, en el plazo de dos años, de un plan de capacitación de oficiales de la Policía Federal y del estado de México orientado a: (i) sensibilizar a los miembros de los cuerpos de policía en abordar con perspectiva de género los operativos policiales, el carácter discriminatorio de los estereotipos de género como los empleados en este caso y el absoluto deber de respeto y protección de la población civil con la que entran en contacto en el marco de sus labores orden público, así como a (ii) capacitar a los agentes de policía sobre los estándares en materia del uso de la fuerza en contextos de protesta social establecidos en esta Sentencia y en la jurisprudencia de esta Corte. Este plan de capacitación debe ser incorporado en el curso de formación regular de los miembros del cuerpo de policía federal y estadual.</w:t>
      </w:r>
    </w:p>
    <w:p w14:paraId="2F8E982B" w14:textId="77777777" w:rsidR="003A3485" w:rsidRPr="00BB63D0" w:rsidRDefault="003A3485" w:rsidP="00BB63D0">
      <w:pPr>
        <w:rPr>
          <w:szCs w:val="20"/>
        </w:rPr>
      </w:pPr>
      <w:r w:rsidRPr="00BB63D0">
        <w:rPr>
          <w:szCs w:val="20"/>
        </w:rPr>
        <w:t>356.</w:t>
      </w:r>
      <w:r w:rsidRPr="00BB63D0">
        <w:rPr>
          <w:szCs w:val="20"/>
        </w:rPr>
        <w:tab/>
        <w:t>De igual manera, la Corte dispone que el Estado deberá establecer al nivel federal un observatorio independiente que permita dar seguimiento a la implementación de las políticas en materia de rendición de cuentas y monitoreo del uso de la fuerza de la Policía Federal y la policía del estado de México, dentro del cual se permita la participación de miembros de la sociedad civil. Asimismo, dicho observatorio deberá generar información que permita realizar mejoras institucionales en la materia. Para tales efectos, el Estado deberá generar sistemas de información que permitan: (i) evaluar la efectividad de los mecanismos existentes de supervisión y fiscalización de los operativos policiales antes, durante y después del uso de la fuerza, y (ii) brindar retroalimentación sobre las mejoras institucionales que correspondan de acuerdo con la información obtenida por medio del observatorio. Para el cumplimiento de esta medida el Estado deberá acreditar la creación del observatorio, con las características especificadas, así como su puesta en funcionamiento. Sin embargo, la Corte no supervisará su implementación.</w:t>
      </w:r>
    </w:p>
    <w:p w14:paraId="0C7083D7" w14:textId="77777777" w:rsidR="003A3485" w:rsidRPr="00BB63D0" w:rsidRDefault="003A3485" w:rsidP="00BB63D0">
      <w:pPr>
        <w:pStyle w:val="Sinespaciado"/>
        <w:rPr>
          <w:szCs w:val="20"/>
        </w:rPr>
      </w:pPr>
    </w:p>
    <w:p w14:paraId="537E76E4" w14:textId="6DE6D8CC" w:rsidR="003A3485" w:rsidRPr="00BB63D0" w:rsidRDefault="003A3485" w:rsidP="00D1740E">
      <w:pPr>
        <w:pStyle w:val="Ttulo2"/>
      </w:pPr>
      <w:bookmarkStart w:id="43" w:name="_Toc89017899"/>
      <w:r w:rsidRPr="00BB63D0">
        <w:lastRenderedPageBreak/>
        <w:t>Campaña sobre derecho de las personas migrantes</w:t>
      </w:r>
      <w:bookmarkEnd w:id="43"/>
    </w:p>
    <w:p w14:paraId="6DD38DEB" w14:textId="77777777" w:rsidR="003A3485" w:rsidRPr="00BB63D0" w:rsidRDefault="003A3485" w:rsidP="00BB63D0">
      <w:pPr>
        <w:rPr>
          <w:b/>
          <w:szCs w:val="20"/>
        </w:rPr>
      </w:pPr>
      <w:r w:rsidRPr="00BB63D0">
        <w:rPr>
          <w:b/>
          <w:szCs w:val="20"/>
        </w:rPr>
        <w:t xml:space="preserve">Corte IDH. Caso </w:t>
      </w:r>
      <w:proofErr w:type="spellStart"/>
      <w:r w:rsidRPr="00BB63D0">
        <w:rPr>
          <w:b/>
          <w:szCs w:val="20"/>
        </w:rPr>
        <w:t>Nadege</w:t>
      </w:r>
      <w:proofErr w:type="spellEnd"/>
      <w:r w:rsidRPr="00BB63D0">
        <w:rPr>
          <w:b/>
          <w:szCs w:val="20"/>
        </w:rPr>
        <w:t xml:space="preserve"> </w:t>
      </w:r>
      <w:proofErr w:type="spellStart"/>
      <w:r w:rsidRPr="00BB63D0">
        <w:rPr>
          <w:b/>
          <w:szCs w:val="20"/>
        </w:rPr>
        <w:t>Dorzema</w:t>
      </w:r>
      <w:proofErr w:type="spellEnd"/>
      <w:r w:rsidRPr="00BB63D0">
        <w:rPr>
          <w:b/>
          <w:szCs w:val="20"/>
        </w:rPr>
        <w:t xml:space="preserve"> y otros Vs. República Dominicana. Fondo Reparaciones y Costas. Sentencia de 24 de octubre de 2012. Serie C No. 251</w:t>
      </w:r>
    </w:p>
    <w:p w14:paraId="67F850E0" w14:textId="77777777" w:rsidR="003A3485" w:rsidRPr="00BB63D0" w:rsidRDefault="003A3485" w:rsidP="00BB63D0">
      <w:pPr>
        <w:rPr>
          <w:szCs w:val="20"/>
        </w:rPr>
      </w:pPr>
      <w:r w:rsidRPr="00BB63D0">
        <w:rPr>
          <w:szCs w:val="20"/>
        </w:rPr>
        <w:t>272.</w:t>
      </w:r>
      <w:r w:rsidRPr="00BB63D0">
        <w:rPr>
          <w:szCs w:val="20"/>
        </w:rPr>
        <w:tab/>
        <w:t xml:space="preserve">En vista de la </w:t>
      </w:r>
      <w:r w:rsidRPr="00144170">
        <w:rPr>
          <w:szCs w:val="20"/>
        </w:rPr>
        <w:t>acreditación de responsabilidad por parte del Estado de un patrón de discriminación contra personas migrantes en República Dominicana, la Corte estima pertinente que el Estado</w:t>
      </w:r>
      <w:r w:rsidRPr="00BB63D0">
        <w:rPr>
          <w:szCs w:val="20"/>
        </w:rPr>
        <w:t xml:space="preserve"> realice una campaña en medios públicos sobre los derechos de las personas migrantes regulares e irregulares en el territorio dominicano en los términos de lo dispuesto en el Fallo. A tal efecto, el Estado deberá presentar un informe anual durante tres años consecutivos, en el que indique las acciones que se han realizado con tal fin.</w:t>
      </w:r>
    </w:p>
    <w:p w14:paraId="3C439FC8" w14:textId="5E68B216" w:rsidR="003A3485" w:rsidRPr="00BB63D0" w:rsidRDefault="003A3485" w:rsidP="00D1740E">
      <w:pPr>
        <w:pStyle w:val="Ttulo2"/>
      </w:pPr>
      <w:bookmarkStart w:id="44" w:name="_Toc89017900"/>
      <w:r w:rsidRPr="00BB63D0">
        <w:t>Elaboración de políticas públicas</w:t>
      </w:r>
      <w:bookmarkEnd w:id="44"/>
    </w:p>
    <w:p w14:paraId="300AC0B4" w14:textId="77777777" w:rsidR="003A3485" w:rsidRPr="00BB63D0" w:rsidRDefault="003A3485" w:rsidP="00BB63D0">
      <w:pPr>
        <w:rPr>
          <w:szCs w:val="20"/>
        </w:rPr>
      </w:pPr>
      <w:r w:rsidRPr="00BB63D0">
        <w:rPr>
          <w:b/>
          <w:szCs w:val="20"/>
        </w:rPr>
        <w:t>Corte IDH. Caso González y otras (“Campo Algodonero”) Vs. México. Excepción Preliminar, Fondo, Reparaciones y Costas. Sentencia de 16 de noviembre de 2009. Serie C No. 205</w:t>
      </w:r>
    </w:p>
    <w:p w14:paraId="278F7EA0" w14:textId="77777777" w:rsidR="003A3485" w:rsidRPr="00BB63D0" w:rsidRDefault="003A3485" w:rsidP="00BB63D0">
      <w:pPr>
        <w:rPr>
          <w:szCs w:val="20"/>
          <w:lang w:val="es-EC"/>
        </w:rPr>
      </w:pPr>
      <w:r w:rsidRPr="00BB63D0">
        <w:rPr>
          <w:szCs w:val="20"/>
          <w:lang w:val="es-EC"/>
        </w:rPr>
        <w:t>494.</w:t>
      </w:r>
      <w:r w:rsidRPr="00BB63D0">
        <w:rPr>
          <w:szCs w:val="20"/>
          <w:lang w:val="es-EC"/>
        </w:rPr>
        <w:tab/>
        <w:t>El Tribunal valora los esfuerzos del Estado mexicano para adecuar formalmente su legislación, otros actos jurídicos e instituciones y para realizar diversas acciones orientadas a combatir la violencia por razón de género, tanto en el estado de Chihuahua como a nivel federal, así como su esfuerzo por adecuar su sistema judicial en materia penal a nivel local y federal. Estos avances constituyen indicadores estructurales relacionados con la adopción de normas que, en principio, tienen como objetivo enfrentar la violencia y discriminación contra la mujer en un contexto como el que ha sido probado en el presente caso.</w:t>
      </w:r>
    </w:p>
    <w:p w14:paraId="46F993AC" w14:textId="77777777" w:rsidR="003A3485" w:rsidRPr="00BB63D0" w:rsidRDefault="003A3485" w:rsidP="00BB63D0">
      <w:pPr>
        <w:rPr>
          <w:szCs w:val="20"/>
          <w:lang w:val="es-EC"/>
        </w:rPr>
      </w:pPr>
      <w:r w:rsidRPr="00BB63D0">
        <w:rPr>
          <w:szCs w:val="20"/>
          <w:lang w:val="es-EC"/>
        </w:rPr>
        <w:t>495.</w:t>
      </w:r>
      <w:r w:rsidRPr="00BB63D0">
        <w:rPr>
          <w:szCs w:val="20"/>
          <w:lang w:val="es-EC"/>
        </w:rPr>
        <w:tab/>
        <w:t>Sin embargo, la Corte no cuenta con información suficiente y actualizada para poder evaluar si a través de dichos actos jurídicos, instituciones y acciones: i) se ha generado una efectiva prevención e investigación de los casos de violencia contra la mujer y homicidios por razones de género; ii) los responsables han sido procesados y sancionados, y iii) las víctimas han sido reparadas; todo ello en el marco del contexto que ha sido probado en el presente caso. Así, por ejemplo, ninguna de las partes ofreció información precisa sobre la ocurrencia de crímenes similares a los del presente caso entre los años 2006 a 2009. En particular, el Tribunal no puede pronunciarse sobre la existencia de una política integral para superar la situación de violencia contra la mujer, discriminación e impunidad, sin información sobre las fallas estructurales que atraviesan estas políticas, los problemas en sus procesos de implementación y sus resultados sobre el goce efectivo de derechos por parte de las víctimas de dicha violencia. Además, la Corte no cuenta con indicadores de resultado respecto a cómo las políticas implementadas por el Estado puedan constituir reparaciones con perspectiva de género, en tanto: i) cuestionen y estén en capacidad de modificar, a través de medidas especiales el status quo que causa y mantiene la violencia contra la mujer y los homicidios por razones de género; ii) hayan constituido claramente un avance en la superación de las desigualdades jurídicas, políticas y sociales, formales o de facto, que sean injustificadas por causar, fomentar o reproducir los factores de discriminación por razón de género, y iii) sensibilicen a los funcionarios públicos y la sociedad sobre el impacto de los factores de discriminación contra las mujeres en los ámbitos público y privado.</w:t>
      </w:r>
    </w:p>
    <w:p w14:paraId="6FA2F543" w14:textId="77777777" w:rsidR="003A3485" w:rsidRPr="00BB63D0" w:rsidRDefault="003A3485" w:rsidP="00BB63D0">
      <w:pPr>
        <w:rPr>
          <w:szCs w:val="20"/>
          <w:lang w:val="es-EC"/>
        </w:rPr>
      </w:pPr>
      <w:r w:rsidRPr="00BB63D0">
        <w:rPr>
          <w:szCs w:val="20"/>
          <w:lang w:val="es-EC"/>
        </w:rPr>
        <w:t>496.</w:t>
      </w:r>
      <w:r w:rsidRPr="00BB63D0">
        <w:rPr>
          <w:szCs w:val="20"/>
          <w:lang w:val="es-EC"/>
        </w:rPr>
        <w:tab/>
        <w:t>Esta insuficiencia de argumentación por parte de la Comisión, los representantes y el Estado, impide al Tribunal pronunciarse respecto a si las políticas públicas actualmente desarrolladas constituyen realmente una garantía de no repetición en cuanto a lo ocurrido en el presente caso.</w:t>
      </w:r>
    </w:p>
    <w:p w14:paraId="59A80BFE" w14:textId="77777777" w:rsidR="003A3485" w:rsidRPr="00BB63D0" w:rsidRDefault="003A3485" w:rsidP="00BB63D0">
      <w:pPr>
        <w:rPr>
          <w:szCs w:val="20"/>
          <w:lang w:val="es-EC"/>
        </w:rPr>
      </w:pPr>
      <w:r w:rsidRPr="00BB63D0">
        <w:rPr>
          <w:b/>
          <w:szCs w:val="20"/>
          <w:lang w:val="es-EC"/>
        </w:rPr>
        <w:lastRenderedPageBreak/>
        <w:t>Corte IDH. Caso Granier y otros (Radio Caracas Televisión) Vs. Venezuela. Excepciones Preliminares, Fondo, Reparaciones y Costas. Sentencia de 22 de junio de 2015. Serie C No. 293</w:t>
      </w:r>
    </w:p>
    <w:p w14:paraId="1EE0E478" w14:textId="77777777" w:rsidR="003A3485" w:rsidRPr="00BB63D0" w:rsidRDefault="003A3485" w:rsidP="00BB63D0">
      <w:pPr>
        <w:rPr>
          <w:szCs w:val="20"/>
          <w:lang w:val="es-EC"/>
        </w:rPr>
      </w:pPr>
      <w:r w:rsidRPr="00BB63D0">
        <w:rPr>
          <w:szCs w:val="20"/>
          <w:lang w:val="es-EC"/>
        </w:rPr>
        <w:t>394.</w:t>
      </w:r>
      <w:r w:rsidRPr="00BB63D0">
        <w:rPr>
          <w:szCs w:val="20"/>
          <w:lang w:val="es-EC"/>
        </w:rPr>
        <w:tab/>
        <w:t>La Corte dispone que el Estado tome las medidas necesarias a fin de garantizar que todos los futuros procesos de asignación y renovación de frecuencias de radio y televisión que se lleven a cabo, sean conducidos de manera abierta, independiente y transparente. Todos estos procesos deberán conducirse sin que existan criterios discriminatorios que busquen limitar el otorgamiento de concesiones, y deberán estar encaminados a fortalecer el pluralismo informativo y el respeto a las garantías judiciales.</w:t>
      </w:r>
    </w:p>
    <w:p w14:paraId="34A9973A" w14:textId="77777777" w:rsidR="003A3485" w:rsidRPr="00BB63D0" w:rsidRDefault="003A3485" w:rsidP="00BB63D0">
      <w:pPr>
        <w:rPr>
          <w:b/>
          <w:szCs w:val="20"/>
          <w:lang w:val="es-EC"/>
        </w:rPr>
      </w:pPr>
      <w:r w:rsidRPr="00BB63D0">
        <w:rPr>
          <w:b/>
          <w:szCs w:val="20"/>
          <w:lang w:val="es-EC"/>
        </w:rPr>
        <w:t>Corte IDH. Caso Velásquez Paiz y otros Vs. Guatemala. Excepciones Preliminares, Fondo, Reparaciones y Costas. Sentencia de 19 de noviembre de 2015. Serie C No. 307</w:t>
      </w:r>
    </w:p>
    <w:p w14:paraId="691B586C" w14:textId="77777777" w:rsidR="003A3485" w:rsidRPr="00BB63D0" w:rsidRDefault="003A3485" w:rsidP="00BB63D0">
      <w:pPr>
        <w:rPr>
          <w:szCs w:val="20"/>
          <w:lang w:val="es-EC"/>
        </w:rPr>
      </w:pPr>
      <w:r w:rsidRPr="00BB63D0">
        <w:rPr>
          <w:szCs w:val="20"/>
          <w:lang w:val="es-EC"/>
        </w:rPr>
        <w:t>252.</w:t>
      </w:r>
      <w:r w:rsidRPr="00BB63D0">
        <w:rPr>
          <w:szCs w:val="20"/>
          <w:lang w:val="es-EC"/>
        </w:rPr>
        <w:tab/>
        <w:t xml:space="preserve">Al igual que en el Caso Veliz Franco y otros, el Tribunal valora los esfuerzos del Estado para adoptar legislación, otros actos jurídicos, instituciones y políticas públicas orientadas a combatir la violencia por razón de género, así como su esfuerzo por adecuar su sistema en materia de investigación penal. Estos avances constituyen indicadores estructurales relacionados con la adopción de medidas que, en principio, tienen como objetivo enfrentar la violencia y discriminación contra la mujer, o que su aplicación coadyuva a ello. </w:t>
      </w:r>
    </w:p>
    <w:p w14:paraId="591C0498" w14:textId="77777777" w:rsidR="003A3485" w:rsidRPr="00BB63D0" w:rsidRDefault="003A3485" w:rsidP="00BB63D0">
      <w:pPr>
        <w:rPr>
          <w:szCs w:val="20"/>
          <w:lang w:val="es-EC"/>
        </w:rPr>
      </w:pPr>
      <w:r w:rsidRPr="00BB63D0">
        <w:rPr>
          <w:szCs w:val="20"/>
          <w:lang w:val="es-EC"/>
        </w:rPr>
        <w:t>253.</w:t>
      </w:r>
      <w:r w:rsidRPr="00BB63D0">
        <w:rPr>
          <w:szCs w:val="20"/>
          <w:lang w:val="es-EC"/>
        </w:rPr>
        <w:tab/>
        <w:t xml:space="preserve">Sin perjuicio de ello y tal como ha sido señalado por este Tribunal </w:t>
      </w:r>
      <w:r w:rsidRPr="00BB63D0">
        <w:rPr>
          <w:szCs w:val="20"/>
        </w:rPr>
        <w:t>[…]</w:t>
      </w:r>
      <w:r w:rsidRPr="00BB63D0">
        <w:rPr>
          <w:szCs w:val="20"/>
          <w:lang w:val="es-EC"/>
        </w:rPr>
        <w:t>, los hechos del presente caso se enmarcan dentro de un contexto en que los niveles de impunidad respecto a actos violentos contra mujeres en Guatemala permanecen elevados. Al respecto, los representantes hicieron referencia a que el sistema de justicia guatemalteco sigue adoleciendo de problemas serios y estructurales para la investigación efectiva de hechos de violencia contra la mujer. En relación a este punto, la perita Karen Musalo señaló la necesidad de llevar a cabo inmediatamente las siguientes medidas: a) mejoramientos en las investigaciones; b) creación de tribunales especializados; c) capacitación, monitoreo y disciplina de funcionarios públicos; d) asignación de fondos adecuados para estas actividades, y e) recopilación de datos confiables.</w:t>
      </w:r>
    </w:p>
    <w:p w14:paraId="22E9217F" w14:textId="77777777" w:rsidR="003A3485" w:rsidRPr="00BB63D0" w:rsidRDefault="003A3485" w:rsidP="00BB63D0">
      <w:pPr>
        <w:rPr>
          <w:szCs w:val="20"/>
          <w:lang w:val="es-EC"/>
        </w:rPr>
      </w:pPr>
      <w:r w:rsidRPr="00BB63D0">
        <w:rPr>
          <w:szCs w:val="20"/>
          <w:lang w:val="es-EC"/>
        </w:rPr>
        <w:t>254.</w:t>
      </w:r>
      <w:r w:rsidRPr="00BB63D0">
        <w:rPr>
          <w:szCs w:val="20"/>
          <w:lang w:val="es-EC"/>
        </w:rPr>
        <w:tab/>
        <w:t>Al respecto, la Corte nota, primeramente, que en el Caso Veliz Franco y otros ordenó al Estado que elabore un plan de fortalecimiento calendarizado del Instituto Nacional de Ciencias Forenses (INACIF). En dicho caso, la Corte estableció que el funcionamiento adecuado de esta entidad resulta relevante a fin de que los casos de atentados contra mujeres puedan ser debidamente investigados. Asimismo, encontró acreditados datos de 2012 que indicaban la necesidad de que el INACIF cuente con mayores recursos, y ello habría sido expresado también, en 2010, por autoridades de la entidad. En el presente caso y tal como ocurrió en el caso Veliz Franco y otros, el Estado no ha hecho llegar a la Corte información que demuestre que ha habido una alteración en la situación referida. Por tanto, el Tribunal considera pertinente ordenar nuevamente que, en un plazo razonable, elabore un plan de fortalecimiento calendarizado del Instituto Nacional de Ciencias Forenses (INACIF), que incluya una asignación adecuada de recursos para ampliar sus actividades en el territorio nacional y el cumplimiento de sus funciones.</w:t>
      </w:r>
    </w:p>
    <w:p w14:paraId="64B6DCA7" w14:textId="77777777" w:rsidR="003A3485" w:rsidRPr="00BB63D0" w:rsidRDefault="003A3485" w:rsidP="00BB63D0">
      <w:pPr>
        <w:rPr>
          <w:szCs w:val="20"/>
          <w:lang w:val="es-EC"/>
        </w:rPr>
      </w:pPr>
      <w:r w:rsidRPr="00BB63D0">
        <w:rPr>
          <w:szCs w:val="20"/>
          <w:lang w:val="es-EC"/>
        </w:rPr>
        <w:t>257.</w:t>
      </w:r>
      <w:r w:rsidRPr="00BB63D0">
        <w:rPr>
          <w:szCs w:val="20"/>
          <w:lang w:val="es-EC"/>
        </w:rPr>
        <w:tab/>
        <w:t xml:space="preserve">En el presente caso, el Estado ha informado que “cuenta con” la Fiscalía de la Mujer, encargada de la persecución penal para abordar la violencia intrafamiliar y la violencia contra las mujeres, así como de 12 fiscalías especializadas en siete Departamentos que conocen exclusivamente los delitos de femicidio. Sin embargo, la Corte no cuenta con información respecto del eventual establecimiento de la Fiscalía de Delitos contra la Vida e Integridad Física de la Mujer mencionada en los artículos 14 y 23 de la Ley contra el Femicidio, y tampoco se desprende de la </w:t>
      </w:r>
      <w:r w:rsidRPr="00BB63D0">
        <w:rPr>
          <w:szCs w:val="20"/>
          <w:lang w:val="es-EC"/>
        </w:rPr>
        <w:lastRenderedPageBreak/>
        <w:t xml:space="preserve">información proporcionada si los órganos jurisdiccionales señalados por el Estado </w:t>
      </w:r>
      <w:r w:rsidRPr="00BB63D0">
        <w:rPr>
          <w:szCs w:val="20"/>
        </w:rPr>
        <w:t>[…]</w:t>
      </w:r>
      <w:r w:rsidRPr="00BB63D0">
        <w:rPr>
          <w:szCs w:val="20"/>
          <w:lang w:val="es-EC"/>
        </w:rPr>
        <w:t xml:space="preserve"> fueron establecidos en cumplimiento de lo estipulado en los artículos 15 y 22 de dicha Ley, es decir, en la totalidad de los departamentos de Guatemala. Por tanto y teniendo en cuenta lo normado por la Ley contra el Femicidio, la Corte considera pertinente ordenar nuevamente al Estado que, en un plazo razonable, implemente el funcionamiento pleno de los “órganos jurisdiccionales especializados” en toda la República de Guatemala, así como de la fiscalía especializada.</w:t>
      </w:r>
    </w:p>
    <w:p w14:paraId="563BD280" w14:textId="77777777" w:rsidR="003A3485" w:rsidRPr="00BB63D0" w:rsidRDefault="003A3485" w:rsidP="00BB63D0">
      <w:pPr>
        <w:rPr>
          <w:szCs w:val="20"/>
          <w:lang w:val="es-EC"/>
        </w:rPr>
      </w:pPr>
      <w:r w:rsidRPr="00BB63D0">
        <w:rPr>
          <w:szCs w:val="20"/>
          <w:lang w:val="es-EC"/>
        </w:rPr>
        <w:t>258.</w:t>
      </w:r>
      <w:r w:rsidRPr="00BB63D0">
        <w:rPr>
          <w:szCs w:val="20"/>
          <w:lang w:val="es-EC"/>
        </w:rPr>
        <w:tab/>
        <w:t>Finalmente y en tercer lugar, si bien en el presente caso el Estado se refirió a las capacitaciones en materia de prevención y erradicación de la violencia contra la mujer presuntamente realizadas por el Organismo Judicial, el Organismo Legislativo, el Ministerio de Gobernación, la Policía Nacional Civil (PNC), el Ministerio Público y la Comisión Presidencial de Derechos Humanos (COPREDEH), no aportó documentación alguna que permita al Tribunal valorar su idoneidad y permanencia. Por tanto y teniendo en cuenta lo ordenado por este Tribunal en el Caso Veliz Franco y otros, la Corte dispone que el Estado debe, en un plazo razonable, implementar programas y cursos permanentes para funcionarios públicos pertenecientes al Poder Judicial, Ministerio Público y Policía Nacional Civil, que estén vinculados a la investigación de actos de homicidio de mujeres, sobre estándares en materia de prevención, eventual sanción y erradicación de homicidios de mujeres y capacitarlos sobre la debida aplicación de la normativa internacional y jurisprudencia de este Tribunal en la materia.</w:t>
      </w:r>
    </w:p>
    <w:p w14:paraId="50075E8D" w14:textId="77777777" w:rsidR="003A3485" w:rsidRPr="00BB63D0" w:rsidRDefault="003A3485" w:rsidP="00BB63D0">
      <w:pPr>
        <w:rPr>
          <w:b/>
          <w:szCs w:val="20"/>
          <w:lang w:val="es-EC"/>
        </w:rPr>
      </w:pPr>
      <w:r w:rsidRPr="00BB63D0">
        <w:rPr>
          <w:b/>
          <w:szCs w:val="20"/>
          <w:lang w:val="es-EC"/>
        </w:rPr>
        <w:t>Corte IDH. Caso Miembros de la Aldea Chichupac y comunidades vecinas del Municipio de Rabinal Vs. Guatemala. Excepciones Preliminares, Fondo, Reparaciones y Costas. Sentencia de 30 de noviembre de 2016. Serie C No. 328</w:t>
      </w:r>
    </w:p>
    <w:p w14:paraId="45C33032" w14:textId="77777777" w:rsidR="003A3485" w:rsidRPr="00BB63D0" w:rsidRDefault="003A3485" w:rsidP="00BB63D0">
      <w:pPr>
        <w:rPr>
          <w:szCs w:val="20"/>
          <w:lang w:val="es-EC"/>
        </w:rPr>
      </w:pPr>
      <w:r w:rsidRPr="00BB63D0">
        <w:rPr>
          <w:szCs w:val="20"/>
          <w:lang w:val="es-EC"/>
        </w:rPr>
        <w:t xml:space="preserve">320. La Comisión solicitó a la Corte adoptar las medidas necesarias para evitar que en el futuro se produzcan hechos similares conforme al deber de prevención y garantía de los derechos humanos reconocidos en la Convención Americana. La Corte dispone, como garantía de no </w:t>
      </w:r>
      <w:r w:rsidRPr="00144170">
        <w:rPr>
          <w:szCs w:val="20"/>
          <w:lang w:val="es-EC"/>
        </w:rPr>
        <w:t>repetición y dados los gravísimos hechos contra indígenas maya achí descritos en la presente Sentencia, y ante la posibilidad de que persistan en la sociedad actitudes y sentimientos discriminatorios, que en un plazo razonable, el Estado perfeccione y refuerce la lucha contra toda forma de discriminación y, en particular, contra la discriminación racial y étnica, fortaleciendo los organismos existentes o los que vaya a crear con ese objetivo. Esos organismos deberán contar con la participación directa</w:t>
      </w:r>
      <w:r w:rsidRPr="00BB63D0">
        <w:rPr>
          <w:szCs w:val="20"/>
          <w:lang w:val="es-EC"/>
        </w:rPr>
        <w:t xml:space="preserve"> de personas de los grupos vulnerables y se ocuparán también de promover la revaloración de las culturas originarias, difundiendo su historia y riqueza. Lo anterior, en aras de que las políticas públicas y acciones orientadas a erradicar los actos de discriminación racial sean efectivas y se garantice así, la igualdad, el reconocimiento, respeto y promoción de los derechos de los pueblos indígenas, desalentando de esta forma, las manifestaciones de discriminación racial y étnica en la sociedad guatemalteca.</w:t>
      </w:r>
    </w:p>
    <w:p w14:paraId="572085CF" w14:textId="5A1FCEAA" w:rsidR="003A3485" w:rsidRPr="00BB63D0" w:rsidRDefault="00E712ED" w:rsidP="00D1740E">
      <w:pPr>
        <w:pStyle w:val="Ttulo2"/>
      </w:pPr>
      <w:bookmarkStart w:id="45" w:name="_Toc89017901"/>
      <w:r>
        <w:t>P</w:t>
      </w:r>
      <w:r w:rsidR="003A3485" w:rsidRPr="00BB63D0">
        <w:t>rotocolos de actuación</w:t>
      </w:r>
      <w:bookmarkEnd w:id="45"/>
    </w:p>
    <w:p w14:paraId="2327FD6D" w14:textId="77777777" w:rsidR="003A3485" w:rsidRPr="00BB63D0" w:rsidRDefault="003A3485" w:rsidP="00BB63D0">
      <w:pPr>
        <w:rPr>
          <w:szCs w:val="20"/>
        </w:rPr>
      </w:pPr>
      <w:r w:rsidRPr="00BB63D0">
        <w:rPr>
          <w:b/>
          <w:szCs w:val="20"/>
        </w:rPr>
        <w:t>Corte IDH. Caso González y otras (“Campo Algodonero”) Vs. México. Excepción Preliminar, Fondo, Reparaciones y Costas. Sentencia de 16 de noviembre de 2009. Serie C No. 205</w:t>
      </w:r>
    </w:p>
    <w:p w14:paraId="50320F72" w14:textId="77777777" w:rsidR="003A3485" w:rsidRPr="00BB63D0" w:rsidRDefault="003A3485" w:rsidP="00BB63D0">
      <w:pPr>
        <w:rPr>
          <w:szCs w:val="20"/>
          <w:lang w:val="es-EC"/>
        </w:rPr>
      </w:pPr>
      <w:r w:rsidRPr="00BB63D0">
        <w:rPr>
          <w:szCs w:val="20"/>
          <w:lang w:val="es-EC"/>
        </w:rPr>
        <w:t>502.</w:t>
      </w:r>
      <w:r w:rsidRPr="00BB63D0">
        <w:rPr>
          <w:szCs w:val="20"/>
          <w:lang w:val="es-EC"/>
        </w:rPr>
        <w:tab/>
        <w:t xml:space="preserve">La Corte ha ordenado en otros casos normalizar, conforme a los estándares internacionales, los parámetros para investigar, realizar el análisis forense y juzgar. El Tribunal estima que en el presente caso el Estado debe, en un plazo razonable, continuar con la estandarización de todos sus protocolos, manuales, criterios ministeriales de investigación, servicios periciales y de impartición de justicia, utilizados para investigar todos los delitos que se relacionen con desapariciones, </w:t>
      </w:r>
      <w:r w:rsidRPr="00BB63D0">
        <w:rPr>
          <w:szCs w:val="20"/>
          <w:lang w:val="es-EC"/>
        </w:rPr>
        <w:lastRenderedPageBreak/>
        <w:t>violencia sexual y homicidios de mujeres, conforme al Protocolo de Estambul, el Manual sobre la Prevención e Investigación Efectiva de Ejecuciones Extrajudiciales, Arbitrarias y Sumarias de Naciones Unidas y los estándares internacionales de búsqueda de personas desaparecidas, con base en una perspectiva de género. Al respecto, se deberá rendir un informe anual durante tres años.</w:t>
      </w:r>
    </w:p>
    <w:p w14:paraId="2B8761E1" w14:textId="77777777" w:rsidR="003A3485" w:rsidRPr="00BB63D0" w:rsidRDefault="003A3485" w:rsidP="00BB63D0">
      <w:pPr>
        <w:rPr>
          <w:b/>
          <w:szCs w:val="20"/>
          <w:lang w:val="es-EC"/>
        </w:rPr>
      </w:pPr>
      <w:r w:rsidRPr="00BB63D0">
        <w:rPr>
          <w:b/>
          <w:szCs w:val="20"/>
          <w:lang w:val="es-EC"/>
        </w:rPr>
        <w:t>Corte IDH. Caso Espinoza Gonzáles Vs. Perú. Excepciones Preliminares, Fondo, Reparaciones y Costas. Sentencia de 20 de noviembre de 2014. Serie C No. 289</w:t>
      </w:r>
    </w:p>
    <w:p w14:paraId="03C2C9F0" w14:textId="77777777" w:rsidR="003A3485" w:rsidRPr="00BB63D0" w:rsidRDefault="003A3485" w:rsidP="00BB63D0">
      <w:pPr>
        <w:rPr>
          <w:szCs w:val="20"/>
          <w:lang w:val="es-EC"/>
        </w:rPr>
      </w:pPr>
      <w:r w:rsidRPr="00BB63D0">
        <w:rPr>
          <w:szCs w:val="20"/>
          <w:lang w:val="es-EC"/>
        </w:rPr>
        <w:t>322.</w:t>
      </w:r>
      <w:r w:rsidRPr="00BB63D0">
        <w:rPr>
          <w:szCs w:val="20"/>
          <w:lang w:val="es-EC"/>
        </w:rPr>
        <w:tab/>
        <w:t>La Corte valora los esfuerzos del Estado para combatir la violencia por razón de género. Estos avances, en especial los judiciales, constituyen indicadores estructurales relacionados con la adopción de normas que, en principio, tienen como objetivo enfrentar la violencia y discriminación contra la mujer. Sin embargo, el Perú no aportó información a la Corte sobre la efectividad de las medidas adoptadas. De igual modo, es menester que se incluyan en los protocolos de investigación en el Perú los estándares establecidos en esta Sentencia. En virtud de lo anterior, la Corte ordena al Estado del Perú, en un plazo razonable, desarrollar protocolos de investigación para que los casos de tortura, violación sexual y otras formas de violencia sexual sean debidamente investigados y juzgados de conformidad con los estándares indicados en los párrafos 248, 249, 251, 252, 255 y 256 de esta Sentencia, los cuales se refieren a la recaudación de prueba en casos de tortura y violencia sexual, y en particular, a la recopilación de declaraciones y la realización de evaluaciones médicas y psicológicas.</w:t>
      </w:r>
    </w:p>
    <w:p w14:paraId="62C99D74" w14:textId="77777777" w:rsidR="003A3485" w:rsidRPr="00BB63D0" w:rsidRDefault="003A3485" w:rsidP="00E712ED">
      <w:pPr>
        <w:pStyle w:val="Caso"/>
      </w:pPr>
      <w:r w:rsidRPr="00BB63D0">
        <w:t>Corte IDH. Caso López Soto y otros Vs. Venezuela. Fondo, Reparaciones y Costas. Sentencia de 26 de septiembre de 2018. Serie C No. 362</w:t>
      </w:r>
    </w:p>
    <w:p w14:paraId="01DF77EC" w14:textId="77777777" w:rsidR="003A3485" w:rsidRPr="00BB63D0" w:rsidRDefault="003A3485" w:rsidP="00BB63D0">
      <w:pPr>
        <w:rPr>
          <w:szCs w:val="20"/>
        </w:rPr>
      </w:pPr>
      <w:r w:rsidRPr="00BB63D0">
        <w:rPr>
          <w:szCs w:val="20"/>
        </w:rPr>
        <w:t>335.</w:t>
      </w:r>
      <w:r w:rsidRPr="00BB63D0">
        <w:rPr>
          <w:szCs w:val="20"/>
        </w:rPr>
        <w:tab/>
        <w:t>En consecuencia, la Corte estima conveniente ordenar al Estado que adopte, implemente y fiscalice protocolos que establezcan criterios claros y uniformes, tanto para la investigación como para la atención integral de actos de violencia que tengan como víctima a una mujer. Estos instrumentos deberán ajustarse a los lineamientos establecidos en el Protocolo de Estambul, el Manual sobre la Prevención e Investigación efectiva de Ejecuciones Extrajudiciales, Arbitrarias y Sumarias de Naciones Unidas y las directrices de la Organización Mundial de la Salud, así como en la jurisprudencia de este Tribunal. Estos protocolos deberán estar dirigidos al personal de la administración de justicia y del ámbito de la salud, pública o privada, que de alguna manera, intervenga en la investigación, tramitación y/o atención de casos de mujeres víctimas de alguno de los tipos de violencia señalados en la Ley Orgánica sobre el Derecho de las Mujeres a una Vida Libre de Violencia.</w:t>
      </w:r>
    </w:p>
    <w:p w14:paraId="221BD5FC" w14:textId="60B6CE28" w:rsidR="003A3485" w:rsidRPr="00BB63D0" w:rsidRDefault="003A3485" w:rsidP="00D1740E">
      <w:pPr>
        <w:pStyle w:val="Ttulo2"/>
      </w:pPr>
      <w:bookmarkStart w:id="46" w:name="_Toc89017902"/>
      <w:r w:rsidRPr="00BB63D0">
        <w:t>Adopción de medidas legislativas</w:t>
      </w:r>
      <w:bookmarkEnd w:id="46"/>
    </w:p>
    <w:p w14:paraId="20ECE2E4" w14:textId="77777777" w:rsidR="003A3485" w:rsidRPr="00BB63D0" w:rsidRDefault="003A3485" w:rsidP="00BB63D0">
      <w:pPr>
        <w:pStyle w:val="Sinespaciado"/>
        <w:rPr>
          <w:szCs w:val="20"/>
        </w:rPr>
      </w:pPr>
    </w:p>
    <w:p w14:paraId="3AC8FD1A" w14:textId="77777777" w:rsidR="003A3485" w:rsidRPr="00BB63D0" w:rsidRDefault="003A3485" w:rsidP="00BB63D0">
      <w:pPr>
        <w:rPr>
          <w:b/>
          <w:szCs w:val="20"/>
        </w:rPr>
      </w:pPr>
      <w:r w:rsidRPr="00BB63D0">
        <w:rPr>
          <w:b/>
          <w:szCs w:val="20"/>
        </w:rPr>
        <w:t xml:space="preserve">Corte IDH. Caso de las niñas </w:t>
      </w:r>
      <w:proofErr w:type="spellStart"/>
      <w:r w:rsidRPr="00BB63D0">
        <w:rPr>
          <w:b/>
          <w:szCs w:val="20"/>
        </w:rPr>
        <w:t>Yean</w:t>
      </w:r>
      <w:proofErr w:type="spellEnd"/>
      <w:r w:rsidRPr="00BB63D0">
        <w:rPr>
          <w:b/>
          <w:szCs w:val="20"/>
        </w:rPr>
        <w:t xml:space="preserve"> y </w:t>
      </w:r>
      <w:proofErr w:type="spellStart"/>
      <w:r w:rsidRPr="00BB63D0">
        <w:rPr>
          <w:b/>
          <w:szCs w:val="20"/>
        </w:rPr>
        <w:t>Bosico</w:t>
      </w:r>
      <w:proofErr w:type="spellEnd"/>
      <w:r w:rsidRPr="00BB63D0">
        <w:rPr>
          <w:b/>
          <w:szCs w:val="20"/>
        </w:rPr>
        <w:t xml:space="preserve"> Vs. República Dominicana. Sentencia de 8 de septiembre de 2005. Serie C No. 130</w:t>
      </w:r>
    </w:p>
    <w:p w14:paraId="4BA291BB" w14:textId="77777777" w:rsidR="003A3485" w:rsidRPr="00BB63D0" w:rsidRDefault="003A3485" w:rsidP="00BB63D0">
      <w:pPr>
        <w:rPr>
          <w:szCs w:val="20"/>
        </w:rPr>
      </w:pPr>
      <w:r w:rsidRPr="00BB63D0">
        <w:rPr>
          <w:szCs w:val="20"/>
        </w:rPr>
        <w:t>239.</w:t>
      </w:r>
      <w:r w:rsidRPr="00BB63D0">
        <w:rPr>
          <w:szCs w:val="20"/>
        </w:rPr>
        <w:tab/>
        <w:t xml:space="preserve">Esta Corte considera que la República Dominicana debe adoptar en su derecho interno, dentro de un plazo razonable, de acuerdo con el artículo 2 de la Convención Americana, las medidas legislativas, administrativas y de cualquier otra índole que sean necesarias para regular el procedimiento y los requisitos conducentes a adquirir la nacionalidad dominicana, mediante la declaración tardía de nacimiento. Dicho procedimiento debe ser sencillo, accesible y razonable, en consideración de que, de otra forma, los solicitantes pudieran quedar en condición de ser apátridas. Además, debe existir un recurso efectivo para los casos en que sea denegada la solicitud. </w:t>
      </w:r>
    </w:p>
    <w:p w14:paraId="36BD911F" w14:textId="77777777" w:rsidR="003A3485" w:rsidRPr="00BB63D0" w:rsidRDefault="003A3485" w:rsidP="00BB63D0">
      <w:pPr>
        <w:rPr>
          <w:szCs w:val="20"/>
        </w:rPr>
      </w:pPr>
      <w:r w:rsidRPr="00BB63D0">
        <w:rPr>
          <w:szCs w:val="20"/>
        </w:rPr>
        <w:lastRenderedPageBreak/>
        <w:t>240.</w:t>
      </w:r>
      <w:r w:rsidRPr="00BB63D0">
        <w:rPr>
          <w:szCs w:val="20"/>
        </w:rPr>
        <w:tab/>
        <w:t xml:space="preserve">Este Tribunal considera que el Estado, al fijar los requisitos para la inscripción tardía de nacimiento, deberá tomar en cuenta la situación especialmente vulnerable de los niños dominicanos de ascendencia haitiana. Los requisitos exigidos no deben constituir un obstáculo para obtener la nacionalidad dominicana y deben ser solamente los indispensables para establecer que el nacimiento ocurrió en la República Dominicana. Al respecto, la identificación del padre o de la madre del niño no puede estar limitada a la presentación de la cédula de identidad y electoral, sino que el Estado debe aceptar, para tal fin, otro documento público apropiado, ya que la referida cédula es exclusiva de los ciudadanos dominicanos. Asimismo, los requisitos deben estar claramente determinados, ser uniformes y no dejar su aplicación sujeta a la discrecionalidad de los funcionarios del Estado, garantizándose así la seguridad jurídica de las personas que recurran a este procedimiento, y para una efectiva garantía de los derechos consagrados en la Convención Americana, de conformidad con el artículo 1.1 de la Convención. </w:t>
      </w:r>
    </w:p>
    <w:p w14:paraId="2175121A" w14:textId="77777777" w:rsidR="003A3485" w:rsidRPr="00BB63D0" w:rsidRDefault="003A3485" w:rsidP="00BB63D0">
      <w:pPr>
        <w:rPr>
          <w:szCs w:val="20"/>
        </w:rPr>
      </w:pPr>
      <w:r w:rsidRPr="00BB63D0">
        <w:rPr>
          <w:szCs w:val="20"/>
        </w:rPr>
        <w:t>241.</w:t>
      </w:r>
      <w:r w:rsidRPr="00BB63D0">
        <w:rPr>
          <w:szCs w:val="20"/>
        </w:rPr>
        <w:tab/>
        <w:t xml:space="preserve">Asimismo, el Estado debe adoptar las medidas necesarias y permanentes que faciliten la inscripción temprana y oportuna de los menores, independientemente de su ascendencia u origen, con el propósito de reducir el número de personas que recurran al trámite de inscripción tardía de nacimiento. </w:t>
      </w:r>
    </w:p>
    <w:p w14:paraId="23443FFF" w14:textId="77777777" w:rsidR="003A3485" w:rsidRPr="00BB63D0" w:rsidRDefault="003A3485" w:rsidP="00BB63D0">
      <w:pPr>
        <w:rPr>
          <w:b/>
          <w:szCs w:val="20"/>
        </w:rPr>
      </w:pPr>
      <w:r w:rsidRPr="00BB63D0">
        <w:rPr>
          <w:b/>
          <w:szCs w:val="20"/>
        </w:rPr>
        <w:t>Corte IDH. Caso Atala Riffo y niñas Vs. Chile. Fondo, Reparaciones y Costas. Sentencia de 24 de febrero de 2012. Serie C No. 239</w:t>
      </w:r>
    </w:p>
    <w:p w14:paraId="0C57D73B" w14:textId="77777777" w:rsidR="003A3485" w:rsidRPr="00BB63D0" w:rsidRDefault="003A3485" w:rsidP="00BB63D0">
      <w:pPr>
        <w:rPr>
          <w:szCs w:val="20"/>
        </w:rPr>
      </w:pPr>
      <w:r w:rsidRPr="00BB63D0">
        <w:rPr>
          <w:szCs w:val="20"/>
        </w:rPr>
        <w:t>279.</w:t>
      </w:r>
      <w:r w:rsidRPr="00BB63D0">
        <w:rPr>
          <w:szCs w:val="20"/>
        </w:rPr>
        <w:tab/>
        <w:t>La Corte recuerda que el artículo 2 de la Convención obliga a los Estados Parte a adoptar, con arreglo a sus procedimientos constitucionales y a las disposiciones de la Convención, las medidas legislativas o de otro carácter que fueren necesarias para hacer efectivos los derechos y libertades protegidos por la Convención. Es decir, los Estados no sólo tienen la obligación positiva de adoptar las medidas legislativas necesarias para garantizar el ejercicio de los derechos en ella consagrados, sino que también deben evitar promulgar aquellas leyes que impidan el libre ejercicio de estos derechos, y evitar que se supriman o modifiquen las leyes que los protegen.</w:t>
      </w:r>
    </w:p>
    <w:p w14:paraId="20E8B1C0" w14:textId="77777777" w:rsidR="003A3485" w:rsidRPr="00BB63D0" w:rsidRDefault="003A3485" w:rsidP="00BB63D0">
      <w:pPr>
        <w:rPr>
          <w:szCs w:val="20"/>
        </w:rPr>
      </w:pPr>
      <w:r w:rsidRPr="00BB63D0">
        <w:rPr>
          <w:szCs w:val="20"/>
        </w:rPr>
        <w:t>280.</w:t>
      </w:r>
      <w:r w:rsidRPr="00BB63D0">
        <w:rPr>
          <w:szCs w:val="20"/>
        </w:rPr>
        <w:tab/>
        <w:t>En el presente caso, la Corte se limitó a examinar la relación entre la aplicación judicial de ciertas normas con prácticas discriminatorias. El Tribunal no analizó la compatibilidad de una determinada norma con la Convención Americana ni fue ello materia de este caso. Asimismo, los representantes no aportaron elementos suficientes que permitan inferir que las violaciones se hayan derivado de un problema de las leyes en sí mismas. Por tanto, la Corte considera que no es pertinente, en las circunstancias del presente caso, ordenar la adopción, modificación o adecuación de normas específicas de derecho interno.</w:t>
      </w:r>
    </w:p>
    <w:p w14:paraId="19F7D8E3" w14:textId="77777777" w:rsidR="003A3485" w:rsidRPr="00BB63D0" w:rsidRDefault="003A3485" w:rsidP="00BB63D0">
      <w:pPr>
        <w:rPr>
          <w:b/>
          <w:szCs w:val="20"/>
        </w:rPr>
      </w:pPr>
      <w:r w:rsidRPr="00BB63D0">
        <w:rPr>
          <w:b/>
          <w:szCs w:val="20"/>
        </w:rPr>
        <w:t xml:space="preserve">Corte IDH. Caso </w:t>
      </w:r>
      <w:proofErr w:type="spellStart"/>
      <w:r w:rsidRPr="00BB63D0">
        <w:rPr>
          <w:b/>
          <w:szCs w:val="20"/>
        </w:rPr>
        <w:t>Furlan</w:t>
      </w:r>
      <w:proofErr w:type="spellEnd"/>
      <w:r w:rsidRPr="00BB63D0">
        <w:rPr>
          <w:b/>
          <w:szCs w:val="20"/>
        </w:rPr>
        <w:t xml:space="preserve"> y familiares Vs. Argentina. Excepciones Preliminares, Fondo, Reparaciones y Costas. Sentencia de 31 de agosto de 2012. Serie C No. 246</w:t>
      </w:r>
    </w:p>
    <w:p w14:paraId="5448308A" w14:textId="77777777" w:rsidR="003A3485" w:rsidRPr="00BB63D0" w:rsidRDefault="003A3485" w:rsidP="00BB63D0">
      <w:pPr>
        <w:rPr>
          <w:szCs w:val="20"/>
        </w:rPr>
      </w:pPr>
      <w:r w:rsidRPr="00BB63D0">
        <w:rPr>
          <w:szCs w:val="20"/>
        </w:rPr>
        <w:t>278.</w:t>
      </w:r>
      <w:r w:rsidRPr="00BB63D0">
        <w:rPr>
          <w:szCs w:val="20"/>
        </w:rPr>
        <w:tab/>
        <w:t>La Corte resalta que las violaciones declaradas en capítulos anteriores fueron cometidas en perjuicio de un niño y, posteriormente, adulto con discapacidad, lo cual implica que las reparaciones otorgadas, en el presente caso, deben seguir el modelo social para abordar la discapacidad consagrado en los diversos tratados internacionales sobre la materia […]. Lo anterior implica que las medidas de reparación no se centran exclusivamente en medidas de rehabilitación de tipo médico, sino que se incluyen medidas que ayuden a la persona con discapacidad a afrontar las barreras o limitaciones impuestas, con el fin de que dicha persona pueda “lograr y mantener la máxima independencia, capacidad física, mental, social y vocacional, y la inclusión y participación plena en todos los aspectos de la vida”.</w:t>
      </w:r>
    </w:p>
    <w:p w14:paraId="707B012F" w14:textId="77777777" w:rsidR="003A3485" w:rsidRPr="00BB63D0" w:rsidRDefault="003A3485" w:rsidP="00BB63D0">
      <w:pPr>
        <w:rPr>
          <w:szCs w:val="20"/>
        </w:rPr>
      </w:pPr>
      <w:r w:rsidRPr="00BB63D0">
        <w:rPr>
          <w:szCs w:val="20"/>
        </w:rPr>
        <w:t>295.</w:t>
      </w:r>
      <w:r w:rsidRPr="00BB63D0">
        <w:rPr>
          <w:szCs w:val="20"/>
        </w:rPr>
        <w:tab/>
        <w:t xml:space="preserve">En consecuencia, la Corte considera que, en el marco de la implementación de las leyes argentinas que regulan el acceso a prestaciones en salud y seguridad </w:t>
      </w:r>
      <w:r w:rsidRPr="00BB63D0">
        <w:rPr>
          <w:szCs w:val="20"/>
        </w:rPr>
        <w:lastRenderedPageBreak/>
        <w:t>social, el Estado deberá adoptar las medidas necesarias para asegurar que al momento en que una persona es diagnosticada con graves problemas o secuelas relacionadas con discapacidad, le sea entregada a la persona o su grupo familiar una carta de derechos que resuma en forma sintética, clara y accesible los beneficios que contemplan las mencionadas normas, los estándares sobre protección de las personas con discapacidad mental establecidos en esta Sentencia y las políticas públicas análogas, así como las instituciones que pueden prestar ayuda para exigir el cumplimiento de sus derechos. El Estado deberá informar anualmente sobre la implementación de esta medida por un período de tres años una vez se inicie la implementación de dicho mecanismo.</w:t>
      </w:r>
    </w:p>
    <w:p w14:paraId="39E96D39" w14:textId="77777777" w:rsidR="003A3485" w:rsidRPr="00BB63D0" w:rsidRDefault="003A3485" w:rsidP="00BB63D0">
      <w:pPr>
        <w:rPr>
          <w:szCs w:val="20"/>
        </w:rPr>
      </w:pPr>
      <w:r w:rsidRPr="00BB63D0">
        <w:rPr>
          <w:szCs w:val="20"/>
        </w:rPr>
        <w:t>300.</w:t>
      </w:r>
      <w:r w:rsidRPr="00BB63D0">
        <w:rPr>
          <w:szCs w:val="20"/>
        </w:rPr>
        <w:tab/>
        <w:t>La Corte recuerda que el artículo 2 de la Convención obliga a los Estados Parte a adoptar, con arreglo a sus procedimientos constitucionales y a las disposiciones de la Convención, las medidas legislativas o de otro carácter que fueren necesarias para hacer efectivos los derechos y libertades protegidos por la Convención. Es decir, los Estados no sólo tienen la obligación positiva de adoptar las medidas legislativas necesarias para garantizar el ejercicio de los derechos en ella consagrados, sino que también deben evitar promulgar aquellas leyes que impidan el libre ejercicio de estos derechos, y evitar que se supriman o modifiquen las leyes que los protegen. Por tanto, la Corte recuerda que en el marco de las obligaciones derivadas de los artículos 1.1 y 2 de la Convención, y según los estándares desarrollados en la presente Sentencia […], los Estados deben adoptar medidas para reducir las limitaciones o barreras y para dar el trato preferente apropiado a las personas con discapacidad, a fin de conseguir los objetivos de la plena participación e igualdad dentro de la sociedad para todas ellas.</w:t>
      </w:r>
    </w:p>
    <w:p w14:paraId="4B0FF501" w14:textId="77777777" w:rsidR="003A3485" w:rsidRPr="00BB63D0" w:rsidRDefault="003A3485" w:rsidP="00BB63D0">
      <w:pPr>
        <w:rPr>
          <w:b/>
          <w:szCs w:val="20"/>
        </w:rPr>
      </w:pPr>
      <w:r w:rsidRPr="00BB63D0">
        <w:rPr>
          <w:b/>
          <w:szCs w:val="20"/>
        </w:rPr>
        <w:t>Corte IDH. Caso I.V. Vs. Bolivia. Excepciones Preliminares, Fondo, Reparaciones y Costas. Sentencia de 30 de noviembre de 2016. Serie C No. 329</w:t>
      </w:r>
    </w:p>
    <w:p w14:paraId="3E370446" w14:textId="77777777" w:rsidR="003A3485" w:rsidRPr="00BB63D0" w:rsidRDefault="003A3485" w:rsidP="00BB63D0">
      <w:pPr>
        <w:rPr>
          <w:szCs w:val="20"/>
        </w:rPr>
      </w:pPr>
      <w:r w:rsidRPr="00BB63D0">
        <w:rPr>
          <w:szCs w:val="20"/>
        </w:rPr>
        <w:t>340.</w:t>
      </w:r>
      <w:r w:rsidRPr="00BB63D0">
        <w:rPr>
          <w:szCs w:val="20"/>
        </w:rPr>
        <w:tab/>
        <w:t xml:space="preserve">La Corte ya ha constatado el impacto producido en el derecho a la integridad personal de la señora I.V. por la práctica de la ligadura de las trompas de Falopio sin su consentimiento previo, libre, pleno e informado […]. Teniendo en cuenta que el Estado cuenta con </w:t>
      </w:r>
      <w:r w:rsidRPr="00144170">
        <w:rPr>
          <w:szCs w:val="20"/>
        </w:rPr>
        <w:t>un marco legal que podría impedir que situaciones como las del presente caso se repitan, el Tribunal considera importante implementar la obligación de transparencia activa en relación con las prestaciones en salud sexual y reproductiva a las que tienen derecho las mujeres en Bolivia. Ello impone al Estado la obligación de suministrar al público la máxima cantidad de información en forma oficiosa, entre otros, respecto</w:t>
      </w:r>
      <w:r w:rsidRPr="00BB63D0">
        <w:rPr>
          <w:szCs w:val="20"/>
        </w:rPr>
        <w:t xml:space="preserve"> a la información que se requiere para el acceso a dichas prestaciones. Dicha información debe ser completa, comprensible, brindarse en un lenguaje accesible y encontrarse actualizada. Asimismo, dado que sectores importantes de la población no tienen acceso a las nuevas tecnologías y, sin embargo, muchos de sus derechos pueden depender de que conozcan la información sobre cómo hacerlos efectivos, el Estado debe encontrar formas eficaces para realizar la obligación de transparencia activa en tales circunstancias.</w:t>
      </w:r>
    </w:p>
    <w:p w14:paraId="5FABD442" w14:textId="77777777" w:rsidR="003A3485" w:rsidRPr="00BB63D0" w:rsidRDefault="003A3485" w:rsidP="00BB63D0">
      <w:pPr>
        <w:rPr>
          <w:szCs w:val="20"/>
        </w:rPr>
      </w:pPr>
      <w:r w:rsidRPr="00BB63D0">
        <w:rPr>
          <w:szCs w:val="20"/>
        </w:rPr>
        <w:t>341.</w:t>
      </w:r>
      <w:r w:rsidRPr="00BB63D0">
        <w:rPr>
          <w:szCs w:val="20"/>
        </w:rPr>
        <w:tab/>
        <w:t xml:space="preserve">En consecuencia, la Corte considera que, en el marco de la implementación de las leyes bolivianas que regulan el acceso a la salud sexual y reproductiva, el Estado debe adoptar las medidas necesarias para asegurar que en todos los hospitales públicos y privados se obtenga el consentimiento previo, libre, pleno e informado de las mujeres ante intervenciones que impliquen una esterilización. A tal fin, la Corte, como lo ha hecho en otro caso, considera pertinente ordenar al Estado que diseñe una publicación o cartilla que desarrolle en forma sintética, clara y accesible los derechos de las mujeres en cuanto a su salud sexual y reproductiva, contemplados en los estándares internacionales, los establecidos en esta Sentencia y en las leyes internas de Bolivia, así como las obligaciones del personal médico al proveer la atención en salud sexual y reproductiva, en la que se deberá hacer </w:t>
      </w:r>
      <w:r w:rsidRPr="00BB63D0">
        <w:rPr>
          <w:szCs w:val="20"/>
        </w:rPr>
        <w:lastRenderedPageBreak/>
        <w:t>mención específica al consentimiento previo, libre, pleno e informado. Dicha publicación deberá estar disponible en todos los hospitales públicos y privados de Bolivia, tanto para las pacientes como para el personal médico, así como en el sitio web del Ministerio de Salud y Previsión Social. Asimismo, debe darse acceso a dicha cartilla o publicación a través de la Defensoría del Pueblo y los organismos de la sociedad civil vinculados al tema. El Estado deberá informar anualmente sobre la implementación de esta medida por un período de tres años una vez se inicie la implementación de dicho mecanismo.</w:t>
      </w:r>
    </w:p>
    <w:p w14:paraId="5DFAD838" w14:textId="5C6F6989" w:rsidR="003A3485" w:rsidRPr="00BB63D0" w:rsidRDefault="003A3485" w:rsidP="00D1740E">
      <w:pPr>
        <w:pStyle w:val="Ttulo2"/>
      </w:pPr>
      <w:bookmarkStart w:id="47" w:name="_Toc89017903"/>
      <w:r w:rsidRPr="00BB63D0">
        <w:t>Políticas de Salud para personas con VIH</w:t>
      </w:r>
      <w:bookmarkEnd w:id="47"/>
    </w:p>
    <w:p w14:paraId="3CFAB448" w14:textId="77777777" w:rsidR="003A3485" w:rsidRPr="00BB63D0" w:rsidRDefault="003A3485" w:rsidP="00144170">
      <w:pPr>
        <w:pStyle w:val="Caso"/>
      </w:pPr>
      <w:r w:rsidRPr="00BB63D0">
        <w:t>Corte IDH. Caso Cuscul Pivaral y otros Vs. Guatemala. Excepción Preliminar, Fondo, Reparaciones y Costas. Sentencia de 23 de agosto de 2018. Serie C No. 359</w:t>
      </w:r>
    </w:p>
    <w:p w14:paraId="78E2F94E" w14:textId="2E1FF1EB" w:rsidR="003A3485" w:rsidRPr="00BB63D0" w:rsidRDefault="003A3485" w:rsidP="00BB63D0">
      <w:pPr>
        <w:rPr>
          <w:szCs w:val="20"/>
        </w:rPr>
      </w:pPr>
      <w:r w:rsidRPr="00BB63D0">
        <w:rPr>
          <w:szCs w:val="20"/>
        </w:rPr>
        <w:t>225.</w:t>
      </w:r>
      <w:r w:rsidRPr="00BB63D0">
        <w:rPr>
          <w:szCs w:val="20"/>
        </w:rPr>
        <w:tab/>
        <w:t xml:space="preserve">En primer lugar, la Corte considera que el Estado debe implementar mecanismos efectivos de fiscalización y supervisión periódica de los hospitales públicos a fin de asegurar que se brinde una atención integral en materia de salud para personas que viven con el VIH, acorde a la legislación interna y a lo establecido en la presente sentencia </w:t>
      </w:r>
      <w:r w:rsidR="005B7B62">
        <w:rPr>
          <w:szCs w:val="20"/>
        </w:rPr>
        <w:t>[...]</w:t>
      </w:r>
      <w:r w:rsidRPr="00BB63D0">
        <w:rPr>
          <w:szCs w:val="20"/>
        </w:rPr>
        <w:t>. Para ello, el Estado deberá instaurar un sistema de información sobre el alcance de la epidemia del VIH en el país, el cual deberá contener información estadística de las personas atendidas por el sistema de salud público, así como información estadística sobre el sexo, edad, etnia, lengua y condición socioeconómica de los pacientes. Igualmente debe instaurar un sistema que le permita hacer un diagnóstico de la atención prestada a la población que vive con el VIH, para lo cual deberá establecer el número de establecimientos que atienden a esta población, su ubicación geográfica e infraestructura. Este diagnóstico servirá de base para la elaboración del mecanismo de mejoramiento de accesibilidad, disponibilidad y calidad de las prestaciones en materia de salud para la población que vive con el VIH a que se refiere el párrafo siguiente.</w:t>
      </w:r>
    </w:p>
    <w:p w14:paraId="36832CA8" w14:textId="77777777" w:rsidR="003A3485" w:rsidRPr="00BB63D0" w:rsidRDefault="003A3485" w:rsidP="00BB63D0">
      <w:pPr>
        <w:rPr>
          <w:szCs w:val="20"/>
        </w:rPr>
      </w:pPr>
      <w:r w:rsidRPr="00BB63D0">
        <w:rPr>
          <w:szCs w:val="20"/>
        </w:rPr>
        <w:t>226.</w:t>
      </w:r>
      <w:r w:rsidRPr="00BB63D0">
        <w:rPr>
          <w:szCs w:val="20"/>
        </w:rPr>
        <w:tab/>
        <w:t xml:space="preserve">El Estado debe diseñar un mecanismo para garantizar la accesibilidad, disponibilidad y calidad de los </w:t>
      </w:r>
      <w:proofErr w:type="spellStart"/>
      <w:r w:rsidRPr="00BB63D0">
        <w:rPr>
          <w:szCs w:val="20"/>
        </w:rPr>
        <w:t>antrirretrovirales</w:t>
      </w:r>
      <w:proofErr w:type="spellEnd"/>
      <w:r w:rsidRPr="00BB63D0">
        <w:rPr>
          <w:szCs w:val="20"/>
        </w:rPr>
        <w:t>, los exámenes diagnósticos y las prestaciones en salud para la población con el VIH. Este mecanismo debe cumplir los siguientes objetivos mínimos, los cuales deberán ser cumplidos por medio de las acciones que establezcan las entidades estatales, y cuyas metas serán medidas de acuerdo con los indicadores que se establezcan en el marco de una política pública participativa: i) aumentar la disponibilidad, accesibilidad y calidad de medicamentos antirretrovirales, de pruebas diagnósticas para la detección del VIH y para el diagnóstico y tratamiento de enfermedades oportunistas, ii) mejorar los programas de atención a la población que vive con el VIH y aumentar la cobertura de atención, iii) aumentar y mejorar las medidas inmediatas y urgentes en materia de atención en salud a la población con VIH, iv) mejorar la información disponible para la toma de decisiones por todas las autoridades competentes. Asimismo, para que el diseño e implementación de este mecanismo sea efectivo, el Estado deberá convocar la participación de la comunidad médica, de personas que viven con el VIH que sean usuarios del sistema de salud, y de organizaciones que los representen, y de la Procuraduría de los Derechos Humanos de Guatemala en lo que respecta a la fijación de prioridades de atención, la adopción de decisiones, la planificación y la evaluación de estrategias para la mejor atención de la salud.</w:t>
      </w:r>
    </w:p>
    <w:p w14:paraId="615504AB" w14:textId="77777777" w:rsidR="003A3485" w:rsidRPr="00BB63D0" w:rsidRDefault="003A3485" w:rsidP="00BB63D0">
      <w:pPr>
        <w:rPr>
          <w:szCs w:val="20"/>
        </w:rPr>
      </w:pPr>
      <w:r w:rsidRPr="00BB63D0">
        <w:rPr>
          <w:szCs w:val="20"/>
        </w:rPr>
        <w:t>227.</w:t>
      </w:r>
      <w:r w:rsidRPr="00BB63D0">
        <w:rPr>
          <w:szCs w:val="20"/>
        </w:rPr>
        <w:tab/>
        <w:t xml:space="preserve">En segundo lugar, el Tribunal estima necesario que el Estado implemente un programa de capacitación para funcionarios del sistema de salud, que laboren en hospitales y unidades de atención médica que atiendan personas con VIH en Guatemala, acerca de los estándares internacionales y la legislación nacional en materia de tratamiento integral para personas que viven con el VIH. Estas capacitaciones deberán incluir información acerca de las mejores prácticas de </w:t>
      </w:r>
      <w:r w:rsidRPr="00BB63D0">
        <w:rPr>
          <w:szCs w:val="20"/>
        </w:rPr>
        <w:lastRenderedPageBreak/>
        <w:t>atención, sobre los derechos de los pacientes y las obligaciones de las autoridades. Asimismo, estas capacitaciones deberán ser impartidas, durante un tiempo razonable, por personal médico y jurídico especializado en la materia, y deberán ser realizadas con perspectiva de género.</w:t>
      </w:r>
    </w:p>
    <w:p w14:paraId="15A0F395" w14:textId="77777777" w:rsidR="003A3485" w:rsidRPr="00BB63D0" w:rsidRDefault="003A3485" w:rsidP="00BB63D0">
      <w:pPr>
        <w:rPr>
          <w:szCs w:val="20"/>
        </w:rPr>
      </w:pPr>
      <w:r w:rsidRPr="00BB63D0">
        <w:rPr>
          <w:szCs w:val="20"/>
        </w:rPr>
        <w:t>228.</w:t>
      </w:r>
      <w:r w:rsidRPr="00BB63D0">
        <w:rPr>
          <w:szCs w:val="20"/>
        </w:rPr>
        <w:tab/>
        <w:t xml:space="preserve">En tercer lugar, el Estado deberá garantizar que las mujeres embarazadas tengan acceso a una prueba de VIH, y que les sea practicada si así lo desean. El Estado deberá dar seguimiento periódico a aquellas mujeres embarazadas que viven con el VIH, y deberá proveer el tratamiento médico adecuado para evitar la transmisión vertical del virus, sin perjuicio de lo establecido en el párrafo 226 de la presente Sentencia. Para este fin, como lo ha hecho en otros casos, la Corte ordena al Estado diseñar una publicación o cartilla en forma sintética, clara y accesible sobre los medios de prevención de la </w:t>
      </w:r>
      <w:proofErr w:type="spellStart"/>
      <w:r w:rsidRPr="00BB63D0">
        <w:rPr>
          <w:szCs w:val="20"/>
        </w:rPr>
        <w:t>transimisión</w:t>
      </w:r>
      <w:proofErr w:type="spellEnd"/>
      <w:r w:rsidRPr="00BB63D0">
        <w:rPr>
          <w:szCs w:val="20"/>
        </w:rPr>
        <w:t xml:space="preserve"> del VIH y sobre el riesgo de transmisión vertical de éste, así como los recursos disponibles para minimizar ese riesgo. Dicha publicación deberá estar disponible en todos los hospitales públicos y privados de Guatemala, tanto para los pacientes como para el personal médico. Asimismo, debe darse acceso a dicha cartilla o publicación a través de los organismos de la sociedad civil vinculados al tema.</w:t>
      </w:r>
    </w:p>
    <w:p w14:paraId="5AAD5E57" w14:textId="77777777" w:rsidR="003A3485" w:rsidRPr="00BB63D0" w:rsidRDefault="003A3485" w:rsidP="00BB63D0">
      <w:pPr>
        <w:rPr>
          <w:szCs w:val="20"/>
        </w:rPr>
      </w:pPr>
      <w:r w:rsidRPr="00BB63D0">
        <w:rPr>
          <w:szCs w:val="20"/>
        </w:rPr>
        <w:t>229.</w:t>
      </w:r>
      <w:r w:rsidRPr="00BB63D0">
        <w:rPr>
          <w:szCs w:val="20"/>
        </w:rPr>
        <w:tab/>
        <w:t>En cuarto lugar, como una forma de contribuir a que hechos como los del presente caso no se repitan, la Corte estima conveniente ordenar al Estado la realización de una campaña nacional de concientización y sensibilización, dirigida a personas que viven con el VIH, funcionarios públicos, y la población general, sobre los derechos de las personas que viven con el VIH, sobre las obligaciones que las autoridades tienen en su atención, y sobre la necesidad de respetar a las personas que viven con esta condición. Esta campaña deberá estar dirigida a combatir el estigma y la falta de información sobre las causas y consecuencias para la salud de las personas que viven con el VIH. Asimismo, la campaña deberá tener perspectiva de género y deberá ser comprensible para toda la población.</w:t>
      </w:r>
    </w:p>
    <w:p w14:paraId="480906D2" w14:textId="350A5DB8" w:rsidR="003A3485" w:rsidRPr="00BB63D0" w:rsidRDefault="003A3485" w:rsidP="00BB63D0">
      <w:pPr>
        <w:rPr>
          <w:szCs w:val="20"/>
        </w:rPr>
      </w:pPr>
      <w:r w:rsidRPr="00BB63D0">
        <w:rPr>
          <w:szCs w:val="20"/>
        </w:rPr>
        <w:t>230.</w:t>
      </w:r>
      <w:r w:rsidRPr="00BB63D0">
        <w:rPr>
          <w:szCs w:val="20"/>
        </w:rPr>
        <w:tab/>
        <w:t xml:space="preserve">El Estado deberá informar anualmente sobre los avances de las garantías de no repetición antes mencionadas </w:t>
      </w:r>
      <w:r w:rsidR="005B7B62">
        <w:rPr>
          <w:szCs w:val="20"/>
        </w:rPr>
        <w:t>[...]</w:t>
      </w:r>
      <w:r w:rsidRPr="00BB63D0">
        <w:rPr>
          <w:szCs w:val="20"/>
        </w:rPr>
        <w:t xml:space="preserve"> por un periodo de tres años. La Corte valorará esta información en su supervisión y se pronunciará al respecto.</w:t>
      </w:r>
    </w:p>
    <w:p w14:paraId="1D57909D" w14:textId="2FFC18C3" w:rsidR="003A3485" w:rsidRPr="00BB63D0" w:rsidRDefault="003A3485" w:rsidP="00D1740E">
      <w:pPr>
        <w:pStyle w:val="Ttulo2"/>
      </w:pPr>
      <w:bookmarkStart w:id="48" w:name="_Toc89017904"/>
      <w:r w:rsidRPr="00BB63D0">
        <w:t>Políticas de Salud para personas mayores</w:t>
      </w:r>
      <w:bookmarkEnd w:id="48"/>
    </w:p>
    <w:p w14:paraId="7B4283BA" w14:textId="77777777" w:rsidR="003A3485" w:rsidRPr="00BB63D0" w:rsidRDefault="003A3485" w:rsidP="00144170">
      <w:pPr>
        <w:pStyle w:val="Caso"/>
      </w:pPr>
      <w:r w:rsidRPr="00BB63D0">
        <w:t>Corte IDH. Caso Poblete Vilches y otros Vs. Chile. Fondo, Reparaciones y Costas. Sentencia de 8 de marzo de 2018. Serie C No. 349</w:t>
      </w:r>
    </w:p>
    <w:p w14:paraId="41C470DA" w14:textId="77777777" w:rsidR="003A3485" w:rsidRPr="00BB63D0" w:rsidRDefault="003A3485" w:rsidP="00BB63D0">
      <w:pPr>
        <w:rPr>
          <w:szCs w:val="20"/>
        </w:rPr>
      </w:pPr>
      <w:r w:rsidRPr="00BB63D0">
        <w:rPr>
          <w:szCs w:val="20"/>
        </w:rPr>
        <w:t>239.</w:t>
      </w:r>
      <w:r w:rsidRPr="00BB63D0">
        <w:rPr>
          <w:szCs w:val="20"/>
        </w:rPr>
        <w:tab/>
        <w:t xml:space="preserve">Respecto de la solicitud de las representantes de crear un hospital especializado en el trato médico de adultos mayores, o en su defecto la habilitación de una ala especializada para el adulto mayor dentro de los hospitales ya existentes y de robustecer la </w:t>
      </w:r>
      <w:r w:rsidRPr="00144170">
        <w:rPr>
          <w:szCs w:val="20"/>
        </w:rPr>
        <w:t>responsabilidad civil y penal de los servidores de salud en estos casos, el Tribunal toma nota de la existencia del “Instituto Nacional de Geriatría” en el mejoramiento de la atención médica a las personas adultas mayores en Chile, por lo que insta al Estado fortalecer esta institución y su incidencia en la red hospitalaria tanto pública como privada, vinculándose también en la capacitación dispuesta en el párrafo 237. En razón de las</w:t>
      </w:r>
      <w:r w:rsidRPr="00BB63D0">
        <w:rPr>
          <w:szCs w:val="20"/>
        </w:rPr>
        <w:t xml:space="preserve"> particularidades de esta medida, la Corte no supervisará el cumplimiento de este punto.</w:t>
      </w:r>
    </w:p>
    <w:p w14:paraId="282A45D2" w14:textId="77777777" w:rsidR="003A3485" w:rsidRPr="00BB63D0" w:rsidRDefault="003A3485" w:rsidP="00BB63D0">
      <w:pPr>
        <w:rPr>
          <w:szCs w:val="20"/>
        </w:rPr>
      </w:pPr>
      <w:r w:rsidRPr="00BB63D0">
        <w:rPr>
          <w:szCs w:val="20"/>
        </w:rPr>
        <w:t>240.</w:t>
      </w:r>
      <w:r w:rsidRPr="00BB63D0">
        <w:rPr>
          <w:szCs w:val="20"/>
        </w:rPr>
        <w:tab/>
        <w:t xml:space="preserve">Como lo ha hecho en otro </w:t>
      </w:r>
      <w:r w:rsidRPr="00144170">
        <w:rPr>
          <w:szCs w:val="20"/>
        </w:rPr>
        <w:t>caso, estima pertinente ordenar al Estado que diseñe una publicación o cartilla que desarrolle en forma sintética, clara y accesible los derechos de las personas mayores en relación con la salud, contemplados en los estándares establecidos en esta Sentencia, así como las obligaciones del personal médico al proveer la atención médica</w:t>
      </w:r>
      <w:r w:rsidRPr="00BB63D0">
        <w:rPr>
          <w:szCs w:val="20"/>
        </w:rPr>
        <w:t xml:space="preserve">. Dicha publicación (impresa y/o digital) deberá estar disponible en todos los hospitales públicos y privados de Chile, tanto para los y las pacientes como para el personal médico, así como en el sitio web del Ministerio </w:t>
      </w:r>
      <w:r w:rsidRPr="00BB63D0">
        <w:rPr>
          <w:szCs w:val="20"/>
        </w:rPr>
        <w:lastRenderedPageBreak/>
        <w:t xml:space="preserve">de Salud. El Estado deberá informar anualmente sobre la implementación de esta medida por un período de tres años, una vez se inicie la implementación de dicho mecanismo. </w:t>
      </w:r>
    </w:p>
    <w:p w14:paraId="78C54EF8" w14:textId="77777777" w:rsidR="003A3485" w:rsidRPr="00BB63D0" w:rsidRDefault="003A3485" w:rsidP="00BB63D0">
      <w:pPr>
        <w:rPr>
          <w:szCs w:val="20"/>
        </w:rPr>
      </w:pPr>
      <w:r w:rsidRPr="00BB63D0">
        <w:rPr>
          <w:szCs w:val="20"/>
        </w:rPr>
        <w:t>241.</w:t>
      </w:r>
      <w:r w:rsidRPr="00BB63D0">
        <w:rPr>
          <w:szCs w:val="20"/>
        </w:rPr>
        <w:tab/>
        <w:t xml:space="preserve">Finalmente, la </w:t>
      </w:r>
      <w:r w:rsidRPr="00144170">
        <w:rPr>
          <w:szCs w:val="20"/>
        </w:rPr>
        <w:t>Corte dispone que el Estado adopte las medidas necesarias, a fin de diseñar una política general de protección integral a las personas mayores, de conformidad con los estándares en la materia. Para ello, el Estado deberá implementar la misma</w:t>
      </w:r>
      <w:r w:rsidRPr="00BB63D0">
        <w:rPr>
          <w:szCs w:val="20"/>
        </w:rPr>
        <w:t xml:space="preserve"> durante el plazo de tres años, a partir de la notificación de la Sentencia.</w:t>
      </w:r>
    </w:p>
    <w:p w14:paraId="691AD35C" w14:textId="3AD0E100" w:rsidR="00960898" w:rsidRDefault="00960898" w:rsidP="00960898">
      <w:pPr>
        <w:pStyle w:val="Ttulo2"/>
      </w:pPr>
      <w:bookmarkStart w:id="49" w:name="_Toc89017905"/>
      <w:r>
        <w:t>Medidas</w:t>
      </w:r>
      <w:r w:rsidR="001D3A7C">
        <w:t xml:space="preserve"> d</w:t>
      </w:r>
      <w:r w:rsidRPr="00960898">
        <w:t xml:space="preserve">e Salud para personas </w:t>
      </w:r>
      <w:r>
        <w:t>en situación de discapacidad</w:t>
      </w:r>
      <w:bookmarkEnd w:id="49"/>
    </w:p>
    <w:p w14:paraId="2949582C" w14:textId="2CF70814" w:rsidR="00960898" w:rsidRDefault="00960898" w:rsidP="001D3A7C">
      <w:pPr>
        <w:pStyle w:val="Caso"/>
        <w:rPr>
          <w:lang w:val="es-CR"/>
        </w:rPr>
      </w:pPr>
      <w:r w:rsidRPr="00960898">
        <w:rPr>
          <w:lang w:val="es-CR"/>
        </w:rPr>
        <w:t>Corte IDH. Caso Vera Rojas y otros Vs. Chile. Excepciones preliminares, Fondo, Reparaciones y Costas. Sentencia de 1 de octubre de 2021. Serie C No. 439</w:t>
      </w:r>
    </w:p>
    <w:p w14:paraId="4E9C2887" w14:textId="77777777" w:rsidR="001D3A7C" w:rsidRDefault="001D3A7C" w:rsidP="001D3A7C">
      <w:r>
        <w:t>164.</w:t>
      </w:r>
      <w:r>
        <w:tab/>
        <w:t xml:space="preserve">Este Tribunal concluyó que el Estado es responsable por la violación de los derechos a la vida, la vida digna, la integridad personal, la niñez, la salud y la seguridad social, en relación con la obligación de garantizar los derechos sin discriminación, y el deber de adoptar disposiciones de derecho interno, en perjuicio de Martina Vera Rojas. Asimismo, determinó que los padres de Martina sufrieron efectos psicológicos y físicos, afectando así a todo el núcleo familiar, y en esa medida constituyeron violaciones al derecho a su integridad personal. En este punto, el Tribunal destaca que los efectos físicos sufridos por el señor Vera </w:t>
      </w:r>
      <w:proofErr w:type="spellStart"/>
      <w:r>
        <w:t>Luza</w:t>
      </w:r>
      <w:proofErr w:type="spellEnd"/>
      <w:r>
        <w:t>, quien es el sustento económico de la familia Vera Rojas, le produjeron una discapacidad visual que incluso ha afectado su posibilidad de acudir a trabajar.</w:t>
      </w:r>
    </w:p>
    <w:p w14:paraId="6EFA78AD" w14:textId="77777777" w:rsidR="001D3A7C" w:rsidRDefault="001D3A7C" w:rsidP="001D3A7C">
      <w:r>
        <w:t>165.</w:t>
      </w:r>
      <w:r>
        <w:tab/>
        <w:t xml:space="preserve">Por lo anterior, este Tribunal considera que, ante la delicada situación de salud de Martina Vera, y las afectaciones a la salud que sufrieron sus padres ante el retiro del RHD, lo que podría comprometer su posibilidad futura de cubrir los costos del CAEC, como medida de restitución, el Estado debe asegurar la vigencia del tratamiento médico de Martina Vera, en las condiciones que se encuentran actualmente, así como aquellos tratamientos que pudiera necesitar en el futuro con motivo de su enfermedad. El Estado deberá asegurar este tratamiento en caso de fallecimiento de sus padres, o porque se vean imposibilitados de cotizar en el plan de salud de la </w:t>
      </w:r>
      <w:proofErr w:type="spellStart"/>
      <w:r>
        <w:t>Isapre</w:t>
      </w:r>
      <w:proofErr w:type="spellEnd"/>
      <w:r>
        <w:t>, o pagar el deducible de cobertura del CAEC, por motivos de enfermedad, vejez, o condiciones salariales. En el cumplimiento de este compromiso, el Estado deberá suscribir, en un plazo de seis meses contado a partir de la notificación de la presente Sentencia, un acto jurídico que brinde seguridad jurídica sobre el cumplimiento de esta obligación.</w:t>
      </w:r>
    </w:p>
    <w:p w14:paraId="6266E10A" w14:textId="77777777" w:rsidR="001D3A7C" w:rsidRDefault="001D3A7C" w:rsidP="001D3A7C">
      <w:r>
        <w:t>166.</w:t>
      </w:r>
      <w:r>
        <w:tab/>
        <w:t>Por otro lado, la Corte recuerda que Martina se encuentra en una situación de extrema vulnerabilidad que requiere de un entorno adecuado para preservar su salud, su vida, su integridad personal, y gozar de una vida digna. Asimismo, este Tribunal advierte que han existido problemas en los servicios de salud que son prestados por los proveedores de salud de Martina, y que debido a su condición de salud puede ser necesario que deba trasladarse a un hospital para recibir tratamientos médicos especializados. En ese sentido, el Tribunal considera pertinente ordenar que el Estado entregue a Martina, en un plazo de seis meses, una silla de ruedas neurológica que le permita realizar los traslados al hospital cuando esto sea necesario. Esta silla deberá cumplir con los requerimientos médicos y tecnológicos necesarios para su traslado seguro a un centro hospitalario, previniendo posibles riesgos derivados del mismo.</w:t>
      </w:r>
    </w:p>
    <w:p w14:paraId="2A6EC328" w14:textId="53CC5F0A" w:rsidR="00960898" w:rsidRDefault="001D3A7C" w:rsidP="001D3A7C">
      <w:r>
        <w:t>167.</w:t>
      </w:r>
      <w:r>
        <w:tab/>
        <w:t xml:space="preserve">Adicionalmente, en razón de la afectación del derecho a la integridad personal de los padres de Martina, la Corte dispone, como medida de rehabilitación, la obligación a cargo del Estado de brindar gratuitamente, a través de instituciones de </w:t>
      </w:r>
      <w:r>
        <w:lastRenderedPageBreak/>
        <w:t xml:space="preserve">salud públicas especializadas, o personal de salud especializado, y de forma inmediata, oportuna, adecuada y efectiva, el tratamiento médico y psicológico y/o psiquiátrico a Carolina Andrea del Pilar Rojas Farías y Ramiro Álvaro Vera </w:t>
      </w:r>
      <w:proofErr w:type="spellStart"/>
      <w:r>
        <w:t>Luza</w:t>
      </w:r>
      <w:proofErr w:type="spellEnd"/>
      <w:r>
        <w:t xml:space="preserve">. Este tratamiento deberá incluir lo siguiente: a) apoyo </w:t>
      </w:r>
      <w:proofErr w:type="spellStart"/>
      <w:r>
        <w:t>psicoterapeútico</w:t>
      </w:r>
      <w:proofErr w:type="spellEnd"/>
      <w:r>
        <w:t>, relajación aplicada y meditación; b) manejo farmacológico y no farmacológico de síntomas ansiosos; y c) terapias cognitivo conductuales centradas en el trauma que vivieron, para combatir los síntomas del estrés postraumático228.</w:t>
      </w:r>
    </w:p>
    <w:p w14:paraId="44737D73" w14:textId="641F939C" w:rsidR="003A3485" w:rsidRPr="00BB63D0" w:rsidRDefault="003A3485" w:rsidP="00D1740E">
      <w:pPr>
        <w:pStyle w:val="Ttulo2"/>
      </w:pPr>
      <w:bookmarkStart w:id="50" w:name="_Toc89017906"/>
      <w:r w:rsidRPr="00BB63D0">
        <w:t>Aplicación del control de convencionalidad</w:t>
      </w:r>
      <w:bookmarkEnd w:id="50"/>
    </w:p>
    <w:p w14:paraId="307F8C93" w14:textId="77777777" w:rsidR="003A3485" w:rsidRPr="00BB63D0" w:rsidRDefault="003A3485" w:rsidP="00BB63D0">
      <w:pPr>
        <w:rPr>
          <w:b/>
          <w:szCs w:val="20"/>
        </w:rPr>
      </w:pPr>
      <w:r w:rsidRPr="00BB63D0">
        <w:rPr>
          <w:b/>
          <w:szCs w:val="20"/>
        </w:rPr>
        <w:t>Corte IDH. Caso Atala Riffo y niñas Vs. Chile. Fondo, Reparaciones y Costas. Sentencia de 24 de febrero de 2012. Serie C No. 239</w:t>
      </w:r>
    </w:p>
    <w:p w14:paraId="28409F46" w14:textId="77777777" w:rsidR="003A3485" w:rsidRPr="00BB63D0" w:rsidRDefault="003A3485" w:rsidP="00BB63D0">
      <w:pPr>
        <w:rPr>
          <w:szCs w:val="20"/>
        </w:rPr>
      </w:pPr>
      <w:r w:rsidRPr="00BB63D0">
        <w:rPr>
          <w:szCs w:val="20"/>
        </w:rPr>
        <w:t>281.</w:t>
      </w:r>
      <w:r w:rsidRPr="00BB63D0">
        <w:rPr>
          <w:szCs w:val="20"/>
        </w:rPr>
        <w:tab/>
        <w:t xml:space="preserve">De otra parte, conforme lo ha establecido en su jurisprudencia previa, este Tribunal recuerda que es consciente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y demás órganos vinculados a la administración de justicia, también están sometidos a aquél, lo cual les obliga a velar para que los efectos de las disposiciones de la Convención no se vean mermados por la aplicación de normas contrarias a su objeto y fin. </w:t>
      </w:r>
    </w:p>
    <w:p w14:paraId="522AF8ED" w14:textId="77777777" w:rsidR="003A3485" w:rsidRPr="00BB63D0" w:rsidRDefault="003A3485" w:rsidP="00BB63D0">
      <w:pPr>
        <w:rPr>
          <w:szCs w:val="20"/>
        </w:rPr>
      </w:pPr>
      <w:r w:rsidRPr="00BB63D0">
        <w:rPr>
          <w:szCs w:val="20"/>
        </w:rPr>
        <w:t>282.</w:t>
      </w:r>
      <w:r w:rsidRPr="00BB63D0">
        <w:rPr>
          <w:szCs w:val="20"/>
        </w:rPr>
        <w:tab/>
        <w:t xml:space="preserve">Los jueces y órganos vinculados a la administración de justicia en todos los niveles están en la obligación de ejercer ex officio un “control de convencionalidad” entre las normas internas y la Convención Americana,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 </w:t>
      </w:r>
    </w:p>
    <w:p w14:paraId="559C744A" w14:textId="77777777" w:rsidR="003A3485" w:rsidRPr="00BB63D0" w:rsidRDefault="003A3485" w:rsidP="00BB63D0">
      <w:pPr>
        <w:rPr>
          <w:szCs w:val="20"/>
        </w:rPr>
      </w:pPr>
      <w:r w:rsidRPr="00BB63D0">
        <w:rPr>
          <w:szCs w:val="20"/>
        </w:rPr>
        <w:t>283.</w:t>
      </w:r>
      <w:r w:rsidRPr="00BB63D0">
        <w:rPr>
          <w:szCs w:val="20"/>
        </w:rPr>
        <w:tab/>
        <w:t xml:space="preserve">Así, por ejemplo, tribunales de la más alta jerarquía en la región, tales como la Sala Constitucional de la Corte Suprema de Justicia de Costa Rica, el Tribunal Constitucional de Bolivia, la Suprema Corte de Justicia de República Dominicana, el Tribunal Constitucional del Perú, la Corte Suprema de Justicia de la Nación de Argentina, la Corte Constitucional de Colombia, la Suprema Corte de la Nación de México y la Corte Suprema de Panamá se han referido y han aplicado el control de convencionalidad teniendo en cuenta interpretaciones efectuadas por la Corte Interamericana. </w:t>
      </w:r>
    </w:p>
    <w:p w14:paraId="6E260CB4" w14:textId="77777777" w:rsidR="003A3485" w:rsidRPr="00BB63D0" w:rsidRDefault="003A3485" w:rsidP="00BB63D0">
      <w:pPr>
        <w:rPr>
          <w:szCs w:val="20"/>
        </w:rPr>
      </w:pPr>
      <w:r w:rsidRPr="00BB63D0">
        <w:rPr>
          <w:szCs w:val="20"/>
        </w:rPr>
        <w:t>284.</w:t>
      </w:r>
      <w:r w:rsidRPr="00BB63D0">
        <w:rPr>
          <w:szCs w:val="20"/>
        </w:rPr>
        <w:tab/>
        <w:t>En conclusión, con base en el control de convencionalidad, es necesario que las interpretaciones judiciales y administrativas y las garantías judiciales se apliquen adecuándose a los principios establecidos en la jurisprudencia de este Tribunal en el presente caso. Ello es de particular relevancia en relación con lo señalado en el presente caso respecto a la proscripción de la discriminación por la orientación sexual de la persona de acuerdo a lo estipulado en el artículo 1.1. de la Convención Americana […].</w:t>
      </w:r>
    </w:p>
    <w:p w14:paraId="44C23CB7" w14:textId="77777777" w:rsidR="003A3485" w:rsidRPr="00BB63D0" w:rsidRDefault="003A3485" w:rsidP="00BB63D0">
      <w:pPr>
        <w:rPr>
          <w:b/>
          <w:szCs w:val="20"/>
        </w:rPr>
      </w:pPr>
      <w:r w:rsidRPr="00BB63D0">
        <w:rPr>
          <w:b/>
          <w:szCs w:val="20"/>
        </w:rPr>
        <w:t xml:space="preserve">Corte IDH. Caso </w:t>
      </w:r>
      <w:proofErr w:type="spellStart"/>
      <w:r w:rsidRPr="00BB63D0">
        <w:rPr>
          <w:b/>
          <w:szCs w:val="20"/>
        </w:rPr>
        <w:t>Furlan</w:t>
      </w:r>
      <w:proofErr w:type="spellEnd"/>
      <w:r w:rsidRPr="00BB63D0">
        <w:rPr>
          <w:b/>
          <w:szCs w:val="20"/>
        </w:rPr>
        <w:t xml:space="preserve"> y familiares Vs. Argentina. Excepciones Preliminares, Fondo, Reparaciones y Costas. Sentencia de 31 de agosto de 2012. Serie C No. 246</w:t>
      </w:r>
    </w:p>
    <w:p w14:paraId="6AA024E6" w14:textId="77777777" w:rsidR="003A3485" w:rsidRPr="00BB63D0" w:rsidRDefault="003A3485" w:rsidP="00BB63D0">
      <w:pPr>
        <w:rPr>
          <w:szCs w:val="20"/>
        </w:rPr>
      </w:pPr>
      <w:r w:rsidRPr="00BB63D0">
        <w:rPr>
          <w:szCs w:val="20"/>
        </w:rPr>
        <w:t>302.</w:t>
      </w:r>
      <w:r w:rsidRPr="00BB63D0">
        <w:rPr>
          <w:szCs w:val="20"/>
        </w:rPr>
        <w:tab/>
        <w:t xml:space="preserve">De otra parte, conforme a lo ha establecido en su jurisprudencia previa, este Tribunal recuerda que es consciente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y demás órganos vinculados a la administración de justicia, también están sometidos a aquél, </w:t>
      </w:r>
      <w:r w:rsidRPr="00BB63D0">
        <w:rPr>
          <w:szCs w:val="20"/>
        </w:rPr>
        <w:lastRenderedPageBreak/>
        <w:t xml:space="preserve">lo cual les obliga a velar para que los efectos de las disposiciones de la Convención no se vean mermados por la aplicación de normas contrarias a su objeto y fin. </w:t>
      </w:r>
    </w:p>
    <w:p w14:paraId="1CB48564" w14:textId="77777777" w:rsidR="003A3485" w:rsidRPr="00BB63D0" w:rsidRDefault="003A3485" w:rsidP="00BB63D0">
      <w:pPr>
        <w:rPr>
          <w:szCs w:val="20"/>
        </w:rPr>
      </w:pPr>
      <w:r w:rsidRPr="00BB63D0">
        <w:rPr>
          <w:szCs w:val="20"/>
        </w:rPr>
        <w:t>303.</w:t>
      </w:r>
      <w:r w:rsidRPr="00BB63D0">
        <w:rPr>
          <w:szCs w:val="20"/>
        </w:rPr>
        <w:tab/>
        <w:t xml:space="preserve">Los jueces y órganos vinculados a la administración de justicia en todos los niveles están en la obligación de ejercer </w:t>
      </w:r>
      <w:r w:rsidRPr="00144170">
        <w:rPr>
          <w:i/>
          <w:iCs/>
          <w:szCs w:val="20"/>
        </w:rPr>
        <w:t>ex officio</w:t>
      </w:r>
      <w:r w:rsidRPr="00BB63D0">
        <w:rPr>
          <w:szCs w:val="20"/>
        </w:rPr>
        <w:t xml:space="preserve"> un “control de convencionalidad” entre las normas internas y la Convención Americana,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 </w:t>
      </w:r>
    </w:p>
    <w:p w14:paraId="546E0E24" w14:textId="77777777" w:rsidR="003A3485" w:rsidRPr="00BB63D0" w:rsidRDefault="003A3485" w:rsidP="00BB63D0">
      <w:pPr>
        <w:rPr>
          <w:szCs w:val="20"/>
        </w:rPr>
      </w:pPr>
      <w:r w:rsidRPr="00BB63D0">
        <w:rPr>
          <w:szCs w:val="20"/>
        </w:rPr>
        <w:t>304.</w:t>
      </w:r>
      <w:r w:rsidRPr="00BB63D0">
        <w:rPr>
          <w:szCs w:val="20"/>
        </w:rPr>
        <w:tab/>
        <w:t xml:space="preserve">Así, por ejemplo, tribunales de la más alta jerarquía en la región, tales como la Sala Constitucional de la Corte Suprema de Justicia de Costa Rica, el Tribunal Constitucional de Bolivia, la Suprema Corte de Justicia de República Dominicana, el Tribunal Constitucional del Perú, la Corte Suprema de Justicia de la Nación de Argentina, la Corte Constitucional de Colombia, la Suprema Corte de la Nación de México y la Corte Suprema de Panamá se han referido y han aplicado el control de convencionalidad teniendo en cuenta interpretaciones efectuadas por la Corte Interamericana. </w:t>
      </w:r>
    </w:p>
    <w:p w14:paraId="1D21597D" w14:textId="77777777" w:rsidR="003A3485" w:rsidRPr="00BB63D0" w:rsidRDefault="003A3485" w:rsidP="00BB63D0">
      <w:pPr>
        <w:rPr>
          <w:szCs w:val="20"/>
        </w:rPr>
      </w:pPr>
      <w:r w:rsidRPr="00BB63D0">
        <w:rPr>
          <w:szCs w:val="20"/>
        </w:rPr>
        <w:t>305.</w:t>
      </w:r>
      <w:r w:rsidRPr="00BB63D0">
        <w:rPr>
          <w:szCs w:val="20"/>
        </w:rPr>
        <w:tab/>
        <w:t>En conclusión, con base en el control de convencionalidad, es necesario que las interpretaciones judiciales y administrativas y las garantías judiciales se apliquen adecuándose a los principios establecidos en la jurisprudencia de este Tribunal en el presente caso. Ello es de particular relevancia en relación con lo señalado en el presente caso respecto a la necesidad de tener en cuenta las situaciones de vulnerabilidad que pueda afrontar una persona, especialmente cuando se trate de menores de edad o personas con discapacidad, con el fin de que se les garantice un trato preferencial respecto a la duración de los procesos judiciales y en el marco de los procesos en que se disponga el pago de indemnizaciones ordenadas judicialmente […].</w:t>
      </w:r>
    </w:p>
    <w:p w14:paraId="2372E528" w14:textId="77103ABE" w:rsidR="003A3485" w:rsidRPr="00BB63D0" w:rsidRDefault="003A3485" w:rsidP="00D1740E">
      <w:pPr>
        <w:pStyle w:val="Ttulo2"/>
      </w:pPr>
      <w:bookmarkStart w:id="51" w:name="_Toc89017907"/>
      <w:r w:rsidRPr="00BB63D0">
        <w:t>Dejar sentencias sin efecto</w:t>
      </w:r>
      <w:bookmarkEnd w:id="51"/>
    </w:p>
    <w:p w14:paraId="3D0B988F" w14:textId="77777777" w:rsidR="003A3485" w:rsidRPr="00BB63D0" w:rsidRDefault="003A3485" w:rsidP="00BB63D0">
      <w:pPr>
        <w:rPr>
          <w:b/>
          <w:szCs w:val="20"/>
        </w:rPr>
      </w:pPr>
      <w:r w:rsidRPr="00BB63D0">
        <w:rPr>
          <w:b/>
          <w:szCs w:val="20"/>
        </w:rPr>
        <w:t>Corte IDH. Caso Norín Catrimán y otros (Dirigentes, miembros y activista del Pueblo Indígena Mapuche) Vs. Chile. Fondo, Reparaciones y Costas. Sentencia de 29 de mayo de 2014. Serie C No. 279</w:t>
      </w:r>
    </w:p>
    <w:p w14:paraId="00E88111" w14:textId="77777777" w:rsidR="003A3485" w:rsidRPr="00BB63D0" w:rsidRDefault="003A3485" w:rsidP="00BB63D0">
      <w:pPr>
        <w:rPr>
          <w:szCs w:val="20"/>
        </w:rPr>
      </w:pPr>
      <w:r w:rsidRPr="00BB63D0">
        <w:rPr>
          <w:szCs w:val="20"/>
        </w:rPr>
        <w:t>421.</w:t>
      </w:r>
      <w:r w:rsidRPr="00BB63D0">
        <w:rPr>
          <w:szCs w:val="20"/>
        </w:rPr>
        <w:tab/>
        <w:t xml:space="preserve">Tal como se ha señalado en la presente Sentencia, las sentencias condenatorias expedidas en contra de las ocho víctimas de este caso -determinando su responsabilidad penal por delitos de carácter terrorista- fueron emitidas fundándose en una ley violatoria del principio de legalidad y del derecho a la presunción de inocencia […], impusieron penas accesorias que supusieron restricciones indebidas y desproporcionadas al derecho a la libertad de pensamiento y expresión […] y al ejercicio de los derechos políticos […]. Adicionalmente, la Corte encontró que en la fundamentación de las sentencias condenatorias se utilizaron razonamientos que denotan estereotipos y prejuicios, lo cual configuró una violación del principio de igualdad y no discriminación y el derecho a la igual protección de la ley […]. Aunado a ello, en el caso de los señores </w:t>
      </w:r>
      <w:proofErr w:type="spellStart"/>
      <w:r w:rsidRPr="00BB63D0">
        <w:rPr>
          <w:szCs w:val="20"/>
        </w:rPr>
        <w:t>Pichún</w:t>
      </w:r>
      <w:proofErr w:type="spellEnd"/>
      <w:r w:rsidRPr="00BB63D0">
        <w:rPr>
          <w:szCs w:val="20"/>
        </w:rPr>
        <w:t xml:space="preserve"> </w:t>
      </w:r>
      <w:proofErr w:type="spellStart"/>
      <w:r w:rsidRPr="00BB63D0">
        <w:rPr>
          <w:szCs w:val="20"/>
        </w:rPr>
        <w:t>Paillalao</w:t>
      </w:r>
      <w:proofErr w:type="spellEnd"/>
      <w:r w:rsidRPr="00BB63D0">
        <w:rPr>
          <w:szCs w:val="20"/>
        </w:rPr>
        <w:t xml:space="preserve"> y </w:t>
      </w:r>
      <w:proofErr w:type="spellStart"/>
      <w:r w:rsidRPr="00BB63D0">
        <w:rPr>
          <w:szCs w:val="20"/>
        </w:rPr>
        <w:t>Ancalaf</w:t>
      </w:r>
      <w:proofErr w:type="spellEnd"/>
      <w:r w:rsidRPr="00BB63D0">
        <w:rPr>
          <w:szCs w:val="20"/>
        </w:rPr>
        <w:t xml:space="preserve"> </w:t>
      </w:r>
      <w:proofErr w:type="spellStart"/>
      <w:r w:rsidRPr="00BB63D0">
        <w:rPr>
          <w:szCs w:val="20"/>
        </w:rPr>
        <w:t>Llaupe</w:t>
      </w:r>
      <w:proofErr w:type="spellEnd"/>
      <w:r w:rsidRPr="00BB63D0">
        <w:rPr>
          <w:szCs w:val="20"/>
        </w:rPr>
        <w:t xml:space="preserve"> se produjeron violaciones al derecho de la defensa protegido en el artículo 8.2.f de la Convención […] y con respecto a siete de las víctimas de este caso se les violó el derecho de recurrir de esos fallos penales condenatorios […]. Todo ello hace que sean condenas arbitrarias e incompatibles con la Convención Americana.</w:t>
      </w:r>
    </w:p>
    <w:p w14:paraId="72AC17DA" w14:textId="77777777" w:rsidR="003A3485" w:rsidRPr="00BB63D0" w:rsidRDefault="003A3485" w:rsidP="00BB63D0">
      <w:pPr>
        <w:rPr>
          <w:szCs w:val="20"/>
        </w:rPr>
      </w:pPr>
      <w:r w:rsidRPr="00BB63D0">
        <w:rPr>
          <w:szCs w:val="20"/>
        </w:rPr>
        <w:t>422.</w:t>
      </w:r>
      <w:r w:rsidRPr="00BB63D0">
        <w:rPr>
          <w:szCs w:val="20"/>
        </w:rPr>
        <w:tab/>
        <w:t xml:space="preserve">Por lo tanto, dadas las características del presente caso, y tal como lo ha hecho esta Corte en ocasiones anteriores, dispone que el Estado debe adoptar, en el plazo de seis meses a partir de la notificación de la presente Sentencia, todas las medidas judiciales, administrativas o de cualquier otra índole necesarias para dejar </w:t>
      </w:r>
      <w:r w:rsidRPr="00BB63D0">
        <w:rPr>
          <w:szCs w:val="20"/>
        </w:rPr>
        <w:lastRenderedPageBreak/>
        <w:t xml:space="preserve">sin efecto en todos sus extremos las sentencias penales condenatorias emitidas en contra de los señores Segundo Aniceto Norín Catrimán, Pascual </w:t>
      </w:r>
      <w:proofErr w:type="spellStart"/>
      <w:r w:rsidRPr="00BB63D0">
        <w:rPr>
          <w:szCs w:val="20"/>
        </w:rPr>
        <w:t>Huentequeo</w:t>
      </w:r>
      <w:proofErr w:type="spellEnd"/>
      <w:r w:rsidRPr="00BB63D0">
        <w:rPr>
          <w:szCs w:val="20"/>
        </w:rPr>
        <w:t xml:space="preserve"> </w:t>
      </w:r>
      <w:proofErr w:type="spellStart"/>
      <w:r w:rsidRPr="00BB63D0">
        <w:rPr>
          <w:szCs w:val="20"/>
        </w:rPr>
        <w:t>Pichún</w:t>
      </w:r>
      <w:proofErr w:type="spellEnd"/>
      <w:r w:rsidRPr="00BB63D0">
        <w:rPr>
          <w:szCs w:val="20"/>
        </w:rPr>
        <w:t xml:space="preserve"> </w:t>
      </w:r>
      <w:proofErr w:type="spellStart"/>
      <w:r w:rsidRPr="00BB63D0">
        <w:rPr>
          <w:szCs w:val="20"/>
        </w:rPr>
        <w:t>Paillalao</w:t>
      </w:r>
      <w:proofErr w:type="spellEnd"/>
      <w:r w:rsidRPr="00BB63D0">
        <w:rPr>
          <w:szCs w:val="20"/>
        </w:rPr>
        <w:t xml:space="preserve">, Víctor Manuel </w:t>
      </w:r>
      <w:proofErr w:type="spellStart"/>
      <w:r w:rsidRPr="00BB63D0">
        <w:rPr>
          <w:szCs w:val="20"/>
        </w:rPr>
        <w:t>Ancalaf</w:t>
      </w:r>
      <w:proofErr w:type="spellEnd"/>
      <w:r w:rsidRPr="00BB63D0">
        <w:rPr>
          <w:szCs w:val="20"/>
        </w:rPr>
        <w:t xml:space="preserve"> </w:t>
      </w:r>
      <w:proofErr w:type="spellStart"/>
      <w:r w:rsidRPr="00BB63D0">
        <w:rPr>
          <w:szCs w:val="20"/>
        </w:rPr>
        <w:t>Llaupe</w:t>
      </w:r>
      <w:proofErr w:type="spellEnd"/>
      <w:r w:rsidRPr="00BB63D0">
        <w:rPr>
          <w:szCs w:val="20"/>
        </w:rPr>
        <w:t xml:space="preserve">, Florencio Jaime </w:t>
      </w:r>
      <w:proofErr w:type="spellStart"/>
      <w:r w:rsidRPr="00BB63D0">
        <w:rPr>
          <w:szCs w:val="20"/>
        </w:rPr>
        <w:t>Marileo</w:t>
      </w:r>
      <w:proofErr w:type="spellEnd"/>
      <w:r w:rsidRPr="00BB63D0">
        <w:rPr>
          <w:szCs w:val="20"/>
        </w:rPr>
        <w:t xml:space="preserve"> Saravia, Juan Patricio </w:t>
      </w:r>
      <w:proofErr w:type="spellStart"/>
      <w:r w:rsidRPr="00BB63D0">
        <w:rPr>
          <w:szCs w:val="20"/>
        </w:rPr>
        <w:t>Marileo</w:t>
      </w:r>
      <w:proofErr w:type="spellEnd"/>
      <w:r w:rsidRPr="00BB63D0">
        <w:rPr>
          <w:szCs w:val="20"/>
        </w:rPr>
        <w:t xml:space="preserve"> Saravia, Juan Ciriaco </w:t>
      </w:r>
      <w:proofErr w:type="spellStart"/>
      <w:r w:rsidRPr="00BB63D0">
        <w:rPr>
          <w:szCs w:val="20"/>
        </w:rPr>
        <w:t>Millacheo</w:t>
      </w:r>
      <w:proofErr w:type="spellEnd"/>
      <w:r w:rsidRPr="00BB63D0">
        <w:rPr>
          <w:szCs w:val="20"/>
        </w:rPr>
        <w:t xml:space="preserve"> </w:t>
      </w:r>
      <w:proofErr w:type="spellStart"/>
      <w:r w:rsidRPr="00BB63D0">
        <w:rPr>
          <w:szCs w:val="20"/>
        </w:rPr>
        <w:t>Licán</w:t>
      </w:r>
      <w:proofErr w:type="spellEnd"/>
      <w:r w:rsidRPr="00BB63D0">
        <w:rPr>
          <w:szCs w:val="20"/>
        </w:rPr>
        <w:t xml:space="preserve">, José </w:t>
      </w:r>
      <w:proofErr w:type="spellStart"/>
      <w:r w:rsidRPr="00BB63D0">
        <w:rPr>
          <w:szCs w:val="20"/>
        </w:rPr>
        <w:t>Benicio</w:t>
      </w:r>
      <w:proofErr w:type="spellEnd"/>
      <w:r w:rsidRPr="00BB63D0">
        <w:rPr>
          <w:szCs w:val="20"/>
        </w:rPr>
        <w:t xml:space="preserve"> </w:t>
      </w:r>
      <w:proofErr w:type="spellStart"/>
      <w:r w:rsidRPr="00BB63D0">
        <w:rPr>
          <w:szCs w:val="20"/>
        </w:rPr>
        <w:t>Huenchunao</w:t>
      </w:r>
      <w:proofErr w:type="spellEnd"/>
      <w:r w:rsidRPr="00BB63D0">
        <w:rPr>
          <w:szCs w:val="20"/>
        </w:rPr>
        <w:t xml:space="preserve"> </w:t>
      </w:r>
      <w:proofErr w:type="spellStart"/>
      <w:r w:rsidRPr="00BB63D0">
        <w:rPr>
          <w:szCs w:val="20"/>
        </w:rPr>
        <w:t>Mariñán</w:t>
      </w:r>
      <w:proofErr w:type="spellEnd"/>
      <w:r w:rsidRPr="00BB63D0">
        <w:rPr>
          <w:szCs w:val="20"/>
        </w:rPr>
        <w:t xml:space="preserve"> y la señora Patricia Roxana Troncoso Robles sobre las cuales la Corte se pronunció en esta Sentencia. Ello comprende: i) dejar sin efecto la declaración de las ocho víctimas de este caso como autores de delitos de carácter terrorista; ii) dejar sin efecto las penas privativas de libertad y penas accesorias, consecuencias y registros, a la mayor brevedad posible, así como las condenas civiles que se hayan impuesto a las víctimas; y iii) disponer la libertad personal de las víctimas que aún se encuentren sujetas a libertad condicional. Asimismo, el Estado deberá, en el plazo de seis meses a partir de la notificación de la presente Sentencia, suprimir los antecedentes judiciales, administrativos, penales o policiales que existan en contra de las ocho víctimas en relación con las referidas sentencias, así como la anulación de su inscripción en cualquier tipo de registro nacional e internacional que los vincule con actos de carácter terrorista.</w:t>
      </w:r>
    </w:p>
    <w:p w14:paraId="4F1C0C9E" w14:textId="29D58CC7" w:rsidR="003A3485" w:rsidRPr="00BB63D0" w:rsidRDefault="003A3485" w:rsidP="00D1740E">
      <w:pPr>
        <w:pStyle w:val="Ttulo2"/>
      </w:pPr>
      <w:bookmarkStart w:id="52" w:name="_Toc89017908"/>
      <w:r w:rsidRPr="00BB63D0">
        <w:t>Implementar protocolos de atención integral NNA</w:t>
      </w:r>
      <w:bookmarkEnd w:id="52"/>
    </w:p>
    <w:p w14:paraId="2A37E1F8" w14:textId="77777777" w:rsidR="003A3485" w:rsidRPr="00BB63D0" w:rsidRDefault="003A3485" w:rsidP="009568ED">
      <w:pPr>
        <w:pStyle w:val="Caso"/>
        <w:rPr>
          <w:lang w:val="es-ES"/>
        </w:rPr>
      </w:pPr>
      <w:r w:rsidRPr="00BB63D0">
        <w:rPr>
          <w:lang w:val="es-ES"/>
        </w:rPr>
        <w:t>Corte IDH. Caso V.R.P., V.P.C. y otros Vs. Nicaragua. Excepciones Preliminares, Fondo, Reparaciones y Costas. Sentencia de 8 de marzo de 2018. Serie C No. 350</w:t>
      </w:r>
    </w:p>
    <w:p w14:paraId="3CE4BF96" w14:textId="77777777" w:rsidR="003A3485" w:rsidRPr="00BB63D0" w:rsidRDefault="003A3485" w:rsidP="00BB63D0">
      <w:pPr>
        <w:rPr>
          <w:szCs w:val="20"/>
          <w:lang w:val="es-ES"/>
        </w:rPr>
      </w:pPr>
      <w:r w:rsidRPr="00BB63D0">
        <w:rPr>
          <w:szCs w:val="20"/>
          <w:lang w:val="es-ES"/>
        </w:rPr>
        <w:t>384.</w:t>
      </w:r>
      <w:r w:rsidRPr="00BB63D0">
        <w:rPr>
          <w:szCs w:val="20"/>
          <w:lang w:val="es-ES"/>
        </w:rPr>
        <w:tab/>
        <w:t>Finalmente, en relación con el protocolo específico estandarizado de atención integral para niñas, niños y adolescentes víctimas de violencia sexual, la Corte ordena que este deberá brindar medidas de protección desde el momento en que el Estado conozca de la violencia sexual, conforme con los criterios establecidos en los párrafos 164, 165 y 170 de la presente Sentencia. En particular, la Corte ordena al Estado que dicho protocolo garantice el establecimiento de protecciones especiales y acompañamiento especializado, médico, psicológico y/o psiquiátrico para que las niñas, niños y adolescentes puedan participar de forma efectiva en el proceso penal, evitando la revictimización y conforme a sus vivencias y entendimiento. El protocolo además, deberá garantizar que se brinde asistencia antes, durante y después de las investigaciones y proceso penal para lograr la reintegración y rehabilitación de las niñas, niños y adolescentes víctimas de violencia sexual. En este sentido, se brindará asistencia inmediata y profesional, tanto médica, psicológica como psiquiátrica a cargo de personal especializado, con perspectiva de género y sin discriminación, para las víctimas y sus familiares, durante el tiempo que sea necesario para lograr la rehabilitación. La Corte estima que este protocolo deberá estar dirigido no solo al personal de salud que interviene en casos de violencia sexual, sino también al personal de apoyo social y familiar que de forma integral brindan atención a las víctimas, por lo que deberá incluir los mecanismos de apoyo con los que cuentan dichas víctimas y sus familiares. El protocolo deberá, asimismo, establecer claramente las acciones de coordinación entre distintas instancias estatales que brindan asistencia a las niñas, niños y adolescentes víctimas de violencia sexual en Nicaragua.</w:t>
      </w:r>
    </w:p>
    <w:p w14:paraId="0135F960" w14:textId="414E2828" w:rsidR="00D1740E" w:rsidRPr="00BB63D0" w:rsidRDefault="00D1740E" w:rsidP="00D1740E">
      <w:pPr>
        <w:pStyle w:val="Ttulo2"/>
      </w:pPr>
      <w:bookmarkStart w:id="53" w:name="_Toc89017909"/>
      <w:r>
        <w:t>Creación fondo desarrollo ante situación estructural de pobreza</w:t>
      </w:r>
      <w:bookmarkEnd w:id="53"/>
    </w:p>
    <w:p w14:paraId="620A75B9" w14:textId="77777777" w:rsidR="00D1740E" w:rsidRDefault="00D1740E" w:rsidP="00E5653B">
      <w:pPr>
        <w:pStyle w:val="Caso"/>
        <w:rPr>
          <w:lang w:val="es-ES"/>
        </w:rPr>
      </w:pPr>
      <w:r w:rsidRPr="00D1740E">
        <w:rPr>
          <w:lang w:val="es-ES"/>
        </w:rPr>
        <w:t xml:space="preserve">Corte IDH. Caso de los Empleados de la Fábrica de Fuegos de Santo </w:t>
      </w:r>
      <w:proofErr w:type="spellStart"/>
      <w:r w:rsidRPr="00D1740E">
        <w:rPr>
          <w:lang w:val="es-ES"/>
        </w:rPr>
        <w:t>Antônio</w:t>
      </w:r>
      <w:proofErr w:type="spellEnd"/>
      <w:r w:rsidRPr="00D1740E">
        <w:rPr>
          <w:lang w:val="es-ES"/>
        </w:rPr>
        <w:t xml:space="preserve"> de </w:t>
      </w:r>
      <w:proofErr w:type="spellStart"/>
      <w:r w:rsidRPr="00D1740E">
        <w:rPr>
          <w:lang w:val="es-ES"/>
        </w:rPr>
        <w:t>Jesus</w:t>
      </w:r>
      <w:proofErr w:type="spellEnd"/>
      <w:r w:rsidRPr="00D1740E">
        <w:rPr>
          <w:lang w:val="es-ES"/>
        </w:rPr>
        <w:t xml:space="preserve"> y sus familiares Vs. Brasil. Excepciones Preliminares, Fondo, Reparaciones y Costas. Sentencia de 15 de julio de 2020. Serie C No. 407</w:t>
      </w:r>
    </w:p>
    <w:p w14:paraId="16B67FCB" w14:textId="60BA4195" w:rsidR="00D1740E" w:rsidRPr="00D1740E" w:rsidRDefault="00D1740E" w:rsidP="00D1740E">
      <w:pPr>
        <w:rPr>
          <w:szCs w:val="20"/>
          <w:lang w:val="es-ES"/>
        </w:rPr>
      </w:pPr>
      <w:r w:rsidRPr="00D1740E">
        <w:rPr>
          <w:szCs w:val="20"/>
          <w:lang w:val="es-ES"/>
        </w:rPr>
        <w:t xml:space="preserve">289. La Corte recuerda que se </w:t>
      </w:r>
      <w:proofErr w:type="spellStart"/>
      <w:r w:rsidRPr="00D1740E">
        <w:rPr>
          <w:szCs w:val="20"/>
          <w:lang w:val="es-ES"/>
        </w:rPr>
        <w:t>establecio</w:t>
      </w:r>
      <w:proofErr w:type="spellEnd"/>
      <w:r w:rsidRPr="00D1740E">
        <w:rPr>
          <w:szCs w:val="20"/>
          <w:lang w:val="es-ES"/>
        </w:rPr>
        <w:t xml:space="preserve">́ en la presente Sentencia </w:t>
      </w:r>
      <w:r w:rsidR="005B7B62">
        <w:rPr>
          <w:szCs w:val="20"/>
          <w:lang w:val="es-ES"/>
        </w:rPr>
        <w:t>[...]</w:t>
      </w:r>
      <w:r w:rsidRPr="00D1740E">
        <w:rPr>
          <w:szCs w:val="20"/>
          <w:lang w:val="es-ES"/>
        </w:rPr>
        <w:t xml:space="preserve"> la condición de extrema vulnerabilidad de las trabajadoras de la </w:t>
      </w:r>
      <w:proofErr w:type="spellStart"/>
      <w:r w:rsidRPr="00D1740E">
        <w:rPr>
          <w:szCs w:val="20"/>
          <w:lang w:val="es-ES"/>
        </w:rPr>
        <w:t>fábrica</w:t>
      </w:r>
      <w:proofErr w:type="spellEnd"/>
      <w:r w:rsidRPr="00D1740E">
        <w:rPr>
          <w:szCs w:val="20"/>
          <w:lang w:val="es-ES"/>
        </w:rPr>
        <w:t xml:space="preserve"> de “</w:t>
      </w:r>
      <w:proofErr w:type="spellStart"/>
      <w:r w:rsidRPr="00D1740E">
        <w:rPr>
          <w:szCs w:val="20"/>
          <w:lang w:val="es-ES"/>
        </w:rPr>
        <w:t>Vardo</w:t>
      </w:r>
      <w:proofErr w:type="spellEnd"/>
      <w:r w:rsidRPr="00D1740E">
        <w:rPr>
          <w:szCs w:val="20"/>
          <w:lang w:val="es-ES"/>
        </w:rPr>
        <w:t xml:space="preserve"> de los fuegos”, </w:t>
      </w:r>
      <w:r w:rsidRPr="00D1740E">
        <w:rPr>
          <w:szCs w:val="20"/>
          <w:lang w:val="es-ES"/>
        </w:rPr>
        <w:lastRenderedPageBreak/>
        <w:t xml:space="preserve">debido a su situación de pobreza y discriminación interseccional. Asimismo, está probado en este caso que dichas trabajadoras no </w:t>
      </w:r>
      <w:proofErr w:type="spellStart"/>
      <w:r w:rsidRPr="00D1740E">
        <w:rPr>
          <w:szCs w:val="20"/>
          <w:lang w:val="es-ES"/>
        </w:rPr>
        <w:t>tenían</w:t>
      </w:r>
      <w:proofErr w:type="spellEnd"/>
      <w:r w:rsidRPr="00D1740E">
        <w:rPr>
          <w:szCs w:val="20"/>
          <w:lang w:val="es-ES"/>
        </w:rPr>
        <w:t xml:space="preserve"> otra alternativa de trabajo diferente a la </w:t>
      </w:r>
      <w:proofErr w:type="spellStart"/>
      <w:r w:rsidRPr="00D1740E">
        <w:rPr>
          <w:szCs w:val="20"/>
          <w:lang w:val="es-ES"/>
        </w:rPr>
        <w:t>fabricación</w:t>
      </w:r>
      <w:proofErr w:type="spellEnd"/>
      <w:r w:rsidRPr="00D1740E">
        <w:rPr>
          <w:szCs w:val="20"/>
          <w:lang w:val="es-ES"/>
        </w:rPr>
        <w:t xml:space="preserve"> de fuegos artificiales. La Corte valora positivamente los esfuerzos realizados por</w:t>
      </w:r>
      <w:r>
        <w:rPr>
          <w:szCs w:val="20"/>
          <w:lang w:val="es-ES"/>
        </w:rPr>
        <w:t xml:space="preserve"> </w:t>
      </w:r>
      <w:r w:rsidRPr="00D1740E">
        <w:rPr>
          <w:szCs w:val="20"/>
          <w:lang w:val="es-ES"/>
        </w:rPr>
        <w:t xml:space="preserve">el Estado para que hechos como los del presente caso no ocurran nuevamente </w:t>
      </w:r>
      <w:r w:rsidR="005B7B62">
        <w:rPr>
          <w:szCs w:val="20"/>
          <w:lang w:val="es-ES"/>
        </w:rPr>
        <w:t>[...]</w:t>
      </w:r>
      <w:r w:rsidRPr="00D1740E">
        <w:rPr>
          <w:szCs w:val="20"/>
          <w:lang w:val="es-ES"/>
        </w:rPr>
        <w:t xml:space="preserve">. Sin embargo, de las pruebas aportadas por el Estado no se desprende el impacto </w:t>
      </w:r>
      <w:proofErr w:type="spellStart"/>
      <w:r w:rsidRPr="00D1740E">
        <w:rPr>
          <w:szCs w:val="20"/>
          <w:lang w:val="es-ES"/>
        </w:rPr>
        <w:t>específico</w:t>
      </w:r>
      <w:proofErr w:type="spellEnd"/>
      <w:r w:rsidRPr="00D1740E">
        <w:rPr>
          <w:szCs w:val="20"/>
          <w:lang w:val="es-ES"/>
        </w:rPr>
        <w:t xml:space="preserve"> que pueden haber tenido las </w:t>
      </w:r>
      <w:proofErr w:type="spellStart"/>
      <w:r w:rsidRPr="00D1740E">
        <w:rPr>
          <w:szCs w:val="20"/>
          <w:lang w:val="es-ES"/>
        </w:rPr>
        <w:t>políticas</w:t>
      </w:r>
      <w:proofErr w:type="spellEnd"/>
      <w:r w:rsidRPr="00D1740E">
        <w:rPr>
          <w:szCs w:val="20"/>
          <w:lang w:val="es-ES"/>
        </w:rPr>
        <w:t xml:space="preserve"> </w:t>
      </w:r>
      <w:proofErr w:type="spellStart"/>
      <w:r w:rsidRPr="00D1740E">
        <w:rPr>
          <w:szCs w:val="20"/>
          <w:lang w:val="es-ES"/>
        </w:rPr>
        <w:t>públicas</w:t>
      </w:r>
      <w:proofErr w:type="spellEnd"/>
      <w:r w:rsidRPr="00D1740E">
        <w:rPr>
          <w:szCs w:val="20"/>
          <w:lang w:val="es-ES"/>
        </w:rPr>
        <w:t xml:space="preserve"> de los </w:t>
      </w:r>
      <w:proofErr w:type="spellStart"/>
      <w:r w:rsidRPr="00D1740E">
        <w:rPr>
          <w:szCs w:val="20"/>
          <w:lang w:val="es-ES"/>
        </w:rPr>
        <w:t>últimos</w:t>
      </w:r>
      <w:proofErr w:type="spellEnd"/>
      <w:r w:rsidRPr="00D1740E">
        <w:rPr>
          <w:szCs w:val="20"/>
          <w:lang w:val="es-ES"/>
        </w:rPr>
        <w:t xml:space="preserve"> 20 </w:t>
      </w:r>
      <w:proofErr w:type="spellStart"/>
      <w:r w:rsidRPr="00D1740E">
        <w:rPr>
          <w:szCs w:val="20"/>
          <w:lang w:val="es-ES"/>
        </w:rPr>
        <w:t>años</w:t>
      </w:r>
      <w:proofErr w:type="spellEnd"/>
      <w:r w:rsidRPr="00D1740E">
        <w:rPr>
          <w:szCs w:val="20"/>
          <w:lang w:val="es-ES"/>
        </w:rPr>
        <w:t xml:space="preserve"> en el municipio en que sucedieron los hechos en favor de las personas que trabajan en la </w:t>
      </w:r>
      <w:proofErr w:type="spellStart"/>
      <w:r w:rsidRPr="00D1740E">
        <w:rPr>
          <w:szCs w:val="20"/>
          <w:lang w:val="es-ES"/>
        </w:rPr>
        <w:t>fabricación</w:t>
      </w:r>
      <w:proofErr w:type="spellEnd"/>
      <w:r w:rsidRPr="00D1740E">
        <w:rPr>
          <w:szCs w:val="20"/>
          <w:lang w:val="es-ES"/>
        </w:rPr>
        <w:t xml:space="preserve"> de fuegos artificiales. Aunado a lo anterior, las declaraciones recibidas en audiencia y otros elementos del acervo probatorio de este caso indican que la situación de esta </w:t>
      </w:r>
      <w:proofErr w:type="spellStart"/>
      <w:r w:rsidRPr="00D1740E">
        <w:rPr>
          <w:szCs w:val="20"/>
          <w:lang w:val="es-ES"/>
        </w:rPr>
        <w:t>población</w:t>
      </w:r>
      <w:proofErr w:type="spellEnd"/>
      <w:r w:rsidRPr="00D1740E">
        <w:rPr>
          <w:szCs w:val="20"/>
          <w:lang w:val="es-ES"/>
        </w:rPr>
        <w:t xml:space="preserve"> vulnerable de Santo </w:t>
      </w:r>
      <w:proofErr w:type="spellStart"/>
      <w:r w:rsidRPr="00D1740E">
        <w:rPr>
          <w:szCs w:val="20"/>
          <w:lang w:val="es-ES"/>
        </w:rPr>
        <w:t>Anto</w:t>
      </w:r>
      <w:r w:rsidRPr="00D1740E">
        <w:rPr>
          <w:rFonts w:ascii="Arial" w:hAnsi="Arial" w:cs="Arial"/>
          <w:szCs w:val="20"/>
          <w:lang w:val="es-ES"/>
        </w:rPr>
        <w:t>̂</w:t>
      </w:r>
      <w:r w:rsidRPr="00D1740E">
        <w:rPr>
          <w:szCs w:val="20"/>
          <w:lang w:val="es-ES"/>
        </w:rPr>
        <w:t>nio</w:t>
      </w:r>
      <w:proofErr w:type="spellEnd"/>
      <w:r w:rsidRPr="00D1740E">
        <w:rPr>
          <w:szCs w:val="20"/>
          <w:lang w:val="es-ES"/>
        </w:rPr>
        <w:t xml:space="preserve"> de </w:t>
      </w:r>
      <w:proofErr w:type="spellStart"/>
      <w:r w:rsidRPr="00D1740E">
        <w:rPr>
          <w:szCs w:val="20"/>
          <w:lang w:val="es-ES"/>
        </w:rPr>
        <w:t>Jesus</w:t>
      </w:r>
      <w:proofErr w:type="spellEnd"/>
      <w:r w:rsidRPr="00D1740E">
        <w:rPr>
          <w:szCs w:val="20"/>
          <w:lang w:val="es-ES"/>
        </w:rPr>
        <w:t xml:space="preserve"> no ha sufrido cambios significativos. Por lo tanto, la Corte ordena al Estado que, en el plazo </w:t>
      </w:r>
      <w:proofErr w:type="spellStart"/>
      <w:r w:rsidRPr="00D1740E">
        <w:rPr>
          <w:szCs w:val="20"/>
          <w:lang w:val="es-ES"/>
        </w:rPr>
        <w:t>máximo</w:t>
      </w:r>
      <w:proofErr w:type="spellEnd"/>
      <w:r w:rsidRPr="00D1740E">
        <w:rPr>
          <w:szCs w:val="20"/>
          <w:lang w:val="es-ES"/>
        </w:rPr>
        <w:t xml:space="preserve"> de dos </w:t>
      </w:r>
      <w:proofErr w:type="spellStart"/>
      <w:r w:rsidRPr="00D1740E">
        <w:rPr>
          <w:szCs w:val="20"/>
          <w:lang w:val="es-ES"/>
        </w:rPr>
        <w:t>años</w:t>
      </w:r>
      <w:proofErr w:type="spellEnd"/>
      <w:r w:rsidRPr="00D1740E">
        <w:rPr>
          <w:szCs w:val="20"/>
          <w:lang w:val="es-ES"/>
        </w:rPr>
        <w:t xml:space="preserve"> a partir de la </w:t>
      </w:r>
      <w:proofErr w:type="spellStart"/>
      <w:r w:rsidRPr="00D1740E">
        <w:rPr>
          <w:szCs w:val="20"/>
          <w:lang w:val="es-ES"/>
        </w:rPr>
        <w:t>notificación</w:t>
      </w:r>
      <w:proofErr w:type="spellEnd"/>
      <w:r w:rsidRPr="00D1740E">
        <w:rPr>
          <w:szCs w:val="20"/>
          <w:lang w:val="es-ES"/>
        </w:rPr>
        <w:t xml:space="preserve"> de esta Sentencia, </w:t>
      </w:r>
      <w:proofErr w:type="spellStart"/>
      <w:r w:rsidRPr="00D1740E">
        <w:rPr>
          <w:szCs w:val="20"/>
          <w:lang w:val="es-ES"/>
        </w:rPr>
        <w:t>diseñe</w:t>
      </w:r>
      <w:proofErr w:type="spellEnd"/>
      <w:r w:rsidRPr="00D1740E">
        <w:rPr>
          <w:szCs w:val="20"/>
          <w:lang w:val="es-ES"/>
        </w:rPr>
        <w:t xml:space="preserve"> y ejecute un programa de desarrollo </w:t>
      </w:r>
      <w:proofErr w:type="spellStart"/>
      <w:r w:rsidRPr="00D1740E">
        <w:rPr>
          <w:szCs w:val="20"/>
          <w:lang w:val="es-ES"/>
        </w:rPr>
        <w:t>socioeconómico</w:t>
      </w:r>
      <w:proofErr w:type="spellEnd"/>
      <w:r w:rsidRPr="00D1740E">
        <w:rPr>
          <w:szCs w:val="20"/>
          <w:lang w:val="es-ES"/>
        </w:rPr>
        <w:t xml:space="preserve"> especialmente destinado para la </w:t>
      </w:r>
      <w:proofErr w:type="spellStart"/>
      <w:r w:rsidRPr="00D1740E">
        <w:rPr>
          <w:szCs w:val="20"/>
          <w:lang w:val="es-ES"/>
        </w:rPr>
        <w:t>población</w:t>
      </w:r>
      <w:proofErr w:type="spellEnd"/>
      <w:r w:rsidRPr="00D1740E">
        <w:rPr>
          <w:szCs w:val="20"/>
          <w:lang w:val="es-ES"/>
        </w:rPr>
        <w:t xml:space="preserve"> de Santo </w:t>
      </w:r>
      <w:proofErr w:type="spellStart"/>
      <w:r w:rsidRPr="00D1740E">
        <w:rPr>
          <w:szCs w:val="20"/>
          <w:lang w:val="es-ES"/>
        </w:rPr>
        <w:t>Anto</w:t>
      </w:r>
      <w:r w:rsidRPr="00D1740E">
        <w:rPr>
          <w:rFonts w:ascii="Arial" w:hAnsi="Arial" w:cs="Arial"/>
          <w:szCs w:val="20"/>
          <w:lang w:val="es-ES"/>
        </w:rPr>
        <w:t>̂</w:t>
      </w:r>
      <w:r w:rsidRPr="00D1740E">
        <w:rPr>
          <w:szCs w:val="20"/>
          <w:lang w:val="es-ES"/>
        </w:rPr>
        <w:t>nio</w:t>
      </w:r>
      <w:proofErr w:type="spellEnd"/>
      <w:r w:rsidRPr="00D1740E">
        <w:rPr>
          <w:szCs w:val="20"/>
          <w:lang w:val="es-ES"/>
        </w:rPr>
        <w:t xml:space="preserve"> de </w:t>
      </w:r>
      <w:proofErr w:type="spellStart"/>
      <w:r w:rsidRPr="00D1740E">
        <w:rPr>
          <w:szCs w:val="20"/>
          <w:lang w:val="es-ES"/>
        </w:rPr>
        <w:t>Jesus</w:t>
      </w:r>
      <w:proofErr w:type="spellEnd"/>
      <w:r w:rsidRPr="00D1740E">
        <w:rPr>
          <w:szCs w:val="20"/>
          <w:lang w:val="es-ES"/>
        </w:rPr>
        <w:t xml:space="preserve">, en </w:t>
      </w:r>
      <w:proofErr w:type="spellStart"/>
      <w:r w:rsidRPr="00D1740E">
        <w:rPr>
          <w:szCs w:val="20"/>
          <w:lang w:val="es-ES"/>
        </w:rPr>
        <w:t>coordinación</w:t>
      </w:r>
      <w:proofErr w:type="spellEnd"/>
      <w:r w:rsidRPr="00D1740E">
        <w:rPr>
          <w:szCs w:val="20"/>
          <w:lang w:val="es-ES"/>
        </w:rPr>
        <w:t xml:space="preserve"> con las </w:t>
      </w:r>
      <w:proofErr w:type="spellStart"/>
      <w:r w:rsidRPr="00D1740E">
        <w:rPr>
          <w:szCs w:val="20"/>
          <w:lang w:val="es-ES"/>
        </w:rPr>
        <w:t>víctimas</w:t>
      </w:r>
      <w:proofErr w:type="spellEnd"/>
      <w:r w:rsidRPr="00D1740E">
        <w:rPr>
          <w:szCs w:val="20"/>
          <w:lang w:val="es-ES"/>
        </w:rPr>
        <w:t xml:space="preserve"> y sus representantes. El Estado </w:t>
      </w:r>
      <w:proofErr w:type="spellStart"/>
      <w:r w:rsidRPr="00D1740E">
        <w:rPr>
          <w:szCs w:val="20"/>
          <w:lang w:val="es-ES"/>
        </w:rPr>
        <w:t>debera</w:t>
      </w:r>
      <w:proofErr w:type="spellEnd"/>
      <w:r w:rsidRPr="00D1740E">
        <w:rPr>
          <w:szCs w:val="20"/>
          <w:lang w:val="es-ES"/>
        </w:rPr>
        <w:t xml:space="preserve">́ informar cada </w:t>
      </w:r>
      <w:proofErr w:type="spellStart"/>
      <w:r w:rsidRPr="00D1740E">
        <w:rPr>
          <w:szCs w:val="20"/>
          <w:lang w:val="es-ES"/>
        </w:rPr>
        <w:t>año</w:t>
      </w:r>
      <w:proofErr w:type="spellEnd"/>
      <w:r w:rsidRPr="00D1740E">
        <w:rPr>
          <w:szCs w:val="20"/>
          <w:lang w:val="es-ES"/>
        </w:rPr>
        <w:t xml:space="preserve"> a esta Corte los avances en la </w:t>
      </w:r>
      <w:proofErr w:type="spellStart"/>
      <w:r w:rsidRPr="00D1740E">
        <w:rPr>
          <w:szCs w:val="20"/>
          <w:lang w:val="es-ES"/>
        </w:rPr>
        <w:t>implementación</w:t>
      </w:r>
      <w:proofErr w:type="spellEnd"/>
      <w:r w:rsidRPr="00D1740E">
        <w:rPr>
          <w:szCs w:val="20"/>
          <w:lang w:val="es-ES"/>
        </w:rPr>
        <w:t xml:space="preserve">. Dicho programa debe hacer frente, necesariamente, a la falta de alternativas de trabajo, especialmente para las y los </w:t>
      </w:r>
      <w:proofErr w:type="spellStart"/>
      <w:r w:rsidRPr="00D1740E">
        <w:rPr>
          <w:szCs w:val="20"/>
          <w:lang w:val="es-ES"/>
        </w:rPr>
        <w:t>jóvenes</w:t>
      </w:r>
      <w:proofErr w:type="spellEnd"/>
      <w:r w:rsidRPr="00D1740E">
        <w:rPr>
          <w:szCs w:val="20"/>
          <w:lang w:val="es-ES"/>
        </w:rPr>
        <w:t xml:space="preserve"> mayores de 16 </w:t>
      </w:r>
      <w:proofErr w:type="spellStart"/>
      <w:r w:rsidRPr="00D1740E">
        <w:rPr>
          <w:szCs w:val="20"/>
          <w:lang w:val="es-ES"/>
        </w:rPr>
        <w:t>años</w:t>
      </w:r>
      <w:proofErr w:type="spellEnd"/>
      <w:r w:rsidRPr="00D1740E">
        <w:rPr>
          <w:szCs w:val="20"/>
          <w:lang w:val="es-ES"/>
        </w:rPr>
        <w:t xml:space="preserve"> y mujeres afrodescendientes que viven en condición de pobreza. El programa debe incluir, entre otros: la </w:t>
      </w:r>
      <w:proofErr w:type="spellStart"/>
      <w:r w:rsidRPr="00D1740E">
        <w:rPr>
          <w:szCs w:val="20"/>
          <w:lang w:val="es-ES"/>
        </w:rPr>
        <w:t>creación</w:t>
      </w:r>
      <w:proofErr w:type="spellEnd"/>
      <w:r w:rsidRPr="00D1740E">
        <w:rPr>
          <w:szCs w:val="20"/>
          <w:lang w:val="es-ES"/>
        </w:rPr>
        <w:t xml:space="preserve"> de cursos de </w:t>
      </w:r>
      <w:proofErr w:type="spellStart"/>
      <w:r w:rsidRPr="00D1740E">
        <w:rPr>
          <w:szCs w:val="20"/>
          <w:lang w:val="es-ES"/>
        </w:rPr>
        <w:t>capacitación</w:t>
      </w:r>
      <w:proofErr w:type="spellEnd"/>
      <w:r w:rsidRPr="00D1740E">
        <w:rPr>
          <w:szCs w:val="20"/>
          <w:lang w:val="es-ES"/>
        </w:rPr>
        <w:t xml:space="preserve"> profesional y/o </w:t>
      </w:r>
      <w:proofErr w:type="spellStart"/>
      <w:r w:rsidRPr="00D1740E">
        <w:rPr>
          <w:szCs w:val="20"/>
          <w:lang w:val="es-ES"/>
        </w:rPr>
        <w:t>técnicos</w:t>
      </w:r>
      <w:proofErr w:type="spellEnd"/>
      <w:r w:rsidRPr="00D1740E">
        <w:rPr>
          <w:szCs w:val="20"/>
          <w:lang w:val="es-ES"/>
        </w:rPr>
        <w:t xml:space="preserve"> que permitan la </w:t>
      </w:r>
      <w:proofErr w:type="spellStart"/>
      <w:r w:rsidRPr="00D1740E">
        <w:rPr>
          <w:szCs w:val="20"/>
          <w:lang w:val="es-ES"/>
        </w:rPr>
        <w:t>inserción</w:t>
      </w:r>
      <w:proofErr w:type="spellEnd"/>
      <w:r w:rsidRPr="00D1740E">
        <w:rPr>
          <w:szCs w:val="20"/>
          <w:lang w:val="es-ES"/>
        </w:rPr>
        <w:t xml:space="preserve"> de trabajadoras y trabajadores en otros mercados laborales, como el comercio, el agropecuario, la </w:t>
      </w:r>
      <w:proofErr w:type="spellStart"/>
      <w:r w:rsidRPr="00D1740E">
        <w:rPr>
          <w:szCs w:val="20"/>
          <w:lang w:val="es-ES"/>
        </w:rPr>
        <w:t>informática</w:t>
      </w:r>
      <w:proofErr w:type="spellEnd"/>
      <w:r w:rsidRPr="00D1740E">
        <w:rPr>
          <w:szCs w:val="20"/>
          <w:lang w:val="es-ES"/>
        </w:rPr>
        <w:t xml:space="preserve">, entre otras actividades </w:t>
      </w:r>
      <w:proofErr w:type="spellStart"/>
      <w:r w:rsidRPr="00D1740E">
        <w:rPr>
          <w:szCs w:val="20"/>
          <w:lang w:val="es-ES"/>
        </w:rPr>
        <w:t>económicas</w:t>
      </w:r>
      <w:proofErr w:type="spellEnd"/>
      <w:r w:rsidRPr="00D1740E">
        <w:rPr>
          <w:szCs w:val="20"/>
          <w:lang w:val="es-ES"/>
        </w:rPr>
        <w:t xml:space="preserve"> relevantes en la </w:t>
      </w:r>
      <w:proofErr w:type="spellStart"/>
      <w:r w:rsidRPr="00D1740E">
        <w:rPr>
          <w:szCs w:val="20"/>
          <w:lang w:val="es-ES"/>
        </w:rPr>
        <w:t>región</w:t>
      </w:r>
      <w:proofErr w:type="spellEnd"/>
      <w:r w:rsidRPr="00D1740E">
        <w:rPr>
          <w:szCs w:val="20"/>
          <w:lang w:val="es-ES"/>
        </w:rPr>
        <w:t xml:space="preserve">; medidas orientadas a enfrentar la </w:t>
      </w:r>
      <w:proofErr w:type="spellStart"/>
      <w:r w:rsidRPr="00D1740E">
        <w:rPr>
          <w:szCs w:val="20"/>
          <w:lang w:val="es-ES"/>
        </w:rPr>
        <w:t>deserción</w:t>
      </w:r>
      <w:proofErr w:type="spellEnd"/>
      <w:r w:rsidRPr="00D1740E">
        <w:rPr>
          <w:szCs w:val="20"/>
          <w:lang w:val="es-ES"/>
        </w:rPr>
        <w:t xml:space="preserve"> escolar causada por el ingreso de menores de edad al mercado laboral, y </w:t>
      </w:r>
      <w:proofErr w:type="spellStart"/>
      <w:r w:rsidRPr="00D1740E">
        <w:rPr>
          <w:szCs w:val="20"/>
          <w:lang w:val="es-ES"/>
        </w:rPr>
        <w:t>campañas</w:t>
      </w:r>
      <w:proofErr w:type="spellEnd"/>
      <w:r w:rsidRPr="00D1740E">
        <w:rPr>
          <w:szCs w:val="20"/>
          <w:lang w:val="es-ES"/>
        </w:rPr>
        <w:t xml:space="preserve"> de </w:t>
      </w:r>
      <w:proofErr w:type="spellStart"/>
      <w:r w:rsidRPr="00D1740E">
        <w:rPr>
          <w:szCs w:val="20"/>
          <w:lang w:val="es-ES"/>
        </w:rPr>
        <w:t>sensibilización</w:t>
      </w:r>
      <w:proofErr w:type="spellEnd"/>
      <w:r w:rsidRPr="00D1740E">
        <w:rPr>
          <w:szCs w:val="20"/>
          <w:lang w:val="es-ES"/>
        </w:rPr>
        <w:t xml:space="preserve"> en materia de derechos laborales y riesgos inherentes a la </w:t>
      </w:r>
      <w:proofErr w:type="spellStart"/>
      <w:r w:rsidRPr="00D1740E">
        <w:rPr>
          <w:szCs w:val="20"/>
          <w:lang w:val="es-ES"/>
        </w:rPr>
        <w:t>fabricación</w:t>
      </w:r>
      <w:proofErr w:type="spellEnd"/>
      <w:r w:rsidRPr="00D1740E">
        <w:rPr>
          <w:szCs w:val="20"/>
          <w:lang w:val="es-ES"/>
        </w:rPr>
        <w:t xml:space="preserve"> de fuegos artificiales.</w:t>
      </w:r>
    </w:p>
    <w:p w14:paraId="72515567" w14:textId="3479F51A" w:rsidR="00D1740E" w:rsidRPr="00D1740E" w:rsidRDefault="00D1740E" w:rsidP="00D1740E">
      <w:pPr>
        <w:rPr>
          <w:szCs w:val="20"/>
          <w:lang w:val="es-ES"/>
        </w:rPr>
      </w:pPr>
      <w:r w:rsidRPr="00D1740E">
        <w:rPr>
          <w:szCs w:val="20"/>
          <w:lang w:val="es-ES"/>
        </w:rPr>
        <w:t xml:space="preserve">290. A efectos del cumplimiento de esta medida, deben tenerse en cuenta las principales actividades </w:t>
      </w:r>
      <w:proofErr w:type="spellStart"/>
      <w:r w:rsidRPr="00D1740E">
        <w:rPr>
          <w:szCs w:val="20"/>
          <w:lang w:val="es-ES"/>
        </w:rPr>
        <w:t>económicas</w:t>
      </w:r>
      <w:proofErr w:type="spellEnd"/>
      <w:r w:rsidRPr="00D1740E">
        <w:rPr>
          <w:szCs w:val="20"/>
          <w:lang w:val="es-ES"/>
        </w:rPr>
        <w:t xml:space="preserve"> de la </w:t>
      </w:r>
      <w:proofErr w:type="spellStart"/>
      <w:r w:rsidRPr="00D1740E">
        <w:rPr>
          <w:szCs w:val="20"/>
          <w:lang w:val="es-ES"/>
        </w:rPr>
        <w:t>región</w:t>
      </w:r>
      <w:proofErr w:type="spellEnd"/>
      <w:r w:rsidRPr="00D1740E">
        <w:rPr>
          <w:szCs w:val="20"/>
          <w:lang w:val="es-ES"/>
        </w:rPr>
        <w:t xml:space="preserve">, la eventual necesidad de incentivar otras actividades </w:t>
      </w:r>
      <w:proofErr w:type="spellStart"/>
      <w:r w:rsidRPr="00D1740E">
        <w:rPr>
          <w:szCs w:val="20"/>
          <w:lang w:val="es-ES"/>
        </w:rPr>
        <w:t>económicas</w:t>
      </w:r>
      <w:proofErr w:type="spellEnd"/>
      <w:r w:rsidRPr="00D1740E">
        <w:rPr>
          <w:szCs w:val="20"/>
          <w:lang w:val="es-ES"/>
        </w:rPr>
        <w:t xml:space="preserve">, la necesidad de garantizar una adecuada </w:t>
      </w:r>
      <w:proofErr w:type="spellStart"/>
      <w:r w:rsidRPr="00D1740E">
        <w:rPr>
          <w:szCs w:val="20"/>
          <w:lang w:val="es-ES"/>
        </w:rPr>
        <w:t>formación</w:t>
      </w:r>
      <w:proofErr w:type="spellEnd"/>
      <w:r w:rsidRPr="00D1740E">
        <w:rPr>
          <w:szCs w:val="20"/>
          <w:lang w:val="es-ES"/>
        </w:rPr>
        <w:t xml:space="preserve"> de los trabajadores para el </w:t>
      </w:r>
      <w:proofErr w:type="spellStart"/>
      <w:r w:rsidRPr="00D1740E">
        <w:rPr>
          <w:szCs w:val="20"/>
          <w:lang w:val="es-ES"/>
        </w:rPr>
        <w:t>desempeño</w:t>
      </w:r>
      <w:proofErr w:type="spellEnd"/>
      <w:r w:rsidRPr="00D1740E">
        <w:rPr>
          <w:szCs w:val="20"/>
          <w:lang w:val="es-ES"/>
        </w:rPr>
        <w:t xml:space="preserve"> de ciertas actividades profesionales y la obligación de erradicar el trabajo infantil de acuerdo los </w:t>
      </w:r>
      <w:proofErr w:type="spellStart"/>
      <w:r w:rsidRPr="00D1740E">
        <w:rPr>
          <w:szCs w:val="20"/>
          <w:lang w:val="es-ES"/>
        </w:rPr>
        <w:t>estándares</w:t>
      </w:r>
      <w:proofErr w:type="spellEnd"/>
      <w:r w:rsidRPr="00D1740E">
        <w:rPr>
          <w:szCs w:val="20"/>
          <w:lang w:val="es-ES"/>
        </w:rPr>
        <w:t xml:space="preserve"> del derecho internacional.</w:t>
      </w:r>
    </w:p>
    <w:p w14:paraId="1AD1025E" w14:textId="78658737" w:rsidR="00D1740E" w:rsidRDefault="00D1740E" w:rsidP="00D1740E">
      <w:pPr>
        <w:rPr>
          <w:szCs w:val="20"/>
          <w:lang w:val="es-ES"/>
        </w:rPr>
      </w:pPr>
      <w:r w:rsidRPr="00D1740E">
        <w:rPr>
          <w:szCs w:val="20"/>
          <w:lang w:val="es-ES"/>
        </w:rPr>
        <w:t xml:space="preserve">291. Teniendo en </w:t>
      </w:r>
      <w:proofErr w:type="spellStart"/>
      <w:r w:rsidRPr="00D1740E">
        <w:rPr>
          <w:szCs w:val="20"/>
          <w:lang w:val="es-ES"/>
        </w:rPr>
        <w:t>consideración</w:t>
      </w:r>
      <w:proofErr w:type="spellEnd"/>
      <w:r w:rsidRPr="00D1740E">
        <w:rPr>
          <w:szCs w:val="20"/>
          <w:lang w:val="es-ES"/>
        </w:rPr>
        <w:t xml:space="preserve"> que el presente caso se refiere también a la </w:t>
      </w:r>
      <w:proofErr w:type="spellStart"/>
      <w:r w:rsidRPr="00D1740E">
        <w:rPr>
          <w:szCs w:val="20"/>
          <w:lang w:val="es-ES"/>
        </w:rPr>
        <w:t>temática</w:t>
      </w:r>
      <w:proofErr w:type="spellEnd"/>
      <w:r w:rsidRPr="00D1740E">
        <w:rPr>
          <w:szCs w:val="20"/>
          <w:lang w:val="es-ES"/>
        </w:rPr>
        <w:t xml:space="preserve"> de empresas y derechos humanos, la Corte estima pertinente ordenar al Estado que en el plazo de un </w:t>
      </w:r>
      <w:proofErr w:type="spellStart"/>
      <w:r w:rsidRPr="00D1740E">
        <w:rPr>
          <w:szCs w:val="20"/>
          <w:lang w:val="es-ES"/>
        </w:rPr>
        <w:t>año</w:t>
      </w:r>
      <w:proofErr w:type="spellEnd"/>
      <w:r w:rsidRPr="00D1740E">
        <w:rPr>
          <w:szCs w:val="20"/>
          <w:lang w:val="es-ES"/>
        </w:rPr>
        <w:t xml:space="preserve"> rinda un informe sobre la </w:t>
      </w:r>
      <w:proofErr w:type="spellStart"/>
      <w:r w:rsidRPr="00D1740E">
        <w:rPr>
          <w:szCs w:val="20"/>
          <w:lang w:val="es-ES"/>
        </w:rPr>
        <w:t>implementación</w:t>
      </w:r>
      <w:proofErr w:type="spellEnd"/>
      <w:r w:rsidRPr="00D1740E">
        <w:rPr>
          <w:szCs w:val="20"/>
          <w:lang w:val="es-ES"/>
        </w:rPr>
        <w:t xml:space="preserve"> y </w:t>
      </w:r>
      <w:proofErr w:type="spellStart"/>
      <w:r w:rsidRPr="00D1740E">
        <w:rPr>
          <w:szCs w:val="20"/>
          <w:lang w:val="es-ES"/>
        </w:rPr>
        <w:t>aplicación</w:t>
      </w:r>
      <w:proofErr w:type="spellEnd"/>
      <w:r w:rsidRPr="00D1740E">
        <w:rPr>
          <w:szCs w:val="20"/>
          <w:lang w:val="es-ES"/>
        </w:rPr>
        <w:t xml:space="preserve"> de las Directrices Nacionales sobre Empresas y Derechos Humanos, especialmente en lo respecta a la </w:t>
      </w:r>
      <w:proofErr w:type="spellStart"/>
      <w:r w:rsidRPr="00D1740E">
        <w:rPr>
          <w:szCs w:val="20"/>
          <w:lang w:val="es-ES"/>
        </w:rPr>
        <w:t>promoción</w:t>
      </w:r>
      <w:proofErr w:type="spellEnd"/>
      <w:r w:rsidRPr="00D1740E">
        <w:rPr>
          <w:szCs w:val="20"/>
          <w:lang w:val="es-ES"/>
        </w:rPr>
        <w:t xml:space="preserve"> y el apoyo a medidas de </w:t>
      </w:r>
      <w:proofErr w:type="spellStart"/>
      <w:r w:rsidRPr="00D1740E">
        <w:rPr>
          <w:szCs w:val="20"/>
          <w:lang w:val="es-ES"/>
        </w:rPr>
        <w:t>inclusión</w:t>
      </w:r>
      <w:proofErr w:type="spellEnd"/>
      <w:r w:rsidRPr="00D1740E">
        <w:rPr>
          <w:szCs w:val="20"/>
          <w:lang w:val="es-ES"/>
        </w:rPr>
        <w:t xml:space="preserve"> y no discriminación mediante la </w:t>
      </w:r>
      <w:proofErr w:type="spellStart"/>
      <w:r w:rsidRPr="00D1740E">
        <w:rPr>
          <w:szCs w:val="20"/>
          <w:lang w:val="es-ES"/>
        </w:rPr>
        <w:t>creación</w:t>
      </w:r>
      <w:proofErr w:type="spellEnd"/>
      <w:r w:rsidRPr="00D1740E">
        <w:rPr>
          <w:szCs w:val="20"/>
          <w:lang w:val="es-ES"/>
        </w:rPr>
        <w:t xml:space="preserve"> de programas de incentivos para la </w:t>
      </w:r>
      <w:proofErr w:type="spellStart"/>
      <w:r w:rsidRPr="00D1740E">
        <w:rPr>
          <w:szCs w:val="20"/>
          <w:lang w:val="es-ES"/>
        </w:rPr>
        <w:t>contratación</w:t>
      </w:r>
      <w:proofErr w:type="spellEnd"/>
      <w:r w:rsidRPr="00D1740E">
        <w:rPr>
          <w:szCs w:val="20"/>
          <w:lang w:val="es-ES"/>
        </w:rPr>
        <w:t xml:space="preserve"> de grupos vulnerables; la </w:t>
      </w:r>
      <w:proofErr w:type="spellStart"/>
      <w:r w:rsidRPr="00D1740E">
        <w:rPr>
          <w:szCs w:val="20"/>
          <w:lang w:val="es-ES"/>
        </w:rPr>
        <w:t>implementación</w:t>
      </w:r>
      <w:proofErr w:type="spellEnd"/>
      <w:r w:rsidRPr="00D1740E">
        <w:rPr>
          <w:szCs w:val="20"/>
          <w:lang w:val="es-ES"/>
        </w:rPr>
        <w:t xml:space="preserve"> por parte de las empresas de actividades educativas en derechos humanos, con la </w:t>
      </w:r>
      <w:proofErr w:type="spellStart"/>
      <w:r w:rsidRPr="00D1740E">
        <w:rPr>
          <w:szCs w:val="20"/>
          <w:lang w:val="es-ES"/>
        </w:rPr>
        <w:t>difusión</w:t>
      </w:r>
      <w:proofErr w:type="spellEnd"/>
      <w:r w:rsidRPr="00D1740E">
        <w:rPr>
          <w:szCs w:val="20"/>
          <w:lang w:val="es-ES"/>
        </w:rPr>
        <w:t xml:space="preserve"> de la </w:t>
      </w:r>
      <w:proofErr w:type="spellStart"/>
      <w:r w:rsidRPr="00D1740E">
        <w:rPr>
          <w:szCs w:val="20"/>
          <w:lang w:val="es-ES"/>
        </w:rPr>
        <w:t>legislación</w:t>
      </w:r>
      <w:proofErr w:type="spellEnd"/>
      <w:r w:rsidRPr="00D1740E">
        <w:rPr>
          <w:szCs w:val="20"/>
          <w:lang w:val="es-ES"/>
        </w:rPr>
        <w:t xml:space="preserve"> nacional y los </w:t>
      </w:r>
      <w:proofErr w:type="spellStart"/>
      <w:r w:rsidRPr="00D1740E">
        <w:rPr>
          <w:szCs w:val="20"/>
          <w:lang w:val="es-ES"/>
        </w:rPr>
        <w:t>parámetros</w:t>
      </w:r>
      <w:proofErr w:type="spellEnd"/>
      <w:r w:rsidRPr="00D1740E">
        <w:rPr>
          <w:szCs w:val="20"/>
          <w:lang w:val="es-ES"/>
        </w:rPr>
        <w:t xml:space="preserve"> internacionales y un enfoque en las normas relevantes para la </w:t>
      </w:r>
      <w:proofErr w:type="spellStart"/>
      <w:r w:rsidRPr="00D1740E">
        <w:rPr>
          <w:szCs w:val="20"/>
          <w:lang w:val="es-ES"/>
        </w:rPr>
        <w:t>práctica</w:t>
      </w:r>
      <w:proofErr w:type="spellEnd"/>
      <w:r w:rsidRPr="00D1740E">
        <w:rPr>
          <w:szCs w:val="20"/>
          <w:lang w:val="es-ES"/>
        </w:rPr>
        <w:t xml:space="preserve"> de las personas y los riesgos para los derechos humanos.</w:t>
      </w:r>
    </w:p>
    <w:p w14:paraId="4D7E31B6" w14:textId="154EDD2C" w:rsidR="00443249" w:rsidRPr="00BB63D0" w:rsidRDefault="00443249" w:rsidP="00443249">
      <w:pPr>
        <w:pStyle w:val="Ttulo2"/>
      </w:pPr>
      <w:bookmarkStart w:id="54" w:name="_Toc89017910"/>
      <w:r>
        <w:t>Medidas para combatir violencia policial contra población afrodescendiente</w:t>
      </w:r>
      <w:bookmarkEnd w:id="54"/>
    </w:p>
    <w:p w14:paraId="353D946F" w14:textId="77777777" w:rsidR="00443249" w:rsidRDefault="00443249" w:rsidP="00443249">
      <w:pPr>
        <w:pStyle w:val="Caso"/>
      </w:pPr>
      <w:r w:rsidRPr="00E712ED">
        <w:t>Corte IDH. Caso Acosta Martínez y otros Vs. Argentina. Fondo, Reparaciones y Costas. Sentencia de 31 de agosto de 2020. Serie C No. 410</w:t>
      </w:r>
    </w:p>
    <w:p w14:paraId="42664B50" w14:textId="7D0F46C4" w:rsidR="009568ED" w:rsidRDefault="00443249" w:rsidP="00443249">
      <w:pPr>
        <w:pStyle w:val="Sinespaciado"/>
        <w:rPr>
          <w:szCs w:val="20"/>
        </w:rPr>
      </w:pPr>
      <w:r w:rsidRPr="00E712ED">
        <w:rPr>
          <w:szCs w:val="20"/>
        </w:rPr>
        <w:t xml:space="preserve">121. Este Tribunal tuvo por demostrado que </w:t>
      </w:r>
      <w:proofErr w:type="spellStart"/>
      <w:r w:rsidRPr="00E712ED">
        <w:rPr>
          <w:szCs w:val="20"/>
        </w:rPr>
        <w:t>Jose</w:t>
      </w:r>
      <w:proofErr w:type="spellEnd"/>
      <w:r w:rsidRPr="00E712ED">
        <w:rPr>
          <w:szCs w:val="20"/>
        </w:rPr>
        <w:t xml:space="preserve">́ </w:t>
      </w:r>
      <w:proofErr w:type="spellStart"/>
      <w:r w:rsidRPr="00E712ED">
        <w:rPr>
          <w:szCs w:val="20"/>
        </w:rPr>
        <w:t>Delfín</w:t>
      </w:r>
      <w:proofErr w:type="spellEnd"/>
      <w:r w:rsidRPr="00E712ED">
        <w:rPr>
          <w:szCs w:val="20"/>
        </w:rPr>
        <w:t xml:space="preserve"> Acosta </w:t>
      </w:r>
      <w:proofErr w:type="spellStart"/>
      <w:r w:rsidRPr="00E712ED">
        <w:rPr>
          <w:szCs w:val="20"/>
        </w:rPr>
        <w:t>Martínez</w:t>
      </w:r>
      <w:proofErr w:type="spellEnd"/>
      <w:r w:rsidRPr="00E712ED">
        <w:rPr>
          <w:szCs w:val="20"/>
        </w:rPr>
        <w:t xml:space="preserve"> fue </w:t>
      </w:r>
      <w:proofErr w:type="spellStart"/>
      <w:r w:rsidRPr="00E712ED">
        <w:rPr>
          <w:szCs w:val="20"/>
        </w:rPr>
        <w:t>víctima</w:t>
      </w:r>
      <w:proofErr w:type="spellEnd"/>
      <w:r w:rsidRPr="00E712ED">
        <w:rPr>
          <w:szCs w:val="20"/>
        </w:rPr>
        <w:t xml:space="preserve"> de discriminación racial. La Corte valora positivamente las medidas que ha tomado el Estado argentino para reconocer el problema </w:t>
      </w:r>
      <w:proofErr w:type="spellStart"/>
      <w:r w:rsidRPr="00E712ED">
        <w:rPr>
          <w:szCs w:val="20"/>
        </w:rPr>
        <w:t>sistémico</w:t>
      </w:r>
      <w:proofErr w:type="spellEnd"/>
      <w:r w:rsidRPr="00E712ED">
        <w:rPr>
          <w:szCs w:val="20"/>
        </w:rPr>
        <w:t xml:space="preserve"> de discriminación racial. No obstante, este Tribunal considera que es necesario tomar medidas que visibilicen y permitan prevenir la violencia policial motivada por perfiles raciales. En virtud de ello, estima pertinente requerir al Estado implementar: i) un mecanismo que registre las denuncias de las personas que aleguen haber sido detenidas de manera arbitraria, </w:t>
      </w:r>
      <w:r w:rsidRPr="00E712ED">
        <w:rPr>
          <w:szCs w:val="20"/>
        </w:rPr>
        <w:lastRenderedPageBreak/>
        <w:t xml:space="preserve">con base en perfiles raciales, de forma que se logre un registro de estas situaciones y se pueda actuar en atención a dichas denuncias, y ii) un sistema de registro y </w:t>
      </w:r>
      <w:proofErr w:type="spellStart"/>
      <w:r w:rsidRPr="00E712ED">
        <w:rPr>
          <w:szCs w:val="20"/>
        </w:rPr>
        <w:t>estadísticas</w:t>
      </w:r>
      <w:proofErr w:type="spellEnd"/>
      <w:r w:rsidRPr="00E712ED">
        <w:rPr>
          <w:szCs w:val="20"/>
        </w:rPr>
        <w:t xml:space="preserve"> sobre la </w:t>
      </w:r>
      <w:proofErr w:type="spellStart"/>
      <w:r w:rsidRPr="00E712ED">
        <w:rPr>
          <w:szCs w:val="20"/>
        </w:rPr>
        <w:t>población</w:t>
      </w:r>
      <w:proofErr w:type="spellEnd"/>
      <w:r w:rsidRPr="00E712ED">
        <w:rPr>
          <w:szCs w:val="20"/>
        </w:rPr>
        <w:t xml:space="preserve"> afrodescendiente en el </w:t>
      </w:r>
      <w:proofErr w:type="spellStart"/>
      <w:r w:rsidRPr="00E712ED">
        <w:rPr>
          <w:szCs w:val="20"/>
        </w:rPr>
        <w:t>país</w:t>
      </w:r>
      <w:proofErr w:type="spellEnd"/>
      <w:r w:rsidRPr="00E712ED">
        <w:rPr>
          <w:szCs w:val="20"/>
        </w:rPr>
        <w:t xml:space="preserve">, </w:t>
      </w:r>
      <w:proofErr w:type="spellStart"/>
      <w:r w:rsidRPr="00E712ED">
        <w:rPr>
          <w:szCs w:val="20"/>
        </w:rPr>
        <w:t>asi</w:t>
      </w:r>
      <w:proofErr w:type="spellEnd"/>
      <w:r w:rsidRPr="00E712ED">
        <w:rPr>
          <w:szCs w:val="20"/>
        </w:rPr>
        <w:t xml:space="preserve">́ como sobre las detenciones indicadas en el punto i) anterior, de manera que se puedan observar las detenciones llevadas a cabo contra personas afrodescendientes y las denuncias interpuestas por </w:t>
      </w:r>
      <w:proofErr w:type="spellStart"/>
      <w:r w:rsidRPr="00E712ED">
        <w:rPr>
          <w:szCs w:val="20"/>
        </w:rPr>
        <w:t>éstas</w:t>
      </w:r>
      <w:proofErr w:type="spellEnd"/>
      <w:r w:rsidRPr="00E712ED">
        <w:rPr>
          <w:szCs w:val="20"/>
        </w:rPr>
        <w:t xml:space="preserve">, en </w:t>
      </w:r>
      <w:proofErr w:type="spellStart"/>
      <w:r w:rsidRPr="00E712ED">
        <w:rPr>
          <w:szCs w:val="20"/>
        </w:rPr>
        <w:t>relación</w:t>
      </w:r>
      <w:proofErr w:type="spellEnd"/>
      <w:r w:rsidRPr="00E712ED">
        <w:rPr>
          <w:szCs w:val="20"/>
        </w:rPr>
        <w:t xml:space="preserve"> con el total de la </w:t>
      </w:r>
      <w:proofErr w:type="spellStart"/>
      <w:r w:rsidRPr="00E712ED">
        <w:rPr>
          <w:szCs w:val="20"/>
        </w:rPr>
        <w:t>población</w:t>
      </w:r>
      <w:proofErr w:type="spellEnd"/>
      <w:r w:rsidRPr="00E712ED">
        <w:rPr>
          <w:szCs w:val="20"/>
        </w:rPr>
        <w:t xml:space="preserve">. Esta </w:t>
      </w:r>
      <w:proofErr w:type="spellStart"/>
      <w:r w:rsidRPr="00E712ED">
        <w:rPr>
          <w:szCs w:val="20"/>
        </w:rPr>
        <w:t>información</w:t>
      </w:r>
      <w:proofErr w:type="spellEnd"/>
      <w:r w:rsidRPr="00E712ED">
        <w:rPr>
          <w:szCs w:val="20"/>
        </w:rPr>
        <w:t xml:space="preserve"> </w:t>
      </w:r>
      <w:proofErr w:type="spellStart"/>
      <w:r w:rsidRPr="00E712ED">
        <w:rPr>
          <w:szCs w:val="20"/>
        </w:rPr>
        <w:t>debera</w:t>
      </w:r>
      <w:proofErr w:type="spellEnd"/>
      <w:r w:rsidRPr="00E712ED">
        <w:rPr>
          <w:szCs w:val="20"/>
        </w:rPr>
        <w:t xml:space="preserve">́ ser difundida anualmente por el Estado, a través de un informe, garantizando su acceso a toda la </w:t>
      </w:r>
      <w:proofErr w:type="spellStart"/>
      <w:r w:rsidRPr="00E712ED">
        <w:rPr>
          <w:szCs w:val="20"/>
        </w:rPr>
        <w:t>población</w:t>
      </w:r>
      <w:proofErr w:type="spellEnd"/>
      <w:r w:rsidRPr="00E712ED">
        <w:rPr>
          <w:szCs w:val="20"/>
        </w:rPr>
        <w:t xml:space="preserve"> en general, </w:t>
      </w:r>
      <w:proofErr w:type="spellStart"/>
      <w:r w:rsidRPr="00E712ED">
        <w:rPr>
          <w:szCs w:val="20"/>
        </w:rPr>
        <w:t>asi</w:t>
      </w:r>
      <w:proofErr w:type="spellEnd"/>
      <w:r w:rsidRPr="00E712ED">
        <w:rPr>
          <w:szCs w:val="20"/>
        </w:rPr>
        <w:t xml:space="preserve">́ como la reserva de identidad de las </w:t>
      </w:r>
      <w:proofErr w:type="spellStart"/>
      <w:r w:rsidRPr="00E712ED">
        <w:rPr>
          <w:szCs w:val="20"/>
        </w:rPr>
        <w:t>víctimas</w:t>
      </w:r>
      <w:proofErr w:type="spellEnd"/>
      <w:r w:rsidRPr="00E712ED">
        <w:rPr>
          <w:szCs w:val="20"/>
        </w:rPr>
        <w:t xml:space="preserve">. A tal efecto, el Estado </w:t>
      </w:r>
      <w:r>
        <w:rPr>
          <w:szCs w:val="20"/>
        </w:rPr>
        <w:t xml:space="preserve">deberá </w:t>
      </w:r>
      <w:r w:rsidRPr="00E712ED">
        <w:rPr>
          <w:szCs w:val="20"/>
        </w:rPr>
        <w:t xml:space="preserve">presentar a la Corte un informe anual durante tres </w:t>
      </w:r>
      <w:proofErr w:type="spellStart"/>
      <w:r w:rsidRPr="00E712ED">
        <w:rPr>
          <w:szCs w:val="20"/>
        </w:rPr>
        <w:t>años</w:t>
      </w:r>
      <w:proofErr w:type="spellEnd"/>
      <w:r w:rsidRPr="00E712ED">
        <w:rPr>
          <w:szCs w:val="20"/>
        </w:rPr>
        <w:t xml:space="preserve"> a partir de la </w:t>
      </w:r>
      <w:proofErr w:type="spellStart"/>
      <w:r w:rsidRPr="00E712ED">
        <w:rPr>
          <w:szCs w:val="20"/>
        </w:rPr>
        <w:t>implementación</w:t>
      </w:r>
      <w:proofErr w:type="spellEnd"/>
      <w:r w:rsidRPr="00E712ED">
        <w:rPr>
          <w:szCs w:val="20"/>
        </w:rPr>
        <w:t xml:space="preserve"> de los sistemas de registro, en el que indique las acciones que se han realizado para tal fin.</w:t>
      </w:r>
    </w:p>
    <w:p w14:paraId="704C4854" w14:textId="6D22E5BD" w:rsidR="009568ED" w:rsidRPr="00BB63D0" w:rsidRDefault="009568ED" w:rsidP="009568ED">
      <w:pPr>
        <w:pStyle w:val="Ttulo2"/>
      </w:pPr>
      <w:bookmarkStart w:id="55" w:name="_Toc89017911"/>
      <w:r>
        <w:t>Medidas para garantizar consentimiento informado de personas en situación de discapacidad</w:t>
      </w:r>
      <w:bookmarkEnd w:id="55"/>
    </w:p>
    <w:p w14:paraId="3D9B0842" w14:textId="2FD8E96E" w:rsidR="009568ED" w:rsidRDefault="009568ED" w:rsidP="009568ED">
      <w:pPr>
        <w:pStyle w:val="Caso"/>
      </w:pPr>
      <w:r w:rsidRPr="009568ED">
        <w:t xml:space="preserve">Corte IDH. Caso </w:t>
      </w:r>
      <w:proofErr w:type="spellStart"/>
      <w:r w:rsidRPr="009568ED">
        <w:t>Guachalá</w:t>
      </w:r>
      <w:proofErr w:type="spellEnd"/>
      <w:r w:rsidRPr="009568ED">
        <w:t xml:space="preserve"> Chimbo y otros Vs. Ecuador. Fondo, Reparaciones y Costas. Sentencia de 26 de marzo de 2021. Serie C No. 423</w:t>
      </w:r>
    </w:p>
    <w:p w14:paraId="37D665F9" w14:textId="65BC4F16" w:rsidR="009568ED" w:rsidRDefault="009568ED" w:rsidP="009568ED">
      <w:pPr>
        <w:pStyle w:val="Sinespaciado"/>
        <w:rPr>
          <w:szCs w:val="20"/>
        </w:rPr>
      </w:pPr>
      <w:r w:rsidRPr="009568ED">
        <w:rPr>
          <w:szCs w:val="20"/>
        </w:rPr>
        <w:t xml:space="preserve">244. Respecto al consentimiento informado, el Estado no ha demostrado que se encuentre regulada la obligación de brindar los apoyos necesarios para que las personas con discapacidad puedan tomar las decisiones pertinentes respecto a los tratamientos </w:t>
      </w:r>
      <w:proofErr w:type="spellStart"/>
      <w:r w:rsidRPr="009568ED">
        <w:rPr>
          <w:szCs w:val="20"/>
        </w:rPr>
        <w:t>médicos</w:t>
      </w:r>
      <w:proofErr w:type="spellEnd"/>
      <w:r w:rsidRPr="009568ED">
        <w:rPr>
          <w:szCs w:val="20"/>
        </w:rPr>
        <w:t xml:space="preserve"> que desean recibir. Por el contrario, en el presente proceso internacional, el Estado </w:t>
      </w:r>
      <w:proofErr w:type="spellStart"/>
      <w:r w:rsidRPr="009568ED">
        <w:rPr>
          <w:szCs w:val="20"/>
        </w:rPr>
        <w:t>señalo</w:t>
      </w:r>
      <w:proofErr w:type="spellEnd"/>
      <w:r w:rsidRPr="009568ED">
        <w:rPr>
          <w:szCs w:val="20"/>
        </w:rPr>
        <w:t xml:space="preserve">́ que “[e]s obvio que, en el caso de </w:t>
      </w:r>
      <w:proofErr w:type="spellStart"/>
      <w:r w:rsidRPr="009568ED">
        <w:rPr>
          <w:szCs w:val="20"/>
        </w:rPr>
        <w:t>niñas</w:t>
      </w:r>
      <w:proofErr w:type="spellEnd"/>
      <w:r w:rsidRPr="009568ED">
        <w:rPr>
          <w:szCs w:val="20"/>
        </w:rPr>
        <w:t xml:space="preserve">, </w:t>
      </w:r>
      <w:proofErr w:type="spellStart"/>
      <w:r w:rsidRPr="009568ED">
        <w:rPr>
          <w:szCs w:val="20"/>
        </w:rPr>
        <w:t>niños</w:t>
      </w:r>
      <w:proofErr w:type="spellEnd"/>
      <w:r w:rsidRPr="009568ED">
        <w:rPr>
          <w:szCs w:val="20"/>
        </w:rPr>
        <w:t xml:space="preserve"> y adolescentes, y de personas con discapacidad, es la familia quien genera este consentimiento”.</w:t>
      </w:r>
    </w:p>
    <w:p w14:paraId="0432EDBD" w14:textId="77777777" w:rsidR="009568ED" w:rsidRPr="009568ED" w:rsidRDefault="009568ED" w:rsidP="009568ED">
      <w:pPr>
        <w:pStyle w:val="Sinespaciado"/>
        <w:rPr>
          <w:szCs w:val="20"/>
        </w:rPr>
      </w:pPr>
    </w:p>
    <w:p w14:paraId="04724661" w14:textId="3712C27F" w:rsidR="009568ED" w:rsidRPr="00BB63D0" w:rsidRDefault="009568ED" w:rsidP="009568ED">
      <w:pPr>
        <w:pStyle w:val="Sinespaciado"/>
        <w:rPr>
          <w:szCs w:val="20"/>
        </w:rPr>
      </w:pPr>
      <w:r w:rsidRPr="009568ED">
        <w:rPr>
          <w:szCs w:val="20"/>
        </w:rPr>
        <w:t xml:space="preserve">245. En virtud de lo anterior, la Corte considera conveniente ordenar al Estado regular, en el plazo de dos </w:t>
      </w:r>
      <w:proofErr w:type="spellStart"/>
      <w:r w:rsidRPr="009568ED">
        <w:rPr>
          <w:szCs w:val="20"/>
        </w:rPr>
        <w:t>años</w:t>
      </w:r>
      <w:proofErr w:type="spellEnd"/>
      <w:r w:rsidRPr="009568ED">
        <w:rPr>
          <w:szCs w:val="20"/>
        </w:rPr>
        <w:t xml:space="preserve"> contados a partir de la </w:t>
      </w:r>
      <w:proofErr w:type="spellStart"/>
      <w:r w:rsidRPr="009568ED">
        <w:rPr>
          <w:szCs w:val="20"/>
        </w:rPr>
        <w:t>notificación</w:t>
      </w:r>
      <w:proofErr w:type="spellEnd"/>
      <w:r w:rsidRPr="009568ED">
        <w:rPr>
          <w:szCs w:val="20"/>
        </w:rPr>
        <w:t xml:space="preserve"> de la presente Sentencia, de forma </w:t>
      </w:r>
      <w:proofErr w:type="spellStart"/>
      <w:r w:rsidRPr="009568ED">
        <w:rPr>
          <w:szCs w:val="20"/>
        </w:rPr>
        <w:t>específica</w:t>
      </w:r>
      <w:proofErr w:type="spellEnd"/>
      <w:r w:rsidRPr="009568ED">
        <w:rPr>
          <w:szCs w:val="20"/>
        </w:rPr>
        <w:t xml:space="preserve">, la obligación internacional de brindar apoyos a las personas con discapacidad para que </w:t>
      </w:r>
      <w:proofErr w:type="spellStart"/>
      <w:r w:rsidRPr="009568ED">
        <w:rPr>
          <w:szCs w:val="20"/>
        </w:rPr>
        <w:t>éstas</w:t>
      </w:r>
      <w:proofErr w:type="spellEnd"/>
      <w:r w:rsidRPr="009568ED">
        <w:rPr>
          <w:szCs w:val="20"/>
        </w:rPr>
        <w:t xml:space="preserve"> puedan dar su consentimiento informado a tratamientos </w:t>
      </w:r>
      <w:proofErr w:type="spellStart"/>
      <w:r w:rsidRPr="009568ED">
        <w:rPr>
          <w:szCs w:val="20"/>
        </w:rPr>
        <w:t>médicos</w:t>
      </w:r>
      <w:proofErr w:type="spellEnd"/>
      <w:r w:rsidRPr="009568ED">
        <w:rPr>
          <w:szCs w:val="20"/>
        </w:rPr>
        <w:t xml:space="preserve">, de conformidad con lo establecido en los </w:t>
      </w:r>
      <w:proofErr w:type="spellStart"/>
      <w:r w:rsidRPr="009568ED">
        <w:rPr>
          <w:szCs w:val="20"/>
        </w:rPr>
        <w:t>párrafos</w:t>
      </w:r>
      <w:proofErr w:type="spellEnd"/>
      <w:r w:rsidRPr="009568ED">
        <w:rPr>
          <w:szCs w:val="20"/>
        </w:rPr>
        <w:t xml:space="preserve"> 110 a 139 de esta Sentencia. En este sentido, el Estado </w:t>
      </w:r>
      <w:proofErr w:type="spellStart"/>
      <w:r w:rsidRPr="009568ED">
        <w:rPr>
          <w:szCs w:val="20"/>
        </w:rPr>
        <w:t>debera</w:t>
      </w:r>
      <w:proofErr w:type="spellEnd"/>
      <w:r w:rsidRPr="009568ED">
        <w:rPr>
          <w:szCs w:val="20"/>
        </w:rPr>
        <w:t xml:space="preserve">́ establecer expresamente la obligación de brindar apoyos a las personas con discapacidad, para </w:t>
      </w:r>
      <w:proofErr w:type="spellStart"/>
      <w:r w:rsidRPr="009568ED">
        <w:rPr>
          <w:szCs w:val="20"/>
        </w:rPr>
        <w:t>asi</w:t>
      </w:r>
      <w:proofErr w:type="spellEnd"/>
      <w:r w:rsidRPr="009568ED">
        <w:rPr>
          <w:szCs w:val="20"/>
        </w:rPr>
        <w:t>́ garantizar el derecho a la salud sin discriminación.</w:t>
      </w:r>
    </w:p>
    <w:p w14:paraId="1279DF23" w14:textId="6AA75D95" w:rsidR="00860033" w:rsidRPr="00144170" w:rsidRDefault="00860033" w:rsidP="00BB63D0">
      <w:pPr>
        <w:rPr>
          <w:szCs w:val="20"/>
          <w:lang w:val="es-ES"/>
        </w:rPr>
      </w:pPr>
    </w:p>
    <w:sectPr w:rsidR="00860033" w:rsidRPr="00144170" w:rsidSect="00495143">
      <w:footerReference w:type="even" r:id="rId8"/>
      <w:footerReference w:type="default" r:id="rId9"/>
      <w:pgSz w:w="11900" w:h="16840" w:code="9"/>
      <w:pgMar w:top="154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0467" w14:textId="77777777" w:rsidR="00C43FB4" w:rsidRDefault="00C43FB4" w:rsidP="00677C6A">
      <w:r>
        <w:separator/>
      </w:r>
    </w:p>
  </w:endnote>
  <w:endnote w:type="continuationSeparator" w:id="0">
    <w:p w14:paraId="7B8EB070" w14:textId="77777777" w:rsidR="00C43FB4" w:rsidRDefault="00C43FB4" w:rsidP="006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11817831"/>
      <w:docPartObj>
        <w:docPartGallery w:val="Page Numbers (Bottom of Page)"/>
        <w:docPartUnique/>
      </w:docPartObj>
    </w:sdtPr>
    <w:sdtEndPr>
      <w:rPr>
        <w:rStyle w:val="Nmerodepgina"/>
      </w:rPr>
    </w:sdtEndPr>
    <w:sdtContent>
      <w:p w14:paraId="0C401E4E" w14:textId="67882A1F" w:rsidR="000A589F" w:rsidRDefault="000A589F" w:rsidP="005A784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DBD8FBE" w14:textId="77777777" w:rsidR="000A589F" w:rsidRDefault="000A589F" w:rsidP="000A58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11008846"/>
      <w:docPartObj>
        <w:docPartGallery w:val="Page Numbers (Bottom of Page)"/>
        <w:docPartUnique/>
      </w:docPartObj>
    </w:sdtPr>
    <w:sdtEndPr>
      <w:rPr>
        <w:rStyle w:val="Nmerodepgina"/>
      </w:rPr>
    </w:sdtEndPr>
    <w:sdtContent>
      <w:p w14:paraId="2236DE07" w14:textId="428B34C8" w:rsidR="000A589F" w:rsidRDefault="000A589F" w:rsidP="005A784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23E4F926" w14:textId="77777777" w:rsidR="000A589F" w:rsidRDefault="000A589F" w:rsidP="000A58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6FBD" w14:textId="77777777" w:rsidR="00C43FB4" w:rsidRDefault="00C43FB4" w:rsidP="00677C6A">
      <w:r>
        <w:separator/>
      </w:r>
    </w:p>
  </w:footnote>
  <w:footnote w:type="continuationSeparator" w:id="0">
    <w:p w14:paraId="3F07DA95" w14:textId="77777777" w:rsidR="00C43FB4" w:rsidRDefault="00C43FB4" w:rsidP="00677C6A">
      <w:r>
        <w:continuationSeparator/>
      </w:r>
    </w:p>
  </w:footnote>
  <w:footnote w:id="1">
    <w:p w14:paraId="13AD0247" w14:textId="61497983" w:rsidR="00234E1D" w:rsidRPr="004E2B39" w:rsidRDefault="00234E1D" w:rsidP="004E2B39">
      <w:pPr>
        <w:pStyle w:val="Textonotapie"/>
        <w:rPr>
          <w:rFonts w:ascii="Verdana" w:hAnsi="Verdana"/>
          <w:sz w:val="16"/>
          <w:szCs w:val="16"/>
          <w:lang w:val="es-ES"/>
        </w:rPr>
      </w:pPr>
      <w:r w:rsidRPr="004E2B39">
        <w:rPr>
          <w:rStyle w:val="Refdenotaalpie"/>
          <w:rFonts w:ascii="Verdana" w:hAnsi="Verdana"/>
          <w:sz w:val="16"/>
          <w:szCs w:val="16"/>
        </w:rPr>
        <w:footnoteRef/>
      </w:r>
      <w:r w:rsidRPr="004E2B39">
        <w:rPr>
          <w:rFonts w:ascii="Verdana" w:hAnsi="Verdana"/>
          <w:sz w:val="16"/>
          <w:szCs w:val="16"/>
          <w:lang w:val="es-CL"/>
        </w:rPr>
        <w:t xml:space="preserve"> </w:t>
      </w:r>
      <w:r w:rsidRPr="004E2B39">
        <w:rPr>
          <w:rFonts w:ascii="Verdana" w:hAnsi="Verdana"/>
          <w:sz w:val="16"/>
          <w:szCs w:val="16"/>
          <w:lang w:val="es-ES"/>
        </w:rPr>
        <w:t>Las preguntas formuladas por el Estado de Costa Rica a la Corte Interamericana fueron: 1. Si existe alguna incompatibilidad entre las reformas propuestas y las disposiciones citadas de la Convención  Interamericana de Derechos Humanos.</w:t>
      </w:r>
      <w:r w:rsidR="00802F1A" w:rsidRPr="004E2B39">
        <w:rPr>
          <w:rFonts w:ascii="Verdana" w:hAnsi="Verdana"/>
          <w:sz w:val="16"/>
          <w:szCs w:val="16"/>
          <w:lang w:val="es-ES"/>
        </w:rPr>
        <w:t xml:space="preserve"> </w:t>
      </w:r>
      <w:r w:rsidRPr="004E2B39">
        <w:rPr>
          <w:rFonts w:ascii="Verdana" w:hAnsi="Verdana"/>
          <w:sz w:val="16"/>
          <w:szCs w:val="16"/>
          <w:lang w:val="es-ES"/>
        </w:rPr>
        <w:t>En una forma específica, dentro  del contexto de la pregunta anterior, estima que deben contestarse las  siguientes preguntas:  1. Se afecta en alguna forma el derecho  de toda persona a tener una nacionalidad estipulado en el artículo 20, párrafo  primero de la Convención, con las modificaciones proyectadas a los artículos 14  y 15 de la Constitución Política? 2. Es compatible la reforma propuesta al  inciso 4 del artículo 14, según el texto propuesto en el dictamen, con el  artículo 17, párrafo 4 de la Convención, en cuanto a igualdad entre los  cónyuges? 3. Es  compatible el texto de la moción acompañada por los Diputados a su dictamen  para reforma de ese mismo inciso, con el párrafo primero del artículo 20 de la  Convención?</w:t>
      </w:r>
    </w:p>
  </w:footnote>
  <w:footnote w:id="2">
    <w:p w14:paraId="65D34D43" w14:textId="2ACCB50C" w:rsidR="00802F1A" w:rsidRPr="004E2B39" w:rsidRDefault="00802F1A" w:rsidP="004E2B39">
      <w:pPr>
        <w:pStyle w:val="Textonotapie"/>
        <w:rPr>
          <w:rFonts w:ascii="Verdana" w:hAnsi="Verdana"/>
          <w:sz w:val="16"/>
          <w:szCs w:val="16"/>
          <w:lang w:val="es-ES"/>
        </w:rPr>
      </w:pPr>
      <w:r w:rsidRPr="004E2B39">
        <w:rPr>
          <w:rStyle w:val="Refdenotaalpie"/>
          <w:rFonts w:ascii="Verdana" w:hAnsi="Verdana"/>
          <w:sz w:val="16"/>
          <w:szCs w:val="16"/>
        </w:rPr>
        <w:footnoteRef/>
      </w:r>
      <w:r w:rsidRPr="004E2B39">
        <w:rPr>
          <w:rFonts w:ascii="Verdana" w:hAnsi="Verdana"/>
          <w:sz w:val="16"/>
          <w:szCs w:val="16"/>
          <w:lang w:val="es-CL"/>
        </w:rPr>
        <w:t xml:space="preserve"> </w:t>
      </w:r>
      <w:r w:rsidRPr="004E2B39">
        <w:rPr>
          <w:rFonts w:ascii="Verdana" w:hAnsi="Verdana"/>
          <w:sz w:val="16"/>
          <w:szCs w:val="16"/>
          <w:lang w:val="es-ES"/>
        </w:rPr>
        <w:t>Las preguntas formuladas por los Estados Unidos Mexicanos fueron: En el marco del principio de igualdad jurídica consagrado en el artículo II de la Declaración Americana, en el artículo 24 de la Convención Americana, en el artículo 7 de la Declaración Universal y en el artículo 26 del Pacto [Internacional de Derechos Civiles y Políticos …], 1) ¿Puede un Estado americano, en relación con su legislación laboral, establecer un trato perjudicialmente distinto para los trabajadores migratorios indocumentados en cuanto al goce de sus derechos laborales respecto de los residentes legales o los ciudadanos, en el sentido de que dicha condición migratoria de los trabajadores impide per se el goce de tales derechos? 2.1) Los artículos 2, párrafo 1 de la Declaración Universal y II de la Declaración Americana y los artículos 2 y 26 del Pacto [Internacional de Derechos Civiles y Políticos], así como 1 y 24 de la Convención Americana, ¿deben interpretarse en el sentido de que la legal estancia de las personas en el territorio de un Estado americano es condición necesaria para que dicho Estado respete y garantice los derechos y libertades reconocidos en dichas disposiciones a las personas sujetas a su jurisdicción? 2.2) A la luz de las disposiciones citadas en la pregunta anterior[,] ¿puede considerarse que la privación de uno o más derechos laborales, tomando como fundamento de tal privación la condición indocumentada de un trabajador migratorio, es compatible con los deberes de un Estado americano de garantizar la no discriminación y la protección igualitaria y efectiva de la ley que le imponen las disposiciones mencionadas?  Con fundamento en el artículo 2, párrafos 1 y 2 y  en el artículo 5, párrafo 2, [ambos] del Pacto Internacional de Derechos Civiles y Políticos, 3) ¿Cuál sería la validez de la interpretación por parte de un Estado americano en el sentido de subordinar o condicionar de cualquier forma la observancia de los derechos humanos fundamentales, incluyendo el derecho a la igualdad ante la ley y a la igual y efectiva protección de la misma sin discriminación, a la consecución de objetivos de política migratoria contenidos en sus leyes, independientemente de la jerarquía que el derecho interno atribuya a tales leyes, frente a las obligaciones internacionales derivadas del Pacto Internacional de Derechos Civiles y Políticos y de otras obligaciones del derecho internacional de los derechos humanos oponibles erga omnes?  Habida cuenta del desarrollo progresivo del derecho internacional de los derechos humanos y su codificación, en especial a través de las disposiciones invocadas de los instrumentos mencionados en la presente solicitud, 4) ¿Qué carácter tienen hoy el principio de no discriminación y el derecho a la protección igualitaria y efectiva de la ley en la jerarquía normativa que establece el derecho internacional general, y en ese contexto, pueden considerarse como la expresión de normas de ius cogens?  Si la respuesta a esta segunda pregunta resultase afirmativa, ¿qué efectos jurídicos se derivan para los Estados miembros de la OEA, individual y colectivamente, en el marco de la obligación general de respetar y garantizar, conforme al artículo 2 párrafo 1 del Pacto [Internacional de Derechos Civiles y Políticos], el cumplimiento de los derechos humanos a que se refieren el artículo 3, inciso (I) y el artículo 17 de la Carta de la OEA?</w:t>
      </w:r>
    </w:p>
  </w:footnote>
  <w:footnote w:id="3">
    <w:p w14:paraId="46B3AD24" w14:textId="62C1AB9D" w:rsidR="00802F1A" w:rsidRPr="004E2B39" w:rsidRDefault="00802F1A"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exclusión de la organización indígena YATAMA de participar en las elecciones municipales de 2000. La Corte estableció la responsabilidad internacional del Estado por la violación de los siguientes derechos convencionales: Artículo 1 (Obligación de respetar los derechos), Artículo 2 (Deber de adoptar disposiciones de derecho interno), Artículo 23 (Derechos políticos), Artículo 24 (Igualdad ante la ley), Artículo 25 (Protección Judicial), Artículo 8 (Garantías Judiciales).</w:t>
      </w:r>
    </w:p>
  </w:footnote>
  <w:footnote w:id="4">
    <w:p w14:paraId="370A75C3" w14:textId="77777777" w:rsidR="007269CF" w:rsidRPr="004E2B39" w:rsidRDefault="007269CF" w:rsidP="004E2B39">
      <w:pPr>
        <w:pStyle w:val="Footnotes"/>
        <w:rPr>
          <w:rStyle w:val="Refdenotaalpie"/>
          <w:vertAlign w:val="baseline"/>
        </w:rPr>
      </w:pPr>
      <w:r w:rsidRPr="004E2B39">
        <w:rPr>
          <w:rStyle w:val="Refdenotaalpie"/>
        </w:rPr>
        <w:footnoteRef/>
      </w:r>
      <w:r w:rsidRPr="004E2B39">
        <w:rPr>
          <w:rStyle w:val="Refdenotaalpie"/>
        </w:rPr>
        <w:t xml:space="preserve"> </w:t>
      </w:r>
      <w:r w:rsidRPr="004E2B39">
        <w:t xml:space="preserve">El 24 de agosto de 2010 la Corte Interamericana de Derechos Humanos declaró responsable internacionalmente al Estado del Paraguay por la falta de </w:t>
      </w:r>
      <w:proofErr w:type="spellStart"/>
      <w:r w:rsidRPr="004E2B39">
        <w:t>garantía</w:t>
      </w:r>
      <w:proofErr w:type="spellEnd"/>
      <w:r w:rsidRPr="004E2B39">
        <w:t xml:space="preserve"> del derecho de propiedad comunitaria, las </w:t>
      </w:r>
      <w:proofErr w:type="spellStart"/>
      <w:r w:rsidRPr="004E2B39">
        <w:t>garantías</w:t>
      </w:r>
      <w:proofErr w:type="spellEnd"/>
      <w:r w:rsidRPr="004E2B39">
        <w:t xml:space="preserve"> judiciales, la protección judicial, </w:t>
      </w:r>
      <w:proofErr w:type="spellStart"/>
      <w:r w:rsidRPr="004E2B39">
        <w:t>asi</w:t>
      </w:r>
      <w:proofErr w:type="spellEnd"/>
      <w:r w:rsidRPr="004E2B39">
        <w:t xml:space="preserve">́ como por la </w:t>
      </w:r>
      <w:proofErr w:type="spellStart"/>
      <w:r w:rsidRPr="004E2B39">
        <w:t>violación</w:t>
      </w:r>
      <w:proofErr w:type="spellEnd"/>
      <w:r w:rsidRPr="004E2B39">
        <w:t xml:space="preserve"> a los derechos a la vida, integridad personal, reconocimiento de la personalidad </w:t>
      </w:r>
      <w:proofErr w:type="spellStart"/>
      <w:r w:rsidRPr="004E2B39">
        <w:t>jurídica</w:t>
      </w:r>
      <w:proofErr w:type="spellEnd"/>
      <w:r w:rsidRPr="004E2B39">
        <w:t xml:space="preserve">, los derechos del </w:t>
      </w:r>
      <w:proofErr w:type="spellStart"/>
      <w:r w:rsidRPr="004E2B39">
        <w:t>niño</w:t>
      </w:r>
      <w:proofErr w:type="spellEnd"/>
      <w:r w:rsidRPr="004E2B39">
        <w:t xml:space="preserve"> y por el incumplimiento del deber de no discriminar. Todo ello en perjuicio de los miembros de la Comunidad </w:t>
      </w:r>
      <w:proofErr w:type="spellStart"/>
      <w:r w:rsidRPr="004E2B39">
        <w:t>Indígena</w:t>
      </w:r>
      <w:proofErr w:type="spellEnd"/>
      <w:r w:rsidRPr="004E2B39">
        <w:t xml:space="preserve"> </w:t>
      </w:r>
      <w:proofErr w:type="spellStart"/>
      <w:r w:rsidRPr="004E2B39">
        <w:t>Xákmok</w:t>
      </w:r>
      <w:proofErr w:type="spellEnd"/>
      <w:r w:rsidRPr="004E2B39">
        <w:t xml:space="preserve"> </w:t>
      </w:r>
      <w:proofErr w:type="spellStart"/>
      <w:r w:rsidRPr="004E2B39">
        <w:t>Kásek</w:t>
      </w:r>
      <w:proofErr w:type="spellEnd"/>
      <w:r w:rsidRPr="004E2B39">
        <w:t>.</w:t>
      </w:r>
    </w:p>
  </w:footnote>
  <w:footnote w:id="5">
    <w:p w14:paraId="23FD3B48" w14:textId="77777777" w:rsidR="007269CF" w:rsidRPr="004E2B39" w:rsidRDefault="007269CF" w:rsidP="004E2B39">
      <w:pPr>
        <w:pStyle w:val="Textonotapie"/>
        <w:rPr>
          <w:rFonts w:ascii="Verdana" w:hAnsi="Verdana"/>
          <w:b/>
          <w:bCs/>
          <w:sz w:val="16"/>
          <w:szCs w:val="16"/>
          <w:lang w:val="es-CL"/>
        </w:rPr>
      </w:pPr>
      <w:r w:rsidRPr="004E2B39">
        <w:rPr>
          <w:rStyle w:val="Refdenotaalpie"/>
          <w:rFonts w:ascii="Verdana" w:hAnsi="Verdana" w:cstheme="minorHAnsi"/>
          <w:sz w:val="16"/>
          <w:szCs w:val="16"/>
        </w:rPr>
        <w:footnoteRef/>
      </w:r>
      <w:r w:rsidRPr="004E2B39">
        <w:rPr>
          <w:rFonts w:ascii="Verdana" w:hAnsi="Verdana"/>
          <w:sz w:val="16"/>
          <w:szCs w:val="16"/>
          <w:lang w:val="es-CL"/>
        </w:rPr>
        <w:t xml:space="preserve"> El caso se refiere a la responsabilidad internacional del Estado por el trato discriminatorio y la interferencia arbitraria en la vida privada y familiar de Karen Atala Riffo, debido a su orientación sexual, en el proceso judicial que resultó en el retiro del cuidado y custodia de sus hijas M., V. y R. La Corte estableció la responsabilidad del Estado por la violación de los siguientes derechos de la Convención Americana: Artículo 1 (Obligación de respetar los derechos), Artículo 11 (Derecho a la honra y dignidad), Artículo 17 ( Protección a la Familia), Artículo 19 (Derecho de niño), Artículo 24 (Igualdad ante la ley), Artículo 25 (Protección Judicial), Artículo 8 (Garantías Judiciales). </w:t>
      </w:r>
    </w:p>
  </w:footnote>
  <w:footnote w:id="6">
    <w:p w14:paraId="0D04CAD1" w14:textId="77777777" w:rsidR="007269CF" w:rsidRPr="004E2B39" w:rsidRDefault="007269CF" w:rsidP="004E2B39">
      <w:pPr>
        <w:pStyle w:val="Footnotes"/>
        <w:rPr>
          <w:lang w:val="es-CL"/>
        </w:rPr>
      </w:pPr>
      <w:r w:rsidRPr="004E2B39">
        <w:rPr>
          <w:rStyle w:val="Refdenotaalpie"/>
        </w:rPr>
        <w:footnoteRef/>
      </w:r>
      <w:r w:rsidRPr="004E2B39">
        <w:t xml:space="preserve"> El presente caso se relaciona, inter alia, con la responsabilidad internacional del Estado por la falta de respuesta oportuna por parte de las autoridades judiciales argentinas, quienes incurrieron en una demora excesiva en la </w:t>
      </w:r>
      <w:proofErr w:type="spellStart"/>
      <w:r w:rsidRPr="004E2B39">
        <w:t>resolución</w:t>
      </w:r>
      <w:proofErr w:type="spellEnd"/>
      <w:r w:rsidRPr="004E2B39">
        <w:t xml:space="preserve"> de un proceso civil por </w:t>
      </w:r>
      <w:proofErr w:type="spellStart"/>
      <w:r w:rsidRPr="004E2B39">
        <w:t>daños</w:t>
      </w:r>
      <w:proofErr w:type="spellEnd"/>
      <w:r w:rsidRPr="004E2B39">
        <w:t xml:space="preserve"> y perjuicios en contra del Estado, de cuya respuesta </w:t>
      </w:r>
      <w:proofErr w:type="spellStart"/>
      <w:r w:rsidRPr="004E2B39">
        <w:t>dependía</w:t>
      </w:r>
      <w:proofErr w:type="spellEnd"/>
      <w:r w:rsidRPr="004E2B39">
        <w:t xml:space="preserve"> el tratamiento </w:t>
      </w:r>
      <w:proofErr w:type="spellStart"/>
      <w:r w:rsidRPr="004E2B39">
        <w:t>médico</w:t>
      </w:r>
      <w:proofErr w:type="spellEnd"/>
      <w:r w:rsidRPr="004E2B39">
        <w:t xml:space="preserve"> de un </w:t>
      </w:r>
      <w:proofErr w:type="spellStart"/>
      <w:r w:rsidRPr="004E2B39">
        <w:t>niño</w:t>
      </w:r>
      <w:proofErr w:type="spellEnd"/>
      <w:r w:rsidRPr="004E2B39">
        <w:t xml:space="preserve"> y, posteriormente, adulto con discapacidad. Derechos violados: Artículo 1 (Obligación de respetar los derechos), Artículo 19 (Derecho de niño), Artículo 21 (Derecho a la propiedad privada), Artículo 25 (Protección Judicial), Artículo 26 (Desarrollo progresivo), Artículo 5 (Derecho a la Integridad Personal), Artículo 8 (Garantías Judiciales).</w:t>
      </w:r>
    </w:p>
  </w:footnote>
  <w:footnote w:id="7">
    <w:p w14:paraId="064FFE89" w14:textId="66D07F63" w:rsidR="007269CF" w:rsidRPr="004E2B39" w:rsidRDefault="007269CF" w:rsidP="004E2B39">
      <w:pPr>
        <w:pStyle w:val="Footnotes"/>
        <w:rPr>
          <w:rStyle w:val="Refdenotaalpie"/>
          <w:vertAlign w:val="baseline"/>
        </w:rPr>
      </w:pPr>
      <w:r w:rsidRPr="004E2B39">
        <w:rPr>
          <w:rStyle w:val="Refdenotaalpie"/>
        </w:rPr>
        <w:footnoteRef/>
      </w:r>
      <w:r w:rsidRPr="004E2B39">
        <w:rPr>
          <w:rStyle w:val="Refdenotaalpie"/>
        </w:rPr>
        <w:t xml:space="preserve"> </w:t>
      </w:r>
      <w:r w:rsidRPr="004E2B39">
        <w:t xml:space="preserve">El 29 de mayo de 2014 la Corte Interamericana de Derechos Humanos </w:t>
      </w:r>
      <w:proofErr w:type="spellStart"/>
      <w:r w:rsidRPr="004E2B39">
        <w:t>emitio</w:t>
      </w:r>
      <w:proofErr w:type="spellEnd"/>
      <w:r w:rsidRPr="004E2B39">
        <w:t xml:space="preserve">́ su sentencia sobre el fondo, las reparaciones y costas en el presente caso, en la cual declaró, por unanimidad, que el Estado es responsable por la </w:t>
      </w:r>
      <w:proofErr w:type="spellStart"/>
      <w:r w:rsidRPr="004E2B39">
        <w:t>violación</w:t>
      </w:r>
      <w:proofErr w:type="spellEnd"/>
      <w:r w:rsidRPr="004E2B39">
        <w:t xml:space="preserve"> del principio de legalidad y el derecho a la </w:t>
      </w:r>
      <w:proofErr w:type="spellStart"/>
      <w:r w:rsidRPr="004E2B39">
        <w:t>presunción</w:t>
      </w:r>
      <w:proofErr w:type="spellEnd"/>
      <w:r w:rsidRPr="004E2B39">
        <w:t xml:space="preserve"> de inocencia, </w:t>
      </w:r>
      <w:proofErr w:type="spellStart"/>
      <w:r w:rsidRPr="004E2B39">
        <w:t>asi</w:t>
      </w:r>
      <w:proofErr w:type="spellEnd"/>
      <w:r w:rsidRPr="004E2B39">
        <w:t xml:space="preserve">́ como por la </w:t>
      </w:r>
      <w:proofErr w:type="spellStart"/>
      <w:r w:rsidRPr="004E2B39">
        <w:t>violación</w:t>
      </w:r>
      <w:proofErr w:type="spellEnd"/>
      <w:r w:rsidRPr="004E2B39">
        <w:t xml:space="preserve"> del principio de igualdad y no discriminación y el derecho a la igual protección de la ley y del derecho a la libertad personal, en perjuicio de los </w:t>
      </w:r>
      <w:proofErr w:type="spellStart"/>
      <w:r w:rsidRPr="004E2B39">
        <w:t>señores</w:t>
      </w:r>
      <w:proofErr w:type="spellEnd"/>
      <w:r w:rsidRPr="004E2B39">
        <w:t xml:space="preserve"> Segundo Aniceto </w:t>
      </w:r>
      <w:proofErr w:type="spellStart"/>
      <w:r w:rsidRPr="004E2B39">
        <w:t>Norín</w:t>
      </w:r>
      <w:proofErr w:type="spellEnd"/>
      <w:r w:rsidRPr="004E2B39">
        <w:t xml:space="preserve"> </w:t>
      </w:r>
      <w:proofErr w:type="spellStart"/>
      <w:r w:rsidRPr="004E2B39">
        <w:t>Catrimán</w:t>
      </w:r>
      <w:proofErr w:type="spellEnd"/>
      <w:r w:rsidRPr="004E2B39">
        <w:t xml:space="preserve">, Pascual </w:t>
      </w:r>
      <w:proofErr w:type="spellStart"/>
      <w:r w:rsidRPr="004E2B39">
        <w:t>Huentequeo</w:t>
      </w:r>
      <w:proofErr w:type="spellEnd"/>
      <w:r w:rsidRPr="004E2B39">
        <w:t xml:space="preserve"> </w:t>
      </w:r>
      <w:proofErr w:type="spellStart"/>
      <w:r w:rsidRPr="004E2B39">
        <w:t>Pichún</w:t>
      </w:r>
      <w:proofErr w:type="spellEnd"/>
      <w:r w:rsidRPr="004E2B39">
        <w:t xml:space="preserve"> </w:t>
      </w:r>
      <w:proofErr w:type="spellStart"/>
      <w:r w:rsidRPr="004E2B39">
        <w:t>Paillalao</w:t>
      </w:r>
      <w:proofErr w:type="spellEnd"/>
      <w:r w:rsidRPr="004E2B39">
        <w:t xml:space="preserve">, </w:t>
      </w:r>
      <w:proofErr w:type="spellStart"/>
      <w:r w:rsidRPr="004E2B39">
        <w:t>Víctor</w:t>
      </w:r>
      <w:proofErr w:type="spellEnd"/>
      <w:r w:rsidRPr="004E2B39">
        <w:t xml:space="preserve"> </w:t>
      </w:r>
      <w:proofErr w:type="spellStart"/>
      <w:r w:rsidRPr="004E2B39">
        <w:t>Ancalaf</w:t>
      </w:r>
      <w:proofErr w:type="spellEnd"/>
      <w:r w:rsidRPr="004E2B39">
        <w:t xml:space="preserve"> </w:t>
      </w:r>
      <w:proofErr w:type="spellStart"/>
      <w:r w:rsidRPr="004E2B39">
        <w:t>Llaupe</w:t>
      </w:r>
      <w:proofErr w:type="spellEnd"/>
      <w:r w:rsidRPr="004E2B39">
        <w:t xml:space="preserve">, Juan Patricio </w:t>
      </w:r>
      <w:proofErr w:type="spellStart"/>
      <w:r w:rsidRPr="004E2B39">
        <w:t>Marileo</w:t>
      </w:r>
      <w:proofErr w:type="spellEnd"/>
      <w:r w:rsidRPr="004E2B39">
        <w:t xml:space="preserve"> Saravia, Florencio Jaime </w:t>
      </w:r>
      <w:proofErr w:type="spellStart"/>
      <w:r w:rsidRPr="004E2B39">
        <w:t>Marileo</w:t>
      </w:r>
      <w:proofErr w:type="spellEnd"/>
      <w:r w:rsidRPr="004E2B39">
        <w:t xml:space="preserve"> Saravia, </w:t>
      </w:r>
      <w:proofErr w:type="spellStart"/>
      <w:r w:rsidRPr="004E2B39">
        <w:t>Jose</w:t>
      </w:r>
      <w:proofErr w:type="spellEnd"/>
      <w:r w:rsidRPr="004E2B39">
        <w:t xml:space="preserve">́ </w:t>
      </w:r>
      <w:proofErr w:type="spellStart"/>
      <w:r w:rsidRPr="004E2B39">
        <w:t>Benicio</w:t>
      </w:r>
      <w:proofErr w:type="spellEnd"/>
      <w:r w:rsidRPr="004E2B39">
        <w:t xml:space="preserve"> </w:t>
      </w:r>
      <w:proofErr w:type="spellStart"/>
      <w:r w:rsidRPr="004E2B39">
        <w:t>Huenchunao</w:t>
      </w:r>
      <w:proofErr w:type="spellEnd"/>
      <w:r w:rsidRPr="004E2B39">
        <w:t xml:space="preserve"> </w:t>
      </w:r>
      <w:proofErr w:type="spellStart"/>
      <w:r w:rsidRPr="004E2B39">
        <w:t>Mariñán</w:t>
      </w:r>
      <w:proofErr w:type="spellEnd"/>
      <w:r w:rsidRPr="004E2B39">
        <w:t xml:space="preserve">, Juan Ciriaco </w:t>
      </w:r>
      <w:proofErr w:type="spellStart"/>
      <w:r w:rsidRPr="004E2B39">
        <w:t>Millacheo</w:t>
      </w:r>
      <w:proofErr w:type="spellEnd"/>
      <w:r w:rsidRPr="004E2B39">
        <w:t xml:space="preserve"> </w:t>
      </w:r>
      <w:proofErr w:type="spellStart"/>
      <w:r w:rsidRPr="004E2B39">
        <w:t>Licán</w:t>
      </w:r>
      <w:proofErr w:type="spellEnd"/>
      <w:r w:rsidRPr="004E2B39">
        <w:t xml:space="preserve"> y la </w:t>
      </w:r>
      <w:proofErr w:type="spellStart"/>
      <w:r w:rsidRPr="004E2B39">
        <w:t>señora</w:t>
      </w:r>
      <w:proofErr w:type="spellEnd"/>
      <w:r w:rsidRPr="004E2B39">
        <w:t xml:space="preserve"> Patricia Roxana Troncoso Robles. Asimismo, la Corte declaró, por unanimidad, que Chile violó el derecho de la defensa a interrogar testigos, en perjuicio de los </w:t>
      </w:r>
      <w:proofErr w:type="spellStart"/>
      <w:r w:rsidRPr="004E2B39">
        <w:t>señores</w:t>
      </w:r>
      <w:proofErr w:type="spellEnd"/>
      <w:r w:rsidRPr="004E2B39">
        <w:t xml:space="preserve"> Pascual </w:t>
      </w:r>
      <w:proofErr w:type="spellStart"/>
      <w:r w:rsidRPr="004E2B39">
        <w:t>Huentequeo</w:t>
      </w:r>
      <w:proofErr w:type="spellEnd"/>
      <w:r w:rsidRPr="004E2B39">
        <w:t xml:space="preserve"> </w:t>
      </w:r>
      <w:proofErr w:type="spellStart"/>
      <w:r w:rsidRPr="004E2B39">
        <w:t>Pichún</w:t>
      </w:r>
      <w:proofErr w:type="spellEnd"/>
      <w:r w:rsidRPr="004E2B39">
        <w:t xml:space="preserve"> </w:t>
      </w:r>
      <w:proofErr w:type="spellStart"/>
      <w:r w:rsidRPr="004E2B39">
        <w:t>Paillalao</w:t>
      </w:r>
      <w:proofErr w:type="spellEnd"/>
      <w:r w:rsidRPr="004E2B39">
        <w:t xml:space="preserve"> y </w:t>
      </w:r>
      <w:proofErr w:type="spellStart"/>
      <w:r w:rsidRPr="004E2B39">
        <w:t>Víctor</w:t>
      </w:r>
      <w:proofErr w:type="spellEnd"/>
      <w:r w:rsidRPr="004E2B39">
        <w:t xml:space="preserve"> Manuel </w:t>
      </w:r>
      <w:proofErr w:type="spellStart"/>
      <w:r w:rsidRPr="004E2B39">
        <w:t>Ancalaf</w:t>
      </w:r>
      <w:proofErr w:type="spellEnd"/>
      <w:r w:rsidRPr="004E2B39">
        <w:t xml:space="preserve"> </w:t>
      </w:r>
      <w:proofErr w:type="spellStart"/>
      <w:r w:rsidRPr="004E2B39">
        <w:t>Llaupe</w:t>
      </w:r>
      <w:proofErr w:type="spellEnd"/>
      <w:r w:rsidRPr="004E2B39">
        <w:t xml:space="preserve">. El Tribunal también concluyó, por unanimidad, que el Estado violó el derecho a recurrir del fallo ante juez o tribunal superior, en perjuicio de los </w:t>
      </w:r>
      <w:proofErr w:type="spellStart"/>
      <w:r w:rsidRPr="004E2B39">
        <w:t>señores</w:t>
      </w:r>
      <w:proofErr w:type="spellEnd"/>
      <w:r w:rsidRPr="004E2B39">
        <w:t xml:space="preserve"> Segundo Aniceto </w:t>
      </w:r>
      <w:proofErr w:type="spellStart"/>
      <w:r w:rsidRPr="004E2B39">
        <w:t>Norín</w:t>
      </w:r>
      <w:proofErr w:type="spellEnd"/>
      <w:r w:rsidRPr="004E2B39">
        <w:t xml:space="preserve"> </w:t>
      </w:r>
      <w:proofErr w:type="spellStart"/>
      <w:r w:rsidRPr="004E2B39">
        <w:t>Catrimán</w:t>
      </w:r>
      <w:proofErr w:type="spellEnd"/>
      <w:r w:rsidRPr="004E2B39">
        <w:t xml:space="preserve">, Pascual </w:t>
      </w:r>
      <w:proofErr w:type="spellStart"/>
      <w:r w:rsidRPr="004E2B39">
        <w:t>Huentequeo</w:t>
      </w:r>
      <w:proofErr w:type="spellEnd"/>
      <w:r w:rsidRPr="004E2B39">
        <w:t xml:space="preserve"> </w:t>
      </w:r>
      <w:proofErr w:type="spellStart"/>
      <w:r w:rsidRPr="004E2B39">
        <w:t>Pichún</w:t>
      </w:r>
      <w:proofErr w:type="spellEnd"/>
      <w:r w:rsidRPr="004E2B39">
        <w:t xml:space="preserve"> </w:t>
      </w:r>
      <w:proofErr w:type="spellStart"/>
      <w:r w:rsidRPr="004E2B39">
        <w:t>Paillalao</w:t>
      </w:r>
      <w:proofErr w:type="spellEnd"/>
      <w:r w:rsidRPr="004E2B39">
        <w:t xml:space="preserve">, Juan Patricio </w:t>
      </w:r>
      <w:proofErr w:type="spellStart"/>
      <w:r w:rsidRPr="004E2B39">
        <w:t>Marileo</w:t>
      </w:r>
      <w:proofErr w:type="spellEnd"/>
      <w:r w:rsidRPr="004E2B39">
        <w:t xml:space="preserve"> Saravia, Florencio Jaime </w:t>
      </w:r>
      <w:proofErr w:type="spellStart"/>
      <w:r w:rsidRPr="004E2B39">
        <w:t>Marileo</w:t>
      </w:r>
      <w:proofErr w:type="spellEnd"/>
      <w:r w:rsidRPr="004E2B39">
        <w:t xml:space="preserve"> Saravia, </w:t>
      </w:r>
      <w:proofErr w:type="spellStart"/>
      <w:r w:rsidRPr="004E2B39">
        <w:t>Jose</w:t>
      </w:r>
      <w:proofErr w:type="spellEnd"/>
      <w:r w:rsidRPr="004E2B39">
        <w:t xml:space="preserve">́ </w:t>
      </w:r>
      <w:proofErr w:type="spellStart"/>
      <w:r w:rsidRPr="004E2B39">
        <w:t>Benicio</w:t>
      </w:r>
      <w:proofErr w:type="spellEnd"/>
      <w:r w:rsidRPr="004E2B39">
        <w:t xml:space="preserve"> </w:t>
      </w:r>
      <w:proofErr w:type="spellStart"/>
      <w:r w:rsidRPr="004E2B39">
        <w:t>Huenchunao</w:t>
      </w:r>
      <w:proofErr w:type="spellEnd"/>
      <w:r w:rsidRPr="004E2B39">
        <w:t xml:space="preserve"> </w:t>
      </w:r>
      <w:proofErr w:type="spellStart"/>
      <w:r w:rsidRPr="004E2B39">
        <w:t>Mariñán</w:t>
      </w:r>
      <w:proofErr w:type="spellEnd"/>
      <w:r w:rsidRPr="004E2B39">
        <w:t xml:space="preserve">, Juan Ciriaco </w:t>
      </w:r>
      <w:proofErr w:type="spellStart"/>
      <w:r w:rsidRPr="004E2B39">
        <w:t>Millacheo</w:t>
      </w:r>
      <w:proofErr w:type="spellEnd"/>
      <w:r w:rsidRPr="004E2B39">
        <w:t xml:space="preserve"> </w:t>
      </w:r>
      <w:proofErr w:type="spellStart"/>
      <w:r w:rsidRPr="004E2B39">
        <w:t>Licán</w:t>
      </w:r>
      <w:proofErr w:type="spellEnd"/>
      <w:r w:rsidRPr="004E2B39">
        <w:t xml:space="preserve"> y la </w:t>
      </w:r>
      <w:proofErr w:type="spellStart"/>
      <w:r w:rsidRPr="004E2B39">
        <w:t>señora</w:t>
      </w:r>
      <w:proofErr w:type="spellEnd"/>
      <w:r w:rsidRPr="004E2B39">
        <w:t xml:space="preserve"> Patricia Roxana Troncoso Robles. </w:t>
      </w:r>
      <w:proofErr w:type="spellStart"/>
      <w:r w:rsidRPr="004E2B39">
        <w:t>Además</w:t>
      </w:r>
      <w:proofErr w:type="spellEnd"/>
      <w:r w:rsidRPr="004E2B39">
        <w:t xml:space="preserve">, la Corte declaró, por unanimidad, que el Estado violó el derecho a la libertad de pensamiento y de </w:t>
      </w:r>
      <w:proofErr w:type="spellStart"/>
      <w:r w:rsidRPr="004E2B39">
        <w:t>expresión</w:t>
      </w:r>
      <w:proofErr w:type="spellEnd"/>
      <w:r w:rsidRPr="004E2B39">
        <w:t xml:space="preserve">, en perjuicio de los </w:t>
      </w:r>
      <w:proofErr w:type="spellStart"/>
      <w:r w:rsidRPr="004E2B39">
        <w:t>señores</w:t>
      </w:r>
      <w:proofErr w:type="spellEnd"/>
      <w:r w:rsidRPr="004E2B39">
        <w:t xml:space="preserve"> Segundo Aniceto </w:t>
      </w:r>
      <w:proofErr w:type="spellStart"/>
      <w:r w:rsidRPr="004E2B39">
        <w:t>Norín</w:t>
      </w:r>
      <w:proofErr w:type="spellEnd"/>
      <w:r w:rsidRPr="004E2B39">
        <w:t xml:space="preserve"> </w:t>
      </w:r>
      <w:proofErr w:type="spellStart"/>
      <w:r w:rsidRPr="004E2B39">
        <w:t>Catrimán</w:t>
      </w:r>
      <w:proofErr w:type="spellEnd"/>
      <w:r w:rsidRPr="004E2B39">
        <w:t xml:space="preserve">, Pascual </w:t>
      </w:r>
      <w:proofErr w:type="spellStart"/>
      <w:r w:rsidRPr="004E2B39">
        <w:t>Huentequeo</w:t>
      </w:r>
      <w:proofErr w:type="spellEnd"/>
      <w:r w:rsidRPr="004E2B39">
        <w:t xml:space="preserve"> </w:t>
      </w:r>
      <w:proofErr w:type="spellStart"/>
      <w:r w:rsidRPr="004E2B39">
        <w:t>Pichún</w:t>
      </w:r>
      <w:proofErr w:type="spellEnd"/>
      <w:r w:rsidRPr="004E2B39">
        <w:t xml:space="preserve"> </w:t>
      </w:r>
      <w:proofErr w:type="spellStart"/>
      <w:r w:rsidRPr="004E2B39">
        <w:t>Paillalao</w:t>
      </w:r>
      <w:proofErr w:type="spellEnd"/>
      <w:r w:rsidRPr="004E2B39">
        <w:t xml:space="preserve"> y </w:t>
      </w:r>
      <w:proofErr w:type="spellStart"/>
      <w:r w:rsidRPr="004E2B39">
        <w:t>Víctor</w:t>
      </w:r>
      <w:proofErr w:type="spellEnd"/>
      <w:r w:rsidRPr="004E2B39">
        <w:t xml:space="preserve"> Manuel </w:t>
      </w:r>
      <w:proofErr w:type="spellStart"/>
      <w:r w:rsidRPr="004E2B39">
        <w:t>Ancalaf</w:t>
      </w:r>
      <w:proofErr w:type="spellEnd"/>
      <w:r w:rsidRPr="004E2B39">
        <w:t xml:space="preserve"> </w:t>
      </w:r>
      <w:proofErr w:type="spellStart"/>
      <w:r w:rsidRPr="004E2B39">
        <w:t>Llaupe</w:t>
      </w:r>
      <w:proofErr w:type="spellEnd"/>
      <w:r w:rsidRPr="004E2B39">
        <w:t xml:space="preserve">, y que violó los derechos </w:t>
      </w:r>
      <w:proofErr w:type="spellStart"/>
      <w:r w:rsidRPr="004E2B39">
        <w:t>políticos</w:t>
      </w:r>
      <w:proofErr w:type="spellEnd"/>
      <w:r w:rsidRPr="004E2B39">
        <w:t xml:space="preserve">, en perjuicio de estas </w:t>
      </w:r>
      <w:proofErr w:type="spellStart"/>
      <w:r w:rsidRPr="004E2B39">
        <w:t>últimas</w:t>
      </w:r>
      <w:proofErr w:type="spellEnd"/>
      <w:r w:rsidRPr="004E2B39">
        <w:t xml:space="preserve"> tres personas y de los </w:t>
      </w:r>
      <w:proofErr w:type="spellStart"/>
      <w:r w:rsidRPr="004E2B39">
        <w:t>señores</w:t>
      </w:r>
      <w:proofErr w:type="spellEnd"/>
      <w:r w:rsidRPr="004E2B39">
        <w:t xml:space="preserve"> Juan Patricio </w:t>
      </w:r>
      <w:proofErr w:type="spellStart"/>
      <w:r w:rsidRPr="004E2B39">
        <w:t>Marileo</w:t>
      </w:r>
      <w:proofErr w:type="spellEnd"/>
      <w:r w:rsidRPr="004E2B39">
        <w:t xml:space="preserve"> Saravia, Florencio Jaime </w:t>
      </w:r>
      <w:proofErr w:type="spellStart"/>
      <w:r w:rsidRPr="004E2B39">
        <w:t>Marileo</w:t>
      </w:r>
      <w:proofErr w:type="spellEnd"/>
      <w:r w:rsidRPr="004E2B39">
        <w:t xml:space="preserve"> Saravia, </w:t>
      </w:r>
      <w:proofErr w:type="spellStart"/>
      <w:r w:rsidRPr="004E2B39">
        <w:t>Jose</w:t>
      </w:r>
      <w:proofErr w:type="spellEnd"/>
      <w:r w:rsidRPr="004E2B39">
        <w:t xml:space="preserve">́ </w:t>
      </w:r>
      <w:proofErr w:type="spellStart"/>
      <w:r w:rsidRPr="004E2B39">
        <w:t>Benicio</w:t>
      </w:r>
      <w:proofErr w:type="spellEnd"/>
      <w:r w:rsidRPr="004E2B39">
        <w:t xml:space="preserve"> </w:t>
      </w:r>
      <w:proofErr w:type="spellStart"/>
      <w:r w:rsidRPr="004E2B39">
        <w:t>Huenchunao</w:t>
      </w:r>
      <w:proofErr w:type="spellEnd"/>
      <w:r w:rsidRPr="004E2B39">
        <w:t xml:space="preserve"> </w:t>
      </w:r>
      <w:proofErr w:type="spellStart"/>
      <w:r w:rsidRPr="004E2B39">
        <w:t>Mariñán</w:t>
      </w:r>
      <w:proofErr w:type="spellEnd"/>
      <w:r w:rsidRPr="004E2B39">
        <w:t xml:space="preserve">, Juan Ciriaco </w:t>
      </w:r>
      <w:proofErr w:type="spellStart"/>
      <w:r w:rsidRPr="004E2B39">
        <w:t>Millacheo</w:t>
      </w:r>
      <w:proofErr w:type="spellEnd"/>
      <w:r w:rsidRPr="004E2B39">
        <w:t xml:space="preserve"> </w:t>
      </w:r>
      <w:proofErr w:type="spellStart"/>
      <w:r w:rsidRPr="004E2B39">
        <w:t>Licán</w:t>
      </w:r>
      <w:proofErr w:type="spellEnd"/>
      <w:r w:rsidRPr="004E2B39">
        <w:t xml:space="preserve"> y la </w:t>
      </w:r>
      <w:proofErr w:type="spellStart"/>
      <w:r w:rsidRPr="004E2B39">
        <w:t>señora</w:t>
      </w:r>
      <w:proofErr w:type="spellEnd"/>
      <w:r w:rsidRPr="004E2B39">
        <w:t xml:space="preserve"> Patricia Troncoso Robles. El Tribunal también </w:t>
      </w:r>
      <w:proofErr w:type="spellStart"/>
      <w:r w:rsidRPr="004E2B39">
        <w:t>resolvio</w:t>
      </w:r>
      <w:proofErr w:type="spellEnd"/>
      <w:r w:rsidRPr="004E2B39">
        <w:t xml:space="preserve">́ que Chile es responsable por la </w:t>
      </w:r>
      <w:proofErr w:type="spellStart"/>
      <w:r w:rsidRPr="004E2B39">
        <w:t>violación</w:t>
      </w:r>
      <w:proofErr w:type="spellEnd"/>
      <w:r w:rsidRPr="004E2B39">
        <w:t xml:space="preserve"> del derecho a la protección a la familia, en perjuicio del </w:t>
      </w:r>
      <w:proofErr w:type="spellStart"/>
      <w:r w:rsidRPr="004E2B39">
        <w:t>señor</w:t>
      </w:r>
      <w:proofErr w:type="spellEnd"/>
      <w:r w:rsidRPr="004E2B39">
        <w:t xml:space="preserve"> </w:t>
      </w:r>
      <w:proofErr w:type="spellStart"/>
      <w:r w:rsidRPr="004E2B39">
        <w:t>Víctor</w:t>
      </w:r>
      <w:proofErr w:type="spellEnd"/>
      <w:r w:rsidRPr="004E2B39">
        <w:t xml:space="preserve"> </w:t>
      </w:r>
      <w:proofErr w:type="spellStart"/>
      <w:r w:rsidRPr="004E2B39">
        <w:t>Ancalaf</w:t>
      </w:r>
      <w:proofErr w:type="spellEnd"/>
      <w:r w:rsidRPr="004E2B39">
        <w:t xml:space="preserve"> </w:t>
      </w:r>
      <w:proofErr w:type="spellStart"/>
      <w:r w:rsidRPr="004E2B39">
        <w:t>Llaupe</w:t>
      </w:r>
      <w:proofErr w:type="spellEnd"/>
      <w:r w:rsidRPr="004E2B39">
        <w:t xml:space="preserve">. </w:t>
      </w:r>
    </w:p>
  </w:footnote>
  <w:footnote w:id="8">
    <w:p w14:paraId="45E48F42" w14:textId="7B466852" w:rsidR="007269CF" w:rsidRPr="004E2B39" w:rsidRDefault="007269CF" w:rsidP="004E2B39">
      <w:pPr>
        <w:pStyle w:val="Footnotes"/>
        <w:rPr>
          <w:rStyle w:val="Refdenotaalpie"/>
          <w:vertAlign w:val="baseline"/>
        </w:rPr>
      </w:pPr>
      <w:r w:rsidRPr="004E2B39">
        <w:rPr>
          <w:rStyle w:val="Refdenotaalpie"/>
          <w:vertAlign w:val="baseline"/>
        </w:rPr>
        <w:footnoteRef/>
      </w:r>
      <w:r w:rsidRPr="004E2B39">
        <w:rPr>
          <w:rStyle w:val="Refdenotaalpie"/>
          <w:vertAlign w:val="baseline"/>
        </w:rPr>
        <w:t xml:space="preserve"> </w:t>
      </w:r>
      <w:r w:rsidRPr="004E2B39">
        <w:t xml:space="preserve">El 19 de noviembre de 2015 la Corte Interamericana de Derechos Humanos dictó una Sentencia, mediante la cual declaró que la </w:t>
      </w:r>
      <w:proofErr w:type="spellStart"/>
      <w:r w:rsidRPr="004E2B39">
        <w:t>República</w:t>
      </w:r>
      <w:proofErr w:type="spellEnd"/>
      <w:r w:rsidRPr="004E2B39">
        <w:t xml:space="preserve"> de Guatemala era responsable internacionalmente por la </w:t>
      </w:r>
      <w:proofErr w:type="spellStart"/>
      <w:r w:rsidRPr="004E2B39">
        <w:t>violación</w:t>
      </w:r>
      <w:proofErr w:type="spellEnd"/>
      <w:r w:rsidRPr="004E2B39">
        <w:t xml:space="preserve"> del deber de garantizar el libre y pleno ejercicio de los derechos a la vida e integridad personal, en perjuicio de Claudina Isabel </w:t>
      </w:r>
      <w:proofErr w:type="spellStart"/>
      <w:r w:rsidRPr="004E2B39">
        <w:t>Velásquez</w:t>
      </w:r>
      <w:proofErr w:type="spellEnd"/>
      <w:r w:rsidRPr="004E2B39">
        <w:t xml:space="preserve"> Paiz. De igual modo, la Corte </w:t>
      </w:r>
      <w:proofErr w:type="spellStart"/>
      <w:r w:rsidRPr="004E2B39">
        <w:t>encontro</w:t>
      </w:r>
      <w:proofErr w:type="spellEnd"/>
      <w:r w:rsidRPr="004E2B39">
        <w:t xml:space="preserve">́ que el Estado era responsable por la </w:t>
      </w:r>
      <w:proofErr w:type="spellStart"/>
      <w:r w:rsidRPr="004E2B39">
        <w:t>violación</w:t>
      </w:r>
      <w:proofErr w:type="spellEnd"/>
      <w:r w:rsidRPr="004E2B39">
        <w:t xml:space="preserve"> de los derechos a las </w:t>
      </w:r>
      <w:proofErr w:type="spellStart"/>
      <w:r w:rsidRPr="004E2B39">
        <w:t>garantías</w:t>
      </w:r>
      <w:proofErr w:type="spellEnd"/>
      <w:r w:rsidRPr="004E2B39">
        <w:t xml:space="preserve"> judiciales, a la protección judicial y a la igualdad ante la ley, en perjuicio de Elsa Claudina Paiz Vidal, Jorge Rolando </w:t>
      </w:r>
      <w:proofErr w:type="spellStart"/>
      <w:r w:rsidRPr="004E2B39">
        <w:t>Velásquez</w:t>
      </w:r>
      <w:proofErr w:type="spellEnd"/>
      <w:r w:rsidRPr="004E2B39">
        <w:t xml:space="preserve"> </w:t>
      </w:r>
      <w:proofErr w:type="spellStart"/>
      <w:r w:rsidRPr="004E2B39">
        <w:t>Durán</w:t>
      </w:r>
      <w:proofErr w:type="spellEnd"/>
      <w:r w:rsidRPr="004E2B39">
        <w:t xml:space="preserve"> y Pablo </w:t>
      </w:r>
      <w:proofErr w:type="spellStart"/>
      <w:r w:rsidRPr="004E2B39">
        <w:t>Andrés</w:t>
      </w:r>
      <w:proofErr w:type="spellEnd"/>
      <w:r w:rsidRPr="004E2B39">
        <w:t xml:space="preserve"> </w:t>
      </w:r>
      <w:proofErr w:type="spellStart"/>
      <w:r w:rsidRPr="004E2B39">
        <w:t>Velásquez</w:t>
      </w:r>
      <w:proofErr w:type="spellEnd"/>
      <w:r w:rsidRPr="004E2B39">
        <w:t xml:space="preserve"> Paiz, madre, padre y hermano de Claudina </w:t>
      </w:r>
      <w:proofErr w:type="spellStart"/>
      <w:r w:rsidRPr="004E2B39">
        <w:t>Velásquez</w:t>
      </w:r>
      <w:proofErr w:type="spellEnd"/>
      <w:r w:rsidRPr="004E2B39">
        <w:t xml:space="preserve"> (en adelante “los familiares”). Todos los derechos mencionados anteriormente también fueron violados en </w:t>
      </w:r>
      <w:proofErr w:type="spellStart"/>
      <w:r w:rsidRPr="004E2B39">
        <w:t>relación</w:t>
      </w:r>
      <w:proofErr w:type="spellEnd"/>
      <w:r w:rsidRPr="004E2B39">
        <w:t xml:space="preserve"> con las obligaciones establecidas en el artículo 7 de la Convención Interamericana para Prevenir, Sancionar y Erradicar la Violencia contra la Mujer (en adelante “Convención de </w:t>
      </w:r>
      <w:proofErr w:type="spellStart"/>
      <w:r w:rsidRPr="004E2B39">
        <w:t>Belém</w:t>
      </w:r>
      <w:proofErr w:type="spellEnd"/>
      <w:r w:rsidRPr="004E2B39">
        <w:t xml:space="preserve"> do Pará”). Asimismo, el Tribunal declaró la </w:t>
      </w:r>
      <w:proofErr w:type="spellStart"/>
      <w:r w:rsidRPr="004E2B39">
        <w:t>violación</w:t>
      </w:r>
      <w:proofErr w:type="spellEnd"/>
      <w:r w:rsidRPr="004E2B39">
        <w:t xml:space="preserve"> de los derechos a la integridad personal y al respeto de la honra y el reconocimiento de la dignidad, en perjuicio de los familiares de Claudina </w:t>
      </w:r>
      <w:proofErr w:type="spellStart"/>
      <w:r w:rsidRPr="004E2B39">
        <w:t>Velásquez</w:t>
      </w:r>
      <w:proofErr w:type="spellEnd"/>
      <w:r w:rsidRPr="004E2B39">
        <w:t xml:space="preserve">. Finalmente, determinó que no era necesario emitir un pronunciamiento respecto de las alegadas violaciones de los derechos a la vida privada, libertad de </w:t>
      </w:r>
      <w:proofErr w:type="spellStart"/>
      <w:r w:rsidRPr="004E2B39">
        <w:t>expresión</w:t>
      </w:r>
      <w:proofErr w:type="spellEnd"/>
      <w:r w:rsidRPr="004E2B39">
        <w:t xml:space="preserve"> y derecho de </w:t>
      </w:r>
      <w:proofErr w:type="spellStart"/>
      <w:r w:rsidRPr="004E2B39">
        <w:t>circulación</w:t>
      </w:r>
      <w:proofErr w:type="spellEnd"/>
      <w:r w:rsidRPr="004E2B39">
        <w:t xml:space="preserve">, en perjuicio de Claudina </w:t>
      </w:r>
      <w:proofErr w:type="spellStart"/>
      <w:r w:rsidRPr="004E2B39">
        <w:t>Velásquez</w:t>
      </w:r>
      <w:proofErr w:type="spellEnd"/>
      <w:r w:rsidRPr="004E2B39">
        <w:t>.</w:t>
      </w:r>
    </w:p>
  </w:footnote>
  <w:footnote w:id="9">
    <w:p w14:paraId="6C58A75F" w14:textId="77777777" w:rsidR="007269CF" w:rsidRPr="004E2B39" w:rsidRDefault="007269CF" w:rsidP="004E2B39">
      <w:pPr>
        <w:pStyle w:val="Footnotes"/>
        <w:rPr>
          <w:rStyle w:val="FootnotesChar"/>
        </w:rPr>
      </w:pPr>
      <w:r w:rsidRPr="004E2B39">
        <w:rPr>
          <w:rStyle w:val="Refdenotaalpie"/>
        </w:rPr>
        <w:footnoteRef/>
      </w:r>
      <w:r w:rsidRPr="004E2B39">
        <w:rPr>
          <w:rStyle w:val="Refdenotaalpie"/>
        </w:rPr>
        <w:t xml:space="preserve"> </w:t>
      </w:r>
      <w:r w:rsidRPr="004E2B39">
        <w:rPr>
          <w:rStyle w:val="FootnotesChar"/>
        </w:rPr>
        <w:t xml:space="preserve">Las preguntas planteadas fueron las siguientes: 1. “Tomando en cuenta que la identidad de </w:t>
      </w:r>
      <w:proofErr w:type="spellStart"/>
      <w:r w:rsidRPr="004E2B39">
        <w:rPr>
          <w:rStyle w:val="FootnotesChar"/>
        </w:rPr>
        <w:t>género</w:t>
      </w:r>
      <w:proofErr w:type="spellEnd"/>
      <w:r w:rsidRPr="004E2B39">
        <w:rPr>
          <w:rStyle w:val="FootnotesChar"/>
        </w:rPr>
        <w:t xml:space="preserve"> es una </w:t>
      </w:r>
      <w:proofErr w:type="spellStart"/>
      <w:r w:rsidRPr="004E2B39">
        <w:rPr>
          <w:rStyle w:val="FootnotesChar"/>
        </w:rPr>
        <w:t>categoría</w:t>
      </w:r>
      <w:proofErr w:type="spellEnd"/>
      <w:r w:rsidRPr="004E2B39">
        <w:rPr>
          <w:rStyle w:val="FootnotesChar"/>
        </w:rPr>
        <w:t xml:space="preserve"> protegida por los </w:t>
      </w:r>
      <w:proofErr w:type="spellStart"/>
      <w:r w:rsidRPr="004E2B39">
        <w:rPr>
          <w:rStyle w:val="FootnotesChar"/>
        </w:rPr>
        <w:t>artículos</w:t>
      </w:r>
      <w:proofErr w:type="spellEnd"/>
      <w:r w:rsidRPr="004E2B39">
        <w:rPr>
          <w:rStyle w:val="FootnotesChar"/>
        </w:rPr>
        <w:t xml:space="preserve"> 1 y 24 de la CADH, </w:t>
      </w:r>
      <w:proofErr w:type="spellStart"/>
      <w:r w:rsidRPr="004E2B39">
        <w:rPr>
          <w:rStyle w:val="FootnotesChar"/>
        </w:rPr>
        <w:t>además</w:t>
      </w:r>
      <w:proofErr w:type="spellEnd"/>
      <w:r w:rsidRPr="004E2B39">
        <w:rPr>
          <w:rStyle w:val="FootnotesChar"/>
        </w:rPr>
        <w:t xml:space="preserve"> de lo establecido en los numerales 11.2 y 18 de la Convención ¿contempla esa protección y la CADH que el Estado deba reconocer y facilitar el cambio de nombre de las personas, de acuerdo con la identidad de </w:t>
      </w:r>
      <w:proofErr w:type="spellStart"/>
      <w:r w:rsidRPr="004E2B39">
        <w:rPr>
          <w:rStyle w:val="FootnotesChar"/>
        </w:rPr>
        <w:t>género</w:t>
      </w:r>
      <w:proofErr w:type="spellEnd"/>
      <w:r w:rsidRPr="004E2B39">
        <w:rPr>
          <w:rStyle w:val="FootnotesChar"/>
        </w:rPr>
        <w:t xml:space="preserve"> de cada una?”; 2. “En caso que la respuesta a la anterior consulta fuera afirmativa, ¿se </w:t>
      </w:r>
      <w:proofErr w:type="spellStart"/>
      <w:r w:rsidRPr="004E2B39">
        <w:rPr>
          <w:rStyle w:val="FootnotesChar"/>
        </w:rPr>
        <w:t>podría</w:t>
      </w:r>
      <w:proofErr w:type="spellEnd"/>
      <w:r w:rsidRPr="004E2B39">
        <w:rPr>
          <w:rStyle w:val="FootnotesChar"/>
        </w:rPr>
        <w:t xml:space="preserve"> considerar contrario a la CADH que la persona interesada en modificar su nombre de pila solamente pueda acudir a un proceso jurisdiccional sin que exista un procedimiento para ello en </w:t>
      </w:r>
      <w:proofErr w:type="spellStart"/>
      <w:r w:rsidRPr="004E2B39">
        <w:rPr>
          <w:rStyle w:val="FootnotesChar"/>
        </w:rPr>
        <w:t>vía</w:t>
      </w:r>
      <w:proofErr w:type="spellEnd"/>
      <w:r w:rsidRPr="004E2B39">
        <w:rPr>
          <w:rStyle w:val="FootnotesChar"/>
        </w:rPr>
        <w:t xml:space="preserve"> administrativa?”; 3. “¿</w:t>
      </w:r>
      <w:proofErr w:type="spellStart"/>
      <w:r w:rsidRPr="004E2B39">
        <w:rPr>
          <w:rStyle w:val="FootnotesChar"/>
        </w:rPr>
        <w:t>Podría</w:t>
      </w:r>
      <w:proofErr w:type="spellEnd"/>
      <w:r w:rsidRPr="004E2B39">
        <w:rPr>
          <w:rStyle w:val="FootnotesChar"/>
        </w:rPr>
        <w:t xml:space="preserve"> entenderse que el artículo 54 del </w:t>
      </w:r>
      <w:proofErr w:type="spellStart"/>
      <w:r w:rsidRPr="004E2B39">
        <w:rPr>
          <w:rStyle w:val="FootnotesChar"/>
        </w:rPr>
        <w:t>Código</w:t>
      </w:r>
      <w:proofErr w:type="spellEnd"/>
      <w:r w:rsidRPr="004E2B39">
        <w:rPr>
          <w:rStyle w:val="FootnotesChar"/>
        </w:rPr>
        <w:t xml:space="preserve"> Civil de Costa Rica, debe ser interpretado, de acuerdo con la CADH, en el sentido de que las personas que deseen cambiar su nombre de pila a partir de su identidad de </w:t>
      </w:r>
      <w:proofErr w:type="spellStart"/>
      <w:r w:rsidRPr="004E2B39">
        <w:rPr>
          <w:rStyle w:val="FootnotesChar"/>
        </w:rPr>
        <w:t>género</w:t>
      </w:r>
      <w:proofErr w:type="spellEnd"/>
      <w:r w:rsidRPr="004E2B39">
        <w:rPr>
          <w:rStyle w:val="FootnotesChar"/>
        </w:rPr>
        <w:t xml:space="preserve"> no </w:t>
      </w:r>
      <w:proofErr w:type="spellStart"/>
      <w:r w:rsidRPr="004E2B39">
        <w:rPr>
          <w:rStyle w:val="FootnotesChar"/>
        </w:rPr>
        <w:t>están</w:t>
      </w:r>
      <w:proofErr w:type="spellEnd"/>
      <w:r w:rsidRPr="004E2B39">
        <w:rPr>
          <w:rStyle w:val="FootnotesChar"/>
        </w:rPr>
        <w:t xml:space="preserve"> obligadas a someterse al proceso jurisdiccional </w:t>
      </w:r>
      <w:proofErr w:type="spellStart"/>
      <w:r w:rsidRPr="004E2B39">
        <w:rPr>
          <w:rStyle w:val="FootnotesChar"/>
        </w:rPr>
        <w:t>alli</w:t>
      </w:r>
      <w:proofErr w:type="spellEnd"/>
      <w:r w:rsidRPr="004E2B39">
        <w:rPr>
          <w:rStyle w:val="FootnotesChar"/>
        </w:rPr>
        <w:t xml:space="preserve">́ contemplado, sino que el Estado debe proveerles un </w:t>
      </w:r>
      <w:proofErr w:type="spellStart"/>
      <w:r w:rsidRPr="004E2B39">
        <w:rPr>
          <w:rStyle w:val="FootnotesChar"/>
        </w:rPr>
        <w:t>trámite</w:t>
      </w:r>
      <w:proofErr w:type="spellEnd"/>
      <w:r w:rsidRPr="004E2B39">
        <w:rPr>
          <w:rStyle w:val="FootnotesChar"/>
        </w:rPr>
        <w:t xml:space="preserve"> administrativo gratuito, </w:t>
      </w:r>
      <w:proofErr w:type="spellStart"/>
      <w:r w:rsidRPr="004E2B39">
        <w:rPr>
          <w:rStyle w:val="FootnotesChar"/>
        </w:rPr>
        <w:t>rápido</w:t>
      </w:r>
      <w:proofErr w:type="spellEnd"/>
      <w:r w:rsidRPr="004E2B39">
        <w:rPr>
          <w:rStyle w:val="FootnotesChar"/>
        </w:rPr>
        <w:t xml:space="preserve"> y accesible para ejercer ese derecho humano?”; 4. “Tomando en cuenta que la no discriminación por motivos de </w:t>
      </w:r>
      <w:proofErr w:type="spellStart"/>
      <w:r w:rsidRPr="004E2B39">
        <w:rPr>
          <w:rStyle w:val="FootnotesChar"/>
        </w:rPr>
        <w:t>orientación</w:t>
      </w:r>
      <w:proofErr w:type="spellEnd"/>
      <w:r w:rsidRPr="004E2B39">
        <w:rPr>
          <w:rStyle w:val="FootnotesChar"/>
        </w:rPr>
        <w:t xml:space="preserve"> sexual es una </w:t>
      </w:r>
      <w:proofErr w:type="spellStart"/>
      <w:r w:rsidRPr="004E2B39">
        <w:rPr>
          <w:rStyle w:val="FootnotesChar"/>
        </w:rPr>
        <w:t>categoría</w:t>
      </w:r>
      <w:proofErr w:type="spellEnd"/>
      <w:r w:rsidRPr="004E2B39">
        <w:rPr>
          <w:rStyle w:val="FootnotesChar"/>
        </w:rPr>
        <w:t xml:space="preserve"> protegida por los </w:t>
      </w:r>
      <w:proofErr w:type="spellStart"/>
      <w:r w:rsidRPr="004E2B39">
        <w:rPr>
          <w:rStyle w:val="FootnotesChar"/>
        </w:rPr>
        <w:t>artículos</w:t>
      </w:r>
      <w:proofErr w:type="spellEnd"/>
      <w:r w:rsidRPr="004E2B39">
        <w:rPr>
          <w:rStyle w:val="FootnotesChar"/>
        </w:rPr>
        <w:t xml:space="preserve"> 1 y 24 de la CADH, </w:t>
      </w:r>
      <w:proofErr w:type="spellStart"/>
      <w:r w:rsidRPr="004E2B39">
        <w:rPr>
          <w:rStyle w:val="FootnotesChar"/>
        </w:rPr>
        <w:t>además</w:t>
      </w:r>
      <w:proofErr w:type="spellEnd"/>
      <w:r w:rsidRPr="004E2B39">
        <w:rPr>
          <w:rStyle w:val="FootnotesChar"/>
        </w:rPr>
        <w:t xml:space="preserve"> de lo establecido en el numeral 11.2 de la Convención ¿contempla esa protección y la CADH que el Estado reconozca todos los derechos patrimoniales que se derivan de un </w:t>
      </w:r>
      <w:proofErr w:type="spellStart"/>
      <w:r w:rsidRPr="004E2B39">
        <w:rPr>
          <w:rStyle w:val="FootnotesChar"/>
        </w:rPr>
        <w:t>vínculo</w:t>
      </w:r>
      <w:proofErr w:type="spellEnd"/>
      <w:r w:rsidRPr="004E2B39">
        <w:rPr>
          <w:rStyle w:val="FootnotesChar"/>
        </w:rPr>
        <w:t xml:space="preserve"> entre personas del mismo sexo?”, y 5. “En caso que la respuesta anterior sea afirmativa, ¿es necesaria la existencia de una figura </w:t>
      </w:r>
      <w:proofErr w:type="spellStart"/>
      <w:r w:rsidRPr="004E2B39">
        <w:rPr>
          <w:rStyle w:val="FootnotesChar"/>
        </w:rPr>
        <w:t>jurídica</w:t>
      </w:r>
      <w:proofErr w:type="spellEnd"/>
      <w:r w:rsidRPr="004E2B39">
        <w:rPr>
          <w:rStyle w:val="FootnotesChar"/>
        </w:rPr>
        <w:t xml:space="preserve"> que regule los </w:t>
      </w:r>
      <w:proofErr w:type="spellStart"/>
      <w:r w:rsidRPr="004E2B39">
        <w:rPr>
          <w:rStyle w:val="FootnotesChar"/>
        </w:rPr>
        <w:t>vínculos</w:t>
      </w:r>
      <w:proofErr w:type="spellEnd"/>
      <w:r w:rsidRPr="004E2B39">
        <w:rPr>
          <w:rStyle w:val="FootnotesChar"/>
        </w:rPr>
        <w:t xml:space="preserve"> entre personas del mismo sexo, para que el Estado reconozca todos los derechos patrimoniales que se derivan de esta </w:t>
      </w:r>
      <w:proofErr w:type="spellStart"/>
      <w:r w:rsidRPr="004E2B39">
        <w:rPr>
          <w:rStyle w:val="FootnotesChar"/>
        </w:rPr>
        <w:t>relación</w:t>
      </w:r>
      <w:proofErr w:type="spellEnd"/>
      <w:r w:rsidRPr="004E2B39">
        <w:rPr>
          <w:rStyle w:val="FootnotesChar"/>
        </w:rPr>
        <w:t>?”.</w:t>
      </w:r>
    </w:p>
  </w:footnote>
  <w:footnote w:id="10">
    <w:p w14:paraId="2019E3E5" w14:textId="77777777" w:rsidR="007269CF" w:rsidRPr="004E2B39" w:rsidRDefault="007269CF" w:rsidP="004E2B39">
      <w:pPr>
        <w:pStyle w:val="Footnotes"/>
      </w:pPr>
      <w:r w:rsidRPr="004E2B39">
        <w:rPr>
          <w:rStyle w:val="Refdenotaalpie"/>
        </w:rPr>
        <w:footnoteRef/>
      </w:r>
      <w:r w:rsidRPr="004E2B39">
        <w:t xml:space="preserve"> El 23 de agosto de 2018 la Corte Interamericana de Derechos Humanos dictó Sentencia mediante la cual declaró la responsabilidad internacional del Estado de Guatemala por las violaciones a diversos derechos cometidas en perjuicio de 49 personas que viven o vivieron con el VIH y de sus familiares. En particular, la Corte </w:t>
      </w:r>
      <w:proofErr w:type="spellStart"/>
      <w:r w:rsidRPr="004E2B39">
        <w:t>encontro</w:t>
      </w:r>
      <w:proofErr w:type="spellEnd"/>
      <w:r w:rsidRPr="004E2B39">
        <w:t xml:space="preserve">́ que distintas omisiones del Estado en el tratamiento </w:t>
      </w:r>
      <w:proofErr w:type="spellStart"/>
      <w:r w:rsidRPr="004E2B39">
        <w:t>médico</w:t>
      </w:r>
      <w:proofErr w:type="spellEnd"/>
      <w:r w:rsidRPr="004E2B39">
        <w:t xml:space="preserve"> de las </w:t>
      </w:r>
      <w:proofErr w:type="spellStart"/>
      <w:r w:rsidRPr="004E2B39">
        <w:t>víctimas</w:t>
      </w:r>
      <w:proofErr w:type="spellEnd"/>
      <w:r w:rsidRPr="004E2B39">
        <w:t xml:space="preserve"> constituyeron un incumplimiento del deber de garantizar el derecho a la salud, y que el impacto de esas omisiones provocó violaciones al derecho a la vida y a la integridad personal de algunas de ellas. Adicionalmente, la Corte determinó que la omisión de garantizar una atención médica adecuada a dos mujeres embarazadas que viven con el VIH constituyó un acto de discriminación, y que la </w:t>
      </w:r>
      <w:proofErr w:type="spellStart"/>
      <w:r w:rsidRPr="004E2B39">
        <w:t>inacción</w:t>
      </w:r>
      <w:proofErr w:type="spellEnd"/>
      <w:r w:rsidRPr="004E2B39">
        <w:t xml:space="preserve"> estatal en materia de protección al derecho a la salud de la </w:t>
      </w:r>
      <w:proofErr w:type="spellStart"/>
      <w:r w:rsidRPr="004E2B39">
        <w:t>población</w:t>
      </w:r>
      <w:proofErr w:type="spellEnd"/>
      <w:r w:rsidRPr="004E2B39">
        <w:t xml:space="preserve"> que vive con el VIH en Guatemala constituyó una </w:t>
      </w:r>
      <w:proofErr w:type="spellStart"/>
      <w:r w:rsidRPr="004E2B39">
        <w:t>violación</w:t>
      </w:r>
      <w:proofErr w:type="spellEnd"/>
      <w:r w:rsidRPr="004E2B39">
        <w:t xml:space="preserve"> al principio de progresividad contenido en el artículo 26 de la Convención Americana sobre Derechos Humanos. Asimismo, el Tribunal </w:t>
      </w:r>
      <w:proofErr w:type="spellStart"/>
      <w:r w:rsidRPr="004E2B39">
        <w:t>advirtio</w:t>
      </w:r>
      <w:proofErr w:type="spellEnd"/>
      <w:r w:rsidRPr="004E2B39">
        <w:t xml:space="preserve">́ la existencia de diversas falencias en la </w:t>
      </w:r>
      <w:proofErr w:type="spellStart"/>
      <w:r w:rsidRPr="004E2B39">
        <w:t>resolución</w:t>
      </w:r>
      <w:proofErr w:type="spellEnd"/>
      <w:r w:rsidRPr="004E2B39">
        <w:t xml:space="preserve"> de un recurso judicial intentado por 13 de las </w:t>
      </w:r>
      <w:proofErr w:type="spellStart"/>
      <w:r w:rsidRPr="004E2B39">
        <w:t>víctimas</w:t>
      </w:r>
      <w:proofErr w:type="spellEnd"/>
      <w:r w:rsidRPr="004E2B39">
        <w:t xml:space="preserve"> ante la Corte de Constitucionalidad de Guatemala, las cuales constituyeron violaciones a las </w:t>
      </w:r>
      <w:proofErr w:type="spellStart"/>
      <w:r w:rsidRPr="004E2B39">
        <w:t>garantías</w:t>
      </w:r>
      <w:proofErr w:type="spellEnd"/>
      <w:r w:rsidRPr="004E2B39">
        <w:t xml:space="preserve"> judiciales y la protección judicial. Finalmente, la Corte </w:t>
      </w:r>
      <w:proofErr w:type="spellStart"/>
      <w:r w:rsidRPr="004E2B39">
        <w:t>encontro</w:t>
      </w:r>
      <w:proofErr w:type="spellEnd"/>
      <w:r w:rsidRPr="004E2B39">
        <w:t xml:space="preserve">́ que la </w:t>
      </w:r>
      <w:proofErr w:type="spellStart"/>
      <w:r w:rsidRPr="004E2B39">
        <w:t>afectación</w:t>
      </w:r>
      <w:proofErr w:type="spellEnd"/>
      <w:r w:rsidRPr="004E2B39">
        <w:t xml:space="preserve"> en la salud, la vida y la integridad de las </w:t>
      </w:r>
      <w:proofErr w:type="spellStart"/>
      <w:r w:rsidRPr="004E2B39">
        <w:t>víctimas</w:t>
      </w:r>
      <w:proofErr w:type="spellEnd"/>
      <w:r w:rsidRPr="004E2B39">
        <w:t xml:space="preserve"> también tuvieron un impacto en el derecho a la integridad personal de sus familiares.</w:t>
      </w:r>
    </w:p>
  </w:footnote>
  <w:footnote w:id="11">
    <w:p w14:paraId="5A700076" w14:textId="354AF411" w:rsidR="007269CF" w:rsidRPr="004E2B39" w:rsidRDefault="007269CF" w:rsidP="004E2B39">
      <w:pPr>
        <w:pStyle w:val="Footnotes"/>
      </w:pPr>
      <w:r w:rsidRPr="004E2B39">
        <w:rPr>
          <w:rStyle w:val="Refdenotaalpie"/>
        </w:rPr>
        <w:footnoteRef/>
      </w:r>
      <w:r w:rsidRPr="004E2B39">
        <w:rPr>
          <w:vertAlign w:val="superscript"/>
        </w:rPr>
        <w:t xml:space="preserve"> </w:t>
      </w:r>
      <w:r w:rsidRPr="004E2B39">
        <w:t xml:space="preserve">El 12 de marzo de 2020 la Corte Interamericana de Derechos Humanos dictó Sentencia mediante la cual declaró internacionalmente responsable a la </w:t>
      </w:r>
      <w:proofErr w:type="spellStart"/>
      <w:r w:rsidRPr="004E2B39">
        <w:t>República</w:t>
      </w:r>
      <w:proofErr w:type="spellEnd"/>
      <w:r w:rsidRPr="004E2B39">
        <w:t xml:space="preserve"> del </w:t>
      </w:r>
      <w:proofErr w:type="spellStart"/>
      <w:r w:rsidRPr="004E2B39">
        <w:t>Peru</w:t>
      </w:r>
      <w:proofErr w:type="spellEnd"/>
      <w:r w:rsidRPr="004E2B39">
        <w:t xml:space="preserve">́ por la </w:t>
      </w:r>
      <w:proofErr w:type="spellStart"/>
      <w:r w:rsidRPr="004E2B39">
        <w:t>violación</w:t>
      </w:r>
      <w:proofErr w:type="spellEnd"/>
      <w:r w:rsidRPr="004E2B39">
        <w:t xml:space="preserve"> de los derechos a la libertad personal, a la integridad personal, a la vida privada, a no ser sometida a tortura, a las </w:t>
      </w:r>
      <w:proofErr w:type="spellStart"/>
      <w:r w:rsidRPr="004E2B39">
        <w:t>garantías</w:t>
      </w:r>
      <w:proofErr w:type="spellEnd"/>
      <w:r w:rsidRPr="004E2B39">
        <w:t xml:space="preserve"> judiciales y a la protección judicial de Azul Rojas </w:t>
      </w:r>
      <w:proofErr w:type="spellStart"/>
      <w:r w:rsidRPr="004E2B39">
        <w:t>Marín</w:t>
      </w:r>
      <w:proofErr w:type="spellEnd"/>
      <w:r w:rsidRPr="004E2B39">
        <w:t xml:space="preserve">, en </w:t>
      </w:r>
      <w:proofErr w:type="spellStart"/>
      <w:r w:rsidRPr="004E2B39">
        <w:t>relación</w:t>
      </w:r>
      <w:proofErr w:type="spellEnd"/>
      <w:r w:rsidRPr="004E2B39">
        <w:t xml:space="preserve"> con las obligaciones de respetar y garantizar dichos derechos sin discriminación y de adoptar disposiciones de derecho interno. La Corte también declaró responsable al Estado por la </w:t>
      </w:r>
      <w:proofErr w:type="spellStart"/>
      <w:r w:rsidRPr="004E2B39">
        <w:t>violación</w:t>
      </w:r>
      <w:proofErr w:type="spellEnd"/>
      <w:r w:rsidRPr="004E2B39">
        <w:t xml:space="preserve"> del derecho a la integridad personal de la madre de Azul Rojas </w:t>
      </w:r>
      <w:proofErr w:type="spellStart"/>
      <w:r w:rsidRPr="004E2B39">
        <w:t>Marín</w:t>
      </w:r>
      <w:proofErr w:type="spellEnd"/>
      <w:r w:rsidRPr="004E2B39">
        <w:t xml:space="preserve">, la </w:t>
      </w:r>
      <w:proofErr w:type="spellStart"/>
      <w:r w:rsidRPr="004E2B39">
        <w:t>señora</w:t>
      </w:r>
      <w:proofErr w:type="spellEnd"/>
      <w:r w:rsidRPr="004E2B39">
        <w:t xml:space="preserve"> Juan Rosa Tanta </w:t>
      </w:r>
      <w:proofErr w:type="spellStart"/>
      <w:r w:rsidRPr="004E2B39">
        <w:t>Marín</w:t>
      </w:r>
      <w:proofErr w:type="spellEnd"/>
      <w:r w:rsidRPr="004E2B39">
        <w:t>.</w:t>
      </w:r>
    </w:p>
  </w:footnote>
  <w:footnote w:id="12">
    <w:p w14:paraId="456E81E9" w14:textId="77777777" w:rsidR="00144A80" w:rsidRPr="009C007D" w:rsidRDefault="00144A80" w:rsidP="00144A80">
      <w:pPr>
        <w:pStyle w:val="Textonotapie"/>
        <w:rPr>
          <w:rFonts w:ascii="Verdana" w:hAnsi="Verdana"/>
          <w:sz w:val="16"/>
          <w:szCs w:val="16"/>
          <w:lang w:val="es-CL"/>
        </w:rPr>
      </w:pPr>
      <w:r w:rsidRPr="009C007D">
        <w:rPr>
          <w:rStyle w:val="Refdenotaalpie"/>
          <w:rFonts w:ascii="Verdana" w:hAnsi="Verdana"/>
          <w:sz w:val="16"/>
          <w:szCs w:val="16"/>
        </w:rPr>
        <w:footnoteRef/>
      </w:r>
      <w:r w:rsidRPr="009C007D">
        <w:rPr>
          <w:rFonts w:ascii="Verdana" w:hAnsi="Verdana"/>
          <w:sz w:val="16"/>
          <w:szCs w:val="16"/>
          <w:lang w:val="es-CL"/>
        </w:rPr>
        <w:t xml:space="preserve"> la Comisión presentó a la Corte las siguientes preguntas específicas: a) Teniendo en cuenta que el artículo 45 incisos c y g de la Carta de la OEA y los principios y derechos fundamentales en el trabajo reconocen la libertad sindical y los derechos a la negociación colectiva y huelga como parte los derechos de los trabajadores para lograr un orden social justo, desarrollo económico y verdadera paz ¿Cuál es el alcance de las obligaciones de los Estados sobre las garantías en los procesos de formación de sindicatos y en sus procedimientos de elección y gobierno interno, por un lado, y en los procesos de negociación colectiva y huelga, por el otro, a la luz de los artículos 15, 16, 25 y 26 de la Convención Americana, 8 del Protocolo de San Salvador y XXI y XXII de la Declaración Americana? Y ¿Qué acciones deben tomar los Estados para verificar la realización de dichos derechos en cumplimiento de sus obligaciones de progresividad? Bajo este marco normativo ¿Qué procedimientos deben adoptar los Estados para identificar y eliminar los principales riesgos que impiden su realización en la región teniendo en cuenta la naturaleza y condición del órgano empleador: a) la administración pública, b) empresas públicas, c) empresas privadas, d) organismos internacionales y e) organizaciones sin fines de lucro? b) A la luz de los artículos 16 y 26 de la Convención Americana sobre Derechos Humanos, XXII de la Declaración Americana y 8.1 del Protocolo de San Salvador ¿Cómo se manifiesta la relación entre la libertad sindical, la negociación colectiva y la libertad de asociación? ¿Se desprende alguna consecuencia jurídica de esta relación sobre los contenidos del derecho al trabajo y a sus condiciones justas y equitativas a la luz de los artículos 26 de la Convención Americana, XIV de la Declaración Americana, 6 y 7 del Protocolo de San Salvador y los principios y derechos fundamentales en el trabajo? ¿Es posible permitir de manera general que las protecciones establecidas por la legislación puedan ser derogadas “in </w:t>
      </w:r>
      <w:proofErr w:type="spellStart"/>
      <w:r w:rsidRPr="009C007D">
        <w:rPr>
          <w:rFonts w:ascii="Verdana" w:hAnsi="Verdana"/>
          <w:sz w:val="16"/>
          <w:szCs w:val="16"/>
          <w:lang w:val="es-CL"/>
        </w:rPr>
        <w:t>peius</w:t>
      </w:r>
      <w:proofErr w:type="spellEnd"/>
      <w:r w:rsidRPr="009C007D">
        <w:rPr>
          <w:rFonts w:ascii="Verdana" w:hAnsi="Verdana"/>
          <w:sz w:val="16"/>
          <w:szCs w:val="16"/>
          <w:lang w:val="es-CL"/>
        </w:rPr>
        <w:t>” por medio de la negociación colectiva? ¿Qué especificidades se deben tener en cuenta cuando son mujeres quienes ejercen estos derechos? c) A la luz de los artículos 13, 15 y 26 de la Convención Americana sobre Derechos Humanos, IV y XXI de la Declaración Americana y 8.1 del Protocolo de San Salvador ¿Cómo se manifiesta la relación entre la libertad sindical, libertad de expresión, el derecho a huelga y el derecho a reunión? ¿Se desprende alguna consecuencia jurídica de esta relación sobre los contenidos del derecho al trabajo y a sus condiciones justas y equitativas a la luz de los artículos 26 de la Convención Americana, XIV de la Declaración Americana, 6 y 7 del Protocolo de San Salvador y los principios y derechos fundamentales en el trabajo? ¿Qué especificidades se deben tener en cuenta cuando son mujeres quienes ejercen estos derechos? d) ¿De qué manera aplica el derecho de las mujeres a ser libre de toda forma de discriminación y violencia de acuerdo a los artículos 4.f y 6.a de la Convención Belem Do Pará, 1.1 y 24 de la Convención Americana, 3 del Protocolo de San Salvador y II de la Declaración Americana en la interpretación del contenido jurídico de la libertad sindical y los derechos a la negociación colectiva y huelga? En ese marco ¿Cuál es el alcance de las obligaciones de los Estados sobre las garantías específicas que se desprenden a la luz de los artículos 1.1, 2 y 26 de la Convención Americana y los artículos 2.b, 3 y 5 de la Convención Belém do Pará ante prácticas de discriminación o violencia en el trabajo basadas en el género que obstaculizan el ejercicio de dichos derechos por parte de las mujeres? e) ¿Cuál es el rol de los Estados para proteger la libertad de funcionamiento y autonomía de los sindicatos en el marco de los artículos 26 de la Convención Americana, XXII de la Declaración Americana y 8.1.a del Protocolo de San Salvador y garantizar la participación efectiva de las mujeres como integrantes y lideresas sindicales en cumplimiento del principio de igualdad y no discriminación? ¿Qué aspectos tiene la división de responsabilidades familiares entre hombres y mujeres en estos contextos? f) ¿Cuál es el alcance de las obligaciones de los Estados sobre las garantías específicas que se desprenden de los artículos 34.g y 44 incisos b. c. y g. de la Carta de la OEA, 1.1, 2 y 26 de la Convención Americana y XIV y XXII de la Declaración Americana para la participación efectiva de los trabajadores y trabajadoras por medio del ejercicio de la libertad sindical, negociación colectiva y huelga, en los procesos de diseño, construcción y evaluación de normas y políticas públicas relacionadas al trabajo en contextos de cambios en el mercado de trabajo mediante el uso de nuevas tecnologías?</w:t>
      </w:r>
    </w:p>
  </w:footnote>
  <w:footnote w:id="13">
    <w:p w14:paraId="09936935" w14:textId="2CF19EDF" w:rsidR="007269CF" w:rsidRPr="004E2B39" w:rsidRDefault="007269CF" w:rsidP="004E2B39">
      <w:pPr>
        <w:pStyle w:val="Footnotes"/>
      </w:pPr>
      <w:r w:rsidRPr="004E2B39">
        <w:rPr>
          <w:rStyle w:val="Refdenotaalpie"/>
        </w:rPr>
        <w:footnoteRef/>
      </w:r>
      <w:r w:rsidRPr="004E2B39">
        <w:rPr>
          <w:vertAlign w:val="superscript"/>
        </w:rPr>
        <w:t xml:space="preserve"> </w:t>
      </w:r>
      <w:r w:rsidRPr="004E2B39">
        <w:t xml:space="preserve">El 15 de julio de 2020 la Corte Interamericana de Derechos Humanos dictó sentencia mediante la cual declaró la responsabilidad internacional de la </w:t>
      </w:r>
      <w:proofErr w:type="spellStart"/>
      <w:r w:rsidRPr="004E2B39">
        <w:t>República</w:t>
      </w:r>
      <w:proofErr w:type="spellEnd"/>
      <w:r w:rsidRPr="004E2B39">
        <w:t xml:space="preserve"> Federativa de Brasil por las violaciones a diversos derechos en perjuicio de 60 personas fallecidas y seis heridas en la </w:t>
      </w:r>
      <w:proofErr w:type="spellStart"/>
      <w:r w:rsidRPr="004E2B39">
        <w:t>explosión</w:t>
      </w:r>
      <w:proofErr w:type="spellEnd"/>
      <w:r w:rsidRPr="004E2B39">
        <w:t xml:space="preserve"> en una </w:t>
      </w:r>
      <w:proofErr w:type="spellStart"/>
      <w:r w:rsidRPr="004E2B39">
        <w:t>fábrica</w:t>
      </w:r>
      <w:proofErr w:type="spellEnd"/>
      <w:r w:rsidRPr="004E2B39">
        <w:t xml:space="preserve"> de fuegos artificiales en el municipio de Santo </w:t>
      </w:r>
      <w:proofErr w:type="spellStart"/>
      <w:r w:rsidRPr="004E2B39">
        <w:t>Anto</w:t>
      </w:r>
      <w:r w:rsidRPr="004E2B39">
        <w:rPr>
          <w:rFonts w:ascii="Arial" w:hAnsi="Arial" w:cs="Arial"/>
        </w:rPr>
        <w:t>̂</w:t>
      </w:r>
      <w:r w:rsidRPr="004E2B39">
        <w:t>nio</w:t>
      </w:r>
      <w:proofErr w:type="spellEnd"/>
      <w:r w:rsidRPr="004E2B39">
        <w:t xml:space="preserve"> de </w:t>
      </w:r>
      <w:proofErr w:type="spellStart"/>
      <w:r w:rsidRPr="004E2B39">
        <w:t>Jesus</w:t>
      </w:r>
      <w:proofErr w:type="spellEnd"/>
      <w:r w:rsidRPr="004E2B39">
        <w:t xml:space="preserve">, estado de </w:t>
      </w:r>
      <w:proofErr w:type="spellStart"/>
      <w:r w:rsidRPr="004E2B39">
        <w:t>Bahia</w:t>
      </w:r>
      <w:proofErr w:type="spellEnd"/>
      <w:r w:rsidRPr="004E2B39">
        <w:t xml:space="preserve">, </w:t>
      </w:r>
      <w:proofErr w:type="spellStart"/>
      <w:r w:rsidRPr="004E2B39">
        <w:t>asi</w:t>
      </w:r>
      <w:proofErr w:type="spellEnd"/>
      <w:r w:rsidRPr="004E2B39">
        <w:t xml:space="preserve">́ como de 100 familiares de las personas fallecidas y sobrevivientes a la </w:t>
      </w:r>
      <w:proofErr w:type="spellStart"/>
      <w:r w:rsidRPr="004E2B39">
        <w:t>explosión</w:t>
      </w:r>
      <w:proofErr w:type="spellEnd"/>
      <w:r w:rsidRPr="004E2B39">
        <w:t xml:space="preserve">. La Corte </w:t>
      </w:r>
      <w:proofErr w:type="spellStart"/>
      <w:r w:rsidRPr="004E2B39">
        <w:t>encontro</w:t>
      </w:r>
      <w:proofErr w:type="spellEnd"/>
      <w:r w:rsidRPr="004E2B39">
        <w:t xml:space="preserve">́ que, como consecuencia de la </w:t>
      </w:r>
      <w:proofErr w:type="spellStart"/>
      <w:r w:rsidRPr="004E2B39">
        <w:t>explosión</w:t>
      </w:r>
      <w:proofErr w:type="spellEnd"/>
      <w:r w:rsidRPr="004E2B39">
        <w:t xml:space="preserve">, fueron violados los derechos a la vida, integridad personal, trabajo en condiciones equitativas y satisfactorias, derechos de la </w:t>
      </w:r>
      <w:proofErr w:type="spellStart"/>
      <w:r w:rsidRPr="004E2B39">
        <w:t>niña</w:t>
      </w:r>
      <w:proofErr w:type="spellEnd"/>
      <w:r w:rsidRPr="004E2B39">
        <w:t xml:space="preserve"> y del </w:t>
      </w:r>
      <w:proofErr w:type="spellStart"/>
      <w:r w:rsidRPr="004E2B39">
        <w:t>niño</w:t>
      </w:r>
      <w:proofErr w:type="spellEnd"/>
      <w:r w:rsidRPr="004E2B39">
        <w:t xml:space="preserve">, igualdad y no discriminación, protección judicial y </w:t>
      </w:r>
      <w:proofErr w:type="spellStart"/>
      <w:r w:rsidRPr="004E2B39">
        <w:t>garantías</w:t>
      </w:r>
      <w:proofErr w:type="spellEnd"/>
      <w:r w:rsidRPr="004E2B39">
        <w:t xml:space="preserve"> judiciales. En consecuencia, la Corte declaró que el Estado es responsable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4.1, 5.1, 19, 24 y 26, en </w:t>
      </w:r>
      <w:proofErr w:type="spellStart"/>
      <w:r w:rsidRPr="004E2B39">
        <w:t>relación</w:t>
      </w:r>
      <w:proofErr w:type="spellEnd"/>
      <w:r w:rsidRPr="004E2B39">
        <w:t xml:space="preserve"> con el artículo 1.1 de la Convención Americana sobre Derechos Humanos.</w:t>
      </w:r>
    </w:p>
  </w:footnote>
  <w:footnote w:id="14">
    <w:p w14:paraId="496932D7" w14:textId="082A1AE7" w:rsidR="007269CF" w:rsidRPr="004E2B39" w:rsidRDefault="007269CF" w:rsidP="004E2B39">
      <w:pPr>
        <w:pStyle w:val="Textonotapie"/>
        <w:rPr>
          <w:rFonts w:ascii="Verdana" w:hAnsi="Verdana"/>
          <w:sz w:val="16"/>
          <w:szCs w:val="16"/>
          <w:lang w:val="es-ES"/>
        </w:rPr>
      </w:pPr>
      <w:r w:rsidRPr="004E2B39">
        <w:rPr>
          <w:rStyle w:val="Refdenotaalpie"/>
          <w:rFonts w:ascii="Verdana" w:hAnsi="Verdana"/>
          <w:sz w:val="16"/>
          <w:szCs w:val="16"/>
        </w:rPr>
        <w:footnoteRef/>
      </w:r>
      <w:r w:rsidRPr="004E2B39">
        <w:rPr>
          <w:rFonts w:ascii="Verdana" w:hAnsi="Verdana"/>
          <w:sz w:val="16"/>
          <w:szCs w:val="16"/>
          <w:lang w:val="es-CL"/>
        </w:rPr>
        <w:t xml:space="preserve"> Las preguntas formuladas por la CIDH fueron: 1. ¿Se aplica el requisito de agotar los recursos jurídicos internos a un indigente que, debido a circunstancias económicas, no es capaz de hacer uso de los recursos jurídicos en el país? 2. En caso de eximirse a los indigentes de este requisito, ¿qué criterios debe considerar la Comisión al dar su dictamen sobre admisibilidad en tales casos? 3. ¿Se aplica el requisito de agotar los recursos jurídicos internos a un reclamante individual que, por no poder obtener representación legal debido a un temor generalizado en los círculos jurídicos no puede hacer uso de los recursos que le brinda la ley en el país? 4. En caso de eximirse de este requisito a tales personas, ¿qué criterios deberá considerar la Comisión al dar su dictamen de admisibilidad en tales casos?</w:t>
      </w:r>
    </w:p>
  </w:footnote>
  <w:footnote w:id="15">
    <w:p w14:paraId="26135D28"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destitución de los jueces de la Corte Primera de lo Contencioso Administrativo sin un debido proceso. La Corte que estableció la responsabilidad internacional del Estado por la violación de los siguientes derechos convencionales: Artículo 1 (Obligación de respetar los derechos), Artículo 2 (Deber de adoptar disposiciones de derecho interno), Artículo 23 (Derechos políticos), Artículo 24 (Igualdad ante la ley), Artículo 25 (Protección Judicial), Artículo 8 (Garantías Judiciales).</w:t>
      </w:r>
    </w:p>
    <w:p w14:paraId="4FE97CCE" w14:textId="77777777" w:rsidR="007269CF" w:rsidRPr="004E2B39" w:rsidRDefault="007269CF" w:rsidP="004E2B39">
      <w:pPr>
        <w:pStyle w:val="Textonotapie"/>
        <w:rPr>
          <w:rFonts w:ascii="Verdana" w:hAnsi="Verdana"/>
          <w:sz w:val="16"/>
          <w:szCs w:val="16"/>
          <w:lang w:val="es-CL"/>
        </w:rPr>
      </w:pPr>
    </w:p>
  </w:footnote>
  <w:footnote w:id="16">
    <w:p w14:paraId="26BF7E23" w14:textId="4DDD12F5" w:rsidR="007269CF" w:rsidRPr="004E2B39" w:rsidRDefault="007269CF" w:rsidP="004E2B39">
      <w:pPr>
        <w:pStyle w:val="Footnotes"/>
        <w:rPr>
          <w:rStyle w:val="Refdenotaalpie"/>
          <w:vertAlign w:val="baseline"/>
        </w:rPr>
      </w:pPr>
      <w:r w:rsidRPr="004E2B39">
        <w:rPr>
          <w:rStyle w:val="Refdenotaalpie"/>
        </w:rPr>
        <w:footnoteRef/>
      </w:r>
      <w:r w:rsidRPr="004E2B39">
        <w:t xml:space="preserve"> El 28 de agosto de 2014 la Corte Interamericana de Derechos Humanos dictó Sentencia de excepciones preliminares, fondo, reparaciones y costas en el caso de Personas Dominicanas y Haitianas Expulsadas Vs. </w:t>
      </w:r>
      <w:proofErr w:type="spellStart"/>
      <w:r w:rsidRPr="004E2B39">
        <w:t>República</w:t>
      </w:r>
      <w:proofErr w:type="spellEnd"/>
      <w:r w:rsidRPr="004E2B39">
        <w:t xml:space="preserve"> Dominicana, y declaró que el Estado es internacionalmente responsable por la </w:t>
      </w:r>
      <w:proofErr w:type="spellStart"/>
      <w:r w:rsidRPr="004E2B39">
        <w:t>violación</w:t>
      </w:r>
      <w:proofErr w:type="spellEnd"/>
      <w:r w:rsidRPr="004E2B39">
        <w:t xml:space="preserve"> de los derechos establecidos en la Convención Americana sobre Derechos Humanos, a saber: reconocimiento de la personalidad </w:t>
      </w:r>
      <w:proofErr w:type="spellStart"/>
      <w:r w:rsidRPr="004E2B39">
        <w:t>jurídica</w:t>
      </w:r>
      <w:proofErr w:type="spellEnd"/>
      <w:r w:rsidRPr="004E2B39">
        <w:t xml:space="preserve"> (artículo 3), nacionalidad (artículo 20), nombre (artículo 18), </w:t>
      </w:r>
      <w:proofErr w:type="spellStart"/>
      <w:r w:rsidRPr="004E2B39">
        <w:t>asi</w:t>
      </w:r>
      <w:proofErr w:type="spellEnd"/>
      <w:r w:rsidRPr="004E2B39">
        <w:t xml:space="preserve">́ como por el conjunto de dichas violaciones el derecho a la identidad, libertad personal (artículo 7), de </w:t>
      </w:r>
      <w:proofErr w:type="spellStart"/>
      <w:r w:rsidRPr="004E2B39">
        <w:t>circulación</w:t>
      </w:r>
      <w:proofErr w:type="spellEnd"/>
      <w:r w:rsidRPr="004E2B39">
        <w:t xml:space="preserve"> y de residencia (artículo 22.1, 22.5 y 22.9), </w:t>
      </w:r>
      <w:proofErr w:type="spellStart"/>
      <w:r w:rsidRPr="004E2B39">
        <w:t>garantías</w:t>
      </w:r>
      <w:proofErr w:type="spellEnd"/>
      <w:r w:rsidRPr="004E2B39">
        <w:t xml:space="preserve"> judiciales (artículo 8.1), protección judicial (artículo 25.1), protección a la familia (artículo 17.1), y protección de la honra y de la dignidad en </w:t>
      </w:r>
      <w:proofErr w:type="spellStart"/>
      <w:r w:rsidRPr="004E2B39">
        <w:t>relación</w:t>
      </w:r>
      <w:proofErr w:type="spellEnd"/>
      <w:r w:rsidRPr="004E2B39">
        <w:t xml:space="preserve"> con la </w:t>
      </w:r>
      <w:proofErr w:type="spellStart"/>
      <w:r w:rsidRPr="004E2B39">
        <w:t>prohibición</w:t>
      </w:r>
      <w:proofErr w:type="spellEnd"/>
      <w:r w:rsidRPr="004E2B39">
        <w:t xml:space="preserve"> de injerencias arbitrarias en la vida privada y familiar (artículo 11.2). La </w:t>
      </w:r>
      <w:proofErr w:type="spellStart"/>
      <w:r w:rsidRPr="004E2B39">
        <w:t>violación</w:t>
      </w:r>
      <w:proofErr w:type="spellEnd"/>
      <w:r w:rsidRPr="004E2B39">
        <w:t xml:space="preserve"> de estos derechos fue declarada en </w:t>
      </w:r>
      <w:proofErr w:type="spellStart"/>
      <w:r w:rsidRPr="004E2B39">
        <w:t>relación</w:t>
      </w:r>
      <w:proofErr w:type="spellEnd"/>
      <w:r w:rsidRPr="004E2B39">
        <w:t xml:space="preserve"> con el incumplimiento de las obligaciones establecidas en el artículo 1.1 de la Convención inclusive, </w:t>
      </w:r>
      <w:proofErr w:type="spellStart"/>
      <w:r w:rsidRPr="004E2B39">
        <w:t>según</w:t>
      </w:r>
      <w:proofErr w:type="spellEnd"/>
      <w:r w:rsidRPr="004E2B39">
        <w:t xml:space="preserve"> el caso, de la obligación de respetar los derechos sin discriminación. Adicionalmente, la Corte declaró la </w:t>
      </w:r>
      <w:proofErr w:type="spellStart"/>
      <w:r w:rsidRPr="004E2B39">
        <w:t>violación</w:t>
      </w:r>
      <w:proofErr w:type="spellEnd"/>
      <w:r w:rsidRPr="004E2B39">
        <w:t xml:space="preserve"> de los derechos del </w:t>
      </w:r>
      <w:proofErr w:type="spellStart"/>
      <w:r w:rsidRPr="004E2B39">
        <w:t>niño</w:t>
      </w:r>
      <w:proofErr w:type="spellEnd"/>
      <w:r w:rsidRPr="004E2B39">
        <w:t xml:space="preserve"> (artículo 19), en perjuicio de las </w:t>
      </w:r>
      <w:proofErr w:type="spellStart"/>
      <w:r w:rsidRPr="004E2B39">
        <w:t>víctimas</w:t>
      </w:r>
      <w:proofErr w:type="spellEnd"/>
      <w:r w:rsidRPr="004E2B39">
        <w:t xml:space="preserve"> que al momento en que ocurrieron los hechos eran </w:t>
      </w:r>
      <w:proofErr w:type="spellStart"/>
      <w:r w:rsidRPr="004E2B39">
        <w:t>niñas</w:t>
      </w:r>
      <w:proofErr w:type="spellEnd"/>
      <w:r w:rsidRPr="004E2B39">
        <w:t xml:space="preserve"> o </w:t>
      </w:r>
      <w:proofErr w:type="spellStart"/>
      <w:r w:rsidRPr="004E2B39">
        <w:t>niños</w:t>
      </w:r>
      <w:proofErr w:type="spellEnd"/>
      <w:r w:rsidRPr="004E2B39">
        <w:t xml:space="preserve">. Finalmente, este Tribunal declaró que el Estado </w:t>
      </w:r>
      <w:proofErr w:type="spellStart"/>
      <w:r w:rsidRPr="004E2B39">
        <w:t>incumplio</w:t>
      </w:r>
      <w:proofErr w:type="spellEnd"/>
      <w:r w:rsidRPr="004E2B39">
        <w:t xml:space="preserve">́ su deber de adoptar disposiciones de derecho interno, establecido en el artículo 2 de la Convención, en </w:t>
      </w:r>
      <w:proofErr w:type="spellStart"/>
      <w:r w:rsidRPr="004E2B39">
        <w:t>relación</w:t>
      </w:r>
      <w:proofErr w:type="spellEnd"/>
      <w:r w:rsidRPr="004E2B39">
        <w:t xml:space="preserve"> con los derechos al reconocimiento a la personalidad </w:t>
      </w:r>
      <w:proofErr w:type="spellStart"/>
      <w:r w:rsidRPr="004E2B39">
        <w:t>jurídica</w:t>
      </w:r>
      <w:proofErr w:type="spellEnd"/>
      <w:r w:rsidRPr="004E2B39">
        <w:t xml:space="preserve">, el nombre y la nacionalidad, </w:t>
      </w:r>
      <w:proofErr w:type="spellStart"/>
      <w:r w:rsidRPr="004E2B39">
        <w:t>asi</w:t>
      </w:r>
      <w:proofErr w:type="spellEnd"/>
      <w:r w:rsidRPr="004E2B39">
        <w:t xml:space="preserve">́ como por el conjunto de dichos derechos, el derecho a la identidad, y el derecho a la igualdad ante la ley. Tales violaciones fueron cometidas en perjuicio de </w:t>
      </w:r>
      <w:proofErr w:type="spellStart"/>
      <w:r w:rsidRPr="004E2B39">
        <w:t>Willian</w:t>
      </w:r>
      <w:proofErr w:type="spellEnd"/>
      <w:r w:rsidRPr="004E2B39">
        <w:t xml:space="preserve"> Medina, Lilia Jean Pierre, </w:t>
      </w:r>
      <w:proofErr w:type="spellStart"/>
      <w:r w:rsidRPr="004E2B39">
        <w:t>Awilda</w:t>
      </w:r>
      <w:proofErr w:type="spellEnd"/>
      <w:r w:rsidRPr="004E2B39">
        <w:t xml:space="preserve"> Medina </w:t>
      </w:r>
      <w:proofErr w:type="spellStart"/>
      <w:r w:rsidRPr="004E2B39">
        <w:t>Pérez</w:t>
      </w:r>
      <w:proofErr w:type="spellEnd"/>
      <w:r w:rsidRPr="004E2B39">
        <w:t xml:space="preserve">, Luis </w:t>
      </w:r>
      <w:proofErr w:type="spellStart"/>
      <w:r w:rsidRPr="004E2B39">
        <w:t>Ney</w:t>
      </w:r>
      <w:proofErr w:type="spellEnd"/>
      <w:r w:rsidRPr="004E2B39">
        <w:t xml:space="preserve"> Medina, Carolina Isabel Medina, </w:t>
      </w:r>
      <w:proofErr w:type="spellStart"/>
      <w:r w:rsidRPr="004E2B39">
        <w:t>Jeanty</w:t>
      </w:r>
      <w:proofErr w:type="spellEnd"/>
      <w:r w:rsidRPr="004E2B39">
        <w:t xml:space="preserve"> </w:t>
      </w:r>
      <w:proofErr w:type="spellStart"/>
      <w:r w:rsidRPr="004E2B39">
        <w:t>Fils-Aime</w:t>
      </w:r>
      <w:proofErr w:type="spellEnd"/>
      <w:r w:rsidRPr="004E2B39">
        <w:t xml:space="preserve">́, </w:t>
      </w:r>
      <w:proofErr w:type="spellStart"/>
      <w:r w:rsidRPr="004E2B39">
        <w:t>Janise</w:t>
      </w:r>
      <w:proofErr w:type="spellEnd"/>
      <w:r w:rsidRPr="004E2B39">
        <w:t xml:space="preserve"> </w:t>
      </w:r>
      <w:proofErr w:type="spellStart"/>
      <w:r w:rsidRPr="004E2B39">
        <w:t>Midi</w:t>
      </w:r>
      <w:proofErr w:type="spellEnd"/>
      <w:r w:rsidRPr="004E2B39">
        <w:t xml:space="preserve">, Antonio </w:t>
      </w:r>
      <w:proofErr w:type="spellStart"/>
      <w:r w:rsidRPr="004E2B39">
        <w:t>Fils-Aime</w:t>
      </w:r>
      <w:proofErr w:type="spellEnd"/>
      <w:r w:rsidRPr="004E2B39">
        <w:t xml:space="preserve">́, Diane </w:t>
      </w:r>
      <w:proofErr w:type="spellStart"/>
      <w:r w:rsidRPr="004E2B39">
        <w:t>Fils-Aime</w:t>
      </w:r>
      <w:proofErr w:type="spellEnd"/>
      <w:r w:rsidRPr="004E2B39">
        <w:t xml:space="preserve">́, </w:t>
      </w:r>
      <w:proofErr w:type="spellStart"/>
      <w:r w:rsidRPr="004E2B39">
        <w:t>Endry</w:t>
      </w:r>
      <w:proofErr w:type="spellEnd"/>
      <w:r w:rsidRPr="004E2B39">
        <w:t xml:space="preserve"> </w:t>
      </w:r>
      <w:proofErr w:type="spellStart"/>
      <w:r w:rsidRPr="004E2B39">
        <w:t>Fils-Aime</w:t>
      </w:r>
      <w:proofErr w:type="spellEnd"/>
      <w:r w:rsidRPr="004E2B39">
        <w:t xml:space="preserve">́, </w:t>
      </w:r>
      <w:proofErr w:type="spellStart"/>
      <w:r w:rsidRPr="004E2B39">
        <w:t>Bersson</w:t>
      </w:r>
      <w:proofErr w:type="spellEnd"/>
      <w:r w:rsidRPr="004E2B39">
        <w:t xml:space="preserve"> </w:t>
      </w:r>
      <w:proofErr w:type="spellStart"/>
      <w:r w:rsidRPr="004E2B39">
        <w:t>Gelin</w:t>
      </w:r>
      <w:proofErr w:type="spellEnd"/>
      <w:r w:rsidRPr="004E2B39">
        <w:t xml:space="preserve">, William </w:t>
      </w:r>
      <w:proofErr w:type="spellStart"/>
      <w:r w:rsidRPr="004E2B39">
        <w:t>Gelin</w:t>
      </w:r>
      <w:proofErr w:type="spellEnd"/>
      <w:r w:rsidRPr="004E2B39">
        <w:t xml:space="preserve">, Antonio </w:t>
      </w:r>
      <w:proofErr w:type="spellStart"/>
      <w:r w:rsidRPr="004E2B39">
        <w:t>Sensión</w:t>
      </w:r>
      <w:proofErr w:type="spellEnd"/>
      <w:r w:rsidRPr="004E2B39">
        <w:t xml:space="preserve">, Ana Virginia Nolasco, Ana Lidia </w:t>
      </w:r>
      <w:proofErr w:type="spellStart"/>
      <w:r w:rsidRPr="004E2B39">
        <w:t>Sensión</w:t>
      </w:r>
      <w:proofErr w:type="spellEnd"/>
      <w:r w:rsidRPr="004E2B39">
        <w:t xml:space="preserve"> Nolasco, </w:t>
      </w:r>
      <w:proofErr w:type="spellStart"/>
      <w:r w:rsidRPr="004E2B39">
        <w:t>Reyita</w:t>
      </w:r>
      <w:proofErr w:type="spellEnd"/>
      <w:r w:rsidRPr="004E2B39">
        <w:t xml:space="preserve"> Antonia </w:t>
      </w:r>
      <w:proofErr w:type="spellStart"/>
      <w:r w:rsidRPr="004E2B39">
        <w:t>Sensión</w:t>
      </w:r>
      <w:proofErr w:type="spellEnd"/>
      <w:r w:rsidRPr="004E2B39">
        <w:t xml:space="preserve"> Nolasco, </w:t>
      </w:r>
      <w:proofErr w:type="spellStart"/>
      <w:r w:rsidRPr="004E2B39">
        <w:t>Víctor</w:t>
      </w:r>
      <w:proofErr w:type="spellEnd"/>
      <w:r w:rsidRPr="004E2B39">
        <w:t xml:space="preserve"> Jean, Marlene Mesidor, </w:t>
      </w:r>
      <w:proofErr w:type="spellStart"/>
      <w:r w:rsidRPr="004E2B39">
        <w:t>Markenson</w:t>
      </w:r>
      <w:proofErr w:type="spellEnd"/>
      <w:r w:rsidRPr="004E2B39">
        <w:t xml:space="preserve"> Jean Mesidor, Miguel Jean, Victoria Jean, Natalie Jean y Rafaelito </w:t>
      </w:r>
      <w:proofErr w:type="spellStart"/>
      <w:r w:rsidRPr="004E2B39">
        <w:t>Pérez</w:t>
      </w:r>
      <w:proofErr w:type="spellEnd"/>
      <w:r w:rsidRPr="004E2B39">
        <w:t xml:space="preserve"> Charles, en </w:t>
      </w:r>
      <w:proofErr w:type="spellStart"/>
      <w:r w:rsidRPr="004E2B39">
        <w:t>consideración</w:t>
      </w:r>
      <w:proofErr w:type="spellEnd"/>
      <w:r w:rsidRPr="004E2B39">
        <w:t xml:space="preserve"> de las situaciones propias de cada </w:t>
      </w:r>
      <w:proofErr w:type="spellStart"/>
      <w:r w:rsidRPr="004E2B39">
        <w:t>víctima</w:t>
      </w:r>
      <w:proofErr w:type="spellEnd"/>
      <w:r w:rsidRPr="004E2B39">
        <w:t xml:space="preserve">. Por </w:t>
      </w:r>
      <w:proofErr w:type="spellStart"/>
      <w:r w:rsidRPr="004E2B39">
        <w:t>último</w:t>
      </w:r>
      <w:proofErr w:type="spellEnd"/>
      <w:r w:rsidRPr="004E2B39">
        <w:t xml:space="preserve">, declaró improcedente pronunciarse sobre la alegada </w:t>
      </w:r>
      <w:proofErr w:type="spellStart"/>
      <w:r w:rsidRPr="004E2B39">
        <w:t>violación</w:t>
      </w:r>
      <w:proofErr w:type="spellEnd"/>
      <w:r w:rsidRPr="004E2B39">
        <w:t xml:space="preserve"> de los derechos a la integridad personal (artículo 5.1) y propiedad privada (artículo 21.1).</w:t>
      </w:r>
    </w:p>
  </w:footnote>
  <w:footnote w:id="17">
    <w:p w14:paraId="63144313"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20 de noviembre de 2014 la Corte Interamericana de Derechos Humanos dictó Sentencia, mediante la cual declaró responsable internacionalmente al Estado del Perú por la violación de los derechos a la libertad personal, integridad personal, protección de la honra y dignidad, garantías judiciales y protección judicial, así como por el incumplimiento del deber de no discriminar, todos en perjuicio de Gladys Carol Espinoza Gonzáles. Además, declaró la responsabilidad del Perú por la violación del derecho a la integridad personal de Teodora Gonzáles de Espinoza y Manuel Espinoza Gonzáles, madre y hermano de Gladys Espinoza. La Corte estableció la responsabilidad internacional del Estado por la violación de los siguientes derechos convencionales: Artículo 1 (Obligación de respetar los derechos), Artículo 25 (Protección Judicial), Artículo 5 (Derecho a la Integridad Personal), Artículo 7 (Derecho a la libertad personal), Artículo 8 (Garantías Judiciales).</w:t>
      </w:r>
    </w:p>
  </w:footnote>
  <w:footnote w:id="18">
    <w:p w14:paraId="6A0A3447" w14:textId="77777777" w:rsidR="007269CF" w:rsidRPr="004E2B39" w:rsidRDefault="007269CF" w:rsidP="004E2B39">
      <w:pPr>
        <w:pStyle w:val="Footnotes"/>
      </w:pPr>
      <w:r w:rsidRPr="004E2B39">
        <w:rPr>
          <w:rStyle w:val="Refdenotaalpie"/>
        </w:rPr>
        <w:footnoteRef/>
      </w:r>
      <w:r w:rsidRPr="004E2B39">
        <w:rPr>
          <w:rStyle w:val="Refdenotaalpie"/>
          <w:vertAlign w:val="baseline"/>
        </w:rPr>
        <w:t xml:space="preserve"> </w:t>
      </w:r>
      <w:r w:rsidRPr="004E2B39">
        <w:t xml:space="preserve">El 9 de marzo de 2018 la Corte Interamericana de Derechos Humanos dictó una Sentencia mediante la cual declaró responsable internacionalmente al Estado de Guatemala por la </w:t>
      </w:r>
      <w:proofErr w:type="spellStart"/>
      <w:r w:rsidRPr="004E2B39">
        <w:t>separación</w:t>
      </w:r>
      <w:proofErr w:type="spellEnd"/>
      <w:r w:rsidRPr="004E2B39">
        <w:t xml:space="preserve"> arbitraria de la familia, en </w:t>
      </w:r>
      <w:proofErr w:type="spellStart"/>
      <w:r w:rsidRPr="004E2B39">
        <w:t>violación</w:t>
      </w:r>
      <w:proofErr w:type="spellEnd"/>
      <w:r w:rsidRPr="004E2B39">
        <w:t xml:space="preserve"> de la </w:t>
      </w:r>
      <w:proofErr w:type="spellStart"/>
      <w:r w:rsidRPr="004E2B39">
        <w:t>prohibición</w:t>
      </w:r>
      <w:proofErr w:type="spellEnd"/>
      <w:r w:rsidRPr="004E2B39">
        <w:t xml:space="preserve"> de injerencias arbitrarias en la vida familiar, el derecho a la protección de la familia, las </w:t>
      </w:r>
      <w:proofErr w:type="spellStart"/>
      <w:r w:rsidRPr="004E2B39">
        <w:t>garantías</w:t>
      </w:r>
      <w:proofErr w:type="spellEnd"/>
      <w:r w:rsidRPr="004E2B39">
        <w:t xml:space="preserve"> judiciales, el derecho a la protección judicial y la </w:t>
      </w:r>
      <w:proofErr w:type="spellStart"/>
      <w:r w:rsidRPr="004E2B39">
        <w:t>prohibición</w:t>
      </w:r>
      <w:proofErr w:type="spellEnd"/>
      <w:r w:rsidRPr="004E2B39">
        <w:t xml:space="preserve"> de discriminación, en perjuicio de Flor de </w:t>
      </w:r>
      <w:proofErr w:type="spellStart"/>
      <w:r w:rsidRPr="004E2B39">
        <w:t>María</w:t>
      </w:r>
      <w:proofErr w:type="spellEnd"/>
      <w:r w:rsidRPr="004E2B39">
        <w:t xml:space="preserve"> </w:t>
      </w:r>
      <w:proofErr w:type="spellStart"/>
      <w:r w:rsidRPr="004E2B39">
        <w:t>Ramírez</w:t>
      </w:r>
      <w:proofErr w:type="spellEnd"/>
      <w:r w:rsidRPr="004E2B39">
        <w:t xml:space="preserve"> Escobar, Gustavo Tobar Fajardo y </w:t>
      </w:r>
      <w:proofErr w:type="spellStart"/>
      <w:r w:rsidRPr="004E2B39">
        <w:t>Osmín</w:t>
      </w:r>
      <w:proofErr w:type="spellEnd"/>
      <w:r w:rsidRPr="004E2B39">
        <w:t xml:space="preserve"> Tobar </w:t>
      </w:r>
      <w:proofErr w:type="spellStart"/>
      <w:r w:rsidRPr="004E2B39">
        <w:t>Ramírez</w:t>
      </w:r>
      <w:proofErr w:type="spellEnd"/>
      <w:r w:rsidRPr="004E2B39">
        <w:t xml:space="preserve">. La Corte también declaró responsable al Estado por la </w:t>
      </w:r>
      <w:proofErr w:type="spellStart"/>
      <w:r w:rsidRPr="004E2B39">
        <w:t>violación</w:t>
      </w:r>
      <w:proofErr w:type="spellEnd"/>
      <w:r w:rsidRPr="004E2B39">
        <w:t xml:space="preserve"> del derecho a la integridad personal de las </w:t>
      </w:r>
      <w:proofErr w:type="spellStart"/>
      <w:r w:rsidRPr="004E2B39">
        <w:t>víctimas</w:t>
      </w:r>
      <w:proofErr w:type="spellEnd"/>
      <w:r w:rsidRPr="004E2B39">
        <w:t xml:space="preserve">, la ausencia de una </w:t>
      </w:r>
      <w:proofErr w:type="spellStart"/>
      <w:r w:rsidRPr="004E2B39">
        <w:t>investigación</w:t>
      </w:r>
      <w:proofErr w:type="spellEnd"/>
      <w:r w:rsidRPr="004E2B39">
        <w:t xml:space="preserve"> de las irregularidades cometidas en el proceso de </w:t>
      </w:r>
      <w:proofErr w:type="spellStart"/>
      <w:r w:rsidRPr="004E2B39">
        <w:t>separación</w:t>
      </w:r>
      <w:proofErr w:type="spellEnd"/>
      <w:r w:rsidRPr="004E2B39">
        <w:t xml:space="preserve"> de la familia y la </w:t>
      </w:r>
      <w:proofErr w:type="spellStart"/>
      <w:r w:rsidRPr="004E2B39">
        <w:t>violación</w:t>
      </w:r>
      <w:proofErr w:type="spellEnd"/>
      <w:r w:rsidRPr="004E2B39">
        <w:t xml:space="preserve"> de los derechos a la libertad personal, la identidad y el nombre de </w:t>
      </w:r>
      <w:proofErr w:type="spellStart"/>
      <w:r w:rsidRPr="004E2B39">
        <w:t>Osmín</w:t>
      </w:r>
      <w:proofErr w:type="spellEnd"/>
      <w:r w:rsidRPr="004E2B39">
        <w:t xml:space="preserve"> Tobar </w:t>
      </w:r>
      <w:proofErr w:type="spellStart"/>
      <w:r w:rsidRPr="004E2B39">
        <w:t>Ramírez</w:t>
      </w:r>
      <w:proofErr w:type="spellEnd"/>
      <w:r w:rsidRPr="004E2B39">
        <w:t>.</w:t>
      </w:r>
    </w:p>
  </w:footnote>
  <w:footnote w:id="19">
    <w:p w14:paraId="1F97C3A3" w14:textId="01EBC99B" w:rsidR="007269CF" w:rsidRPr="004E2B39" w:rsidRDefault="007269CF" w:rsidP="004E2B39">
      <w:pPr>
        <w:pStyle w:val="Footnotes"/>
      </w:pPr>
      <w:r w:rsidRPr="004E2B39">
        <w:rPr>
          <w:rStyle w:val="Refdenotaalpie"/>
        </w:rPr>
        <w:footnoteRef/>
      </w:r>
      <w:r w:rsidRPr="004E2B39">
        <w:t xml:space="preserve"> El 26 de marzo de 2021 la Corte Interamericana de Derechos Humanos dictó una Sentencia mediante la cual declaró que el Estado de Honduras era responsable por la </w:t>
      </w:r>
      <w:proofErr w:type="spellStart"/>
      <w:r w:rsidRPr="004E2B39">
        <w:t>violación</w:t>
      </w:r>
      <w:proofErr w:type="spellEnd"/>
      <w:r w:rsidRPr="004E2B39">
        <w:t xml:space="preserve"> al derecho a la vida, y a la integridad personal (</w:t>
      </w:r>
      <w:proofErr w:type="spellStart"/>
      <w:r w:rsidRPr="004E2B39">
        <w:t>artículos</w:t>
      </w:r>
      <w:proofErr w:type="spellEnd"/>
      <w:r w:rsidRPr="004E2B39">
        <w:t xml:space="preserve"> 4 y 5 de la Convención Americana), en perjuicio de Vicky </w:t>
      </w:r>
      <w:proofErr w:type="spellStart"/>
      <w:r w:rsidRPr="004E2B39">
        <w:t>Hernández</w:t>
      </w:r>
      <w:proofErr w:type="spellEnd"/>
      <w:r w:rsidRPr="004E2B39">
        <w:t xml:space="preserve">, mujer </w:t>
      </w:r>
      <w:proofErr w:type="spellStart"/>
      <w:r w:rsidRPr="004E2B39">
        <w:t>trans-género</w:t>
      </w:r>
      <w:proofErr w:type="spellEnd"/>
      <w:r w:rsidRPr="004E2B39">
        <w:t xml:space="preserve">, trabajadora sexual y defensora de los derechos de las mujeres trans. Al encontrar que la violencia ejercida contra Vicky </w:t>
      </w:r>
      <w:proofErr w:type="spellStart"/>
      <w:r w:rsidRPr="004E2B39">
        <w:t>Hernández</w:t>
      </w:r>
      <w:proofErr w:type="spellEnd"/>
      <w:r w:rsidRPr="004E2B39">
        <w:t xml:space="preserve">, lo fue en </w:t>
      </w:r>
      <w:proofErr w:type="spellStart"/>
      <w:r w:rsidRPr="004E2B39">
        <w:t>razón</w:t>
      </w:r>
      <w:proofErr w:type="spellEnd"/>
      <w:r w:rsidRPr="004E2B39">
        <w:t xml:space="preserve"> de su </w:t>
      </w:r>
      <w:proofErr w:type="spellStart"/>
      <w:r w:rsidRPr="004E2B39">
        <w:t>expresión</w:t>
      </w:r>
      <w:proofErr w:type="spellEnd"/>
      <w:r w:rsidRPr="004E2B39">
        <w:t xml:space="preserve"> o identidad de </w:t>
      </w:r>
      <w:proofErr w:type="spellStart"/>
      <w:r w:rsidRPr="004E2B39">
        <w:t>género</w:t>
      </w:r>
      <w:proofErr w:type="spellEnd"/>
      <w:r w:rsidRPr="004E2B39">
        <w:t xml:space="preserve">, el Tribunal concluyó que el Estado era responsable por una </w:t>
      </w:r>
      <w:proofErr w:type="spellStart"/>
      <w:r w:rsidRPr="004E2B39">
        <w:t>violación</w:t>
      </w:r>
      <w:proofErr w:type="spellEnd"/>
      <w:r w:rsidRPr="004E2B39">
        <w:t xml:space="preserve"> a los derechos al reconocimiento a la personalidad </w:t>
      </w:r>
      <w:proofErr w:type="spellStart"/>
      <w:r w:rsidRPr="004E2B39">
        <w:t>jurídica</w:t>
      </w:r>
      <w:proofErr w:type="spellEnd"/>
      <w:r w:rsidRPr="004E2B39">
        <w:t xml:space="preserve">, a la libertad personal, a la privacidad, a la libertad de </w:t>
      </w:r>
      <w:proofErr w:type="spellStart"/>
      <w:r w:rsidRPr="004E2B39">
        <w:t>expresión</w:t>
      </w:r>
      <w:proofErr w:type="spellEnd"/>
      <w:r w:rsidRPr="004E2B39">
        <w:t>, y al nombre (</w:t>
      </w:r>
      <w:proofErr w:type="spellStart"/>
      <w:r w:rsidRPr="004E2B39">
        <w:t>artículos</w:t>
      </w:r>
      <w:proofErr w:type="spellEnd"/>
      <w:r w:rsidRPr="004E2B39">
        <w:t xml:space="preserve"> 3, 7, 11, 13, y 18 de la Convención Americana), y que </w:t>
      </w:r>
      <w:proofErr w:type="spellStart"/>
      <w:r w:rsidRPr="004E2B39">
        <w:t>incumplio</w:t>
      </w:r>
      <w:proofErr w:type="spellEnd"/>
      <w:r w:rsidRPr="004E2B39">
        <w:t xml:space="preserve">́ con la obligación establecida en el artículo 7.a de la Convención Interamericana para Prevenir, Sancionar y Erradicar la Violencia contra la Mujer en su perjuicio. Por otra parte, su muerte no fue investigada con la debida diligencia, por lo que se concluyó que se </w:t>
      </w:r>
      <w:proofErr w:type="spellStart"/>
      <w:r w:rsidRPr="004E2B39">
        <w:t>habían</w:t>
      </w:r>
      <w:proofErr w:type="spellEnd"/>
      <w:r w:rsidRPr="004E2B39">
        <w:t xml:space="preserve"> vulnerado los derechos a las </w:t>
      </w:r>
      <w:proofErr w:type="spellStart"/>
      <w:r w:rsidRPr="004E2B39">
        <w:t>garantías</w:t>
      </w:r>
      <w:proofErr w:type="spellEnd"/>
      <w:r w:rsidRPr="004E2B39">
        <w:t xml:space="preserve"> al debido proceso y a la protección judicial (</w:t>
      </w:r>
      <w:proofErr w:type="spellStart"/>
      <w:r w:rsidRPr="004E2B39">
        <w:t>artículos</w:t>
      </w:r>
      <w:proofErr w:type="spellEnd"/>
      <w:r w:rsidRPr="004E2B39">
        <w:t xml:space="preserve"> 8 y 25 de la Convención), y a la obligación establecida en el artículo 7.b de la Convención Interamericana para Prevenir, Sancionar y Erradicar la Violencia contra la Mujer en perjuicio de las familiares de Vicky </w:t>
      </w:r>
      <w:proofErr w:type="spellStart"/>
      <w:r w:rsidRPr="004E2B39">
        <w:t>Hernández</w:t>
      </w:r>
      <w:proofErr w:type="spellEnd"/>
      <w:r w:rsidRPr="004E2B39">
        <w:t xml:space="preserve">. Por </w:t>
      </w:r>
      <w:proofErr w:type="spellStart"/>
      <w:r w:rsidRPr="004E2B39">
        <w:t>último</w:t>
      </w:r>
      <w:proofErr w:type="spellEnd"/>
      <w:r w:rsidRPr="004E2B39">
        <w:t xml:space="preserve">, el Tribunal declaró que se </w:t>
      </w:r>
      <w:proofErr w:type="spellStart"/>
      <w:r w:rsidRPr="004E2B39">
        <w:t>había</w:t>
      </w:r>
      <w:proofErr w:type="spellEnd"/>
      <w:r w:rsidRPr="004E2B39">
        <w:t xml:space="preserve"> violado el derecho a la integridad personal de las familiares de Vicky </w:t>
      </w:r>
      <w:proofErr w:type="spellStart"/>
      <w:r w:rsidRPr="004E2B39">
        <w:t>Hernández</w:t>
      </w:r>
      <w:proofErr w:type="spellEnd"/>
      <w:r w:rsidRPr="004E2B39">
        <w:t xml:space="preserve"> por las consecuencias que para ellas tuvo su muerte, y porque las circunstancias de la misma siguen sin haberse esclarecido. El Estado </w:t>
      </w:r>
      <w:proofErr w:type="spellStart"/>
      <w:r w:rsidRPr="004E2B39">
        <w:t>reconocio</w:t>
      </w:r>
      <w:proofErr w:type="spellEnd"/>
      <w:r w:rsidRPr="004E2B39">
        <w:t xml:space="preserve">́ parcialmente su responsabilidad por la vulneración a los </w:t>
      </w:r>
      <w:proofErr w:type="spellStart"/>
      <w:r w:rsidRPr="004E2B39">
        <w:t>artículos</w:t>
      </w:r>
      <w:proofErr w:type="spellEnd"/>
      <w:r w:rsidRPr="004E2B39">
        <w:t xml:space="preserve"> 8 y 25 de la Convención Americana.</w:t>
      </w:r>
    </w:p>
  </w:footnote>
  <w:footnote w:id="20">
    <w:p w14:paraId="7D1BC97D" w14:textId="32039292" w:rsidR="007269CF" w:rsidRPr="004E2B39" w:rsidRDefault="007269CF" w:rsidP="004E2B39">
      <w:pPr>
        <w:pStyle w:val="Footnotes"/>
      </w:pPr>
      <w:r w:rsidRPr="004E2B39">
        <w:rPr>
          <w:rStyle w:val="Refdenotaalpie"/>
        </w:rPr>
        <w:footnoteRef/>
      </w:r>
      <w:r w:rsidRPr="004E2B39">
        <w:t xml:space="preserve"> El 26 de marzo de 2021 la Corte Interamericana de Derechos Humanos dictó Sentencia mediante la cual declaró internacionalmente responsable a la </w:t>
      </w:r>
      <w:proofErr w:type="spellStart"/>
      <w:r w:rsidRPr="004E2B39">
        <w:t>República</w:t>
      </w:r>
      <w:proofErr w:type="spellEnd"/>
      <w:r w:rsidRPr="004E2B39">
        <w:t xml:space="preserve"> del Ecuador por la </w:t>
      </w:r>
      <w:proofErr w:type="spellStart"/>
      <w:r w:rsidRPr="004E2B39">
        <w:t>violación</w:t>
      </w:r>
      <w:proofErr w:type="spellEnd"/>
      <w:r w:rsidRPr="004E2B39">
        <w:t xml:space="preserve"> de los derechos i) al reconocimiento de la personalidad </w:t>
      </w:r>
      <w:proofErr w:type="spellStart"/>
      <w:r w:rsidRPr="004E2B39">
        <w:t>jurídica</w:t>
      </w:r>
      <w:proofErr w:type="spellEnd"/>
      <w:r w:rsidRPr="004E2B39">
        <w:t xml:space="preserve">, vida, integridad personal, libertad personal, dignidad, vida privada, acceso a la </w:t>
      </w:r>
      <w:proofErr w:type="spellStart"/>
      <w:r w:rsidRPr="004E2B39">
        <w:t>información</w:t>
      </w:r>
      <w:proofErr w:type="spellEnd"/>
      <w:r w:rsidRPr="004E2B39">
        <w:t xml:space="preserve">, igualdad y salud, en </w:t>
      </w:r>
      <w:proofErr w:type="spellStart"/>
      <w:r w:rsidRPr="004E2B39">
        <w:t>relación</w:t>
      </w:r>
      <w:proofErr w:type="spellEnd"/>
      <w:r w:rsidRPr="004E2B39">
        <w:t xml:space="preserve"> con las obligaciones de respetar y garantizar los derechos sin discriminación y el deber de adoptar disposiciones de derecho interno en perjuicio del </w:t>
      </w:r>
      <w:proofErr w:type="spellStart"/>
      <w:r w:rsidRPr="004E2B39">
        <w:t>señor</w:t>
      </w:r>
      <w:proofErr w:type="spellEnd"/>
      <w:r w:rsidRPr="004E2B39">
        <w:t xml:space="preserve"> Luis Eduardo </w:t>
      </w:r>
      <w:proofErr w:type="spellStart"/>
      <w:r w:rsidRPr="004E2B39">
        <w:t>Guachala</w:t>
      </w:r>
      <w:proofErr w:type="spellEnd"/>
      <w:r w:rsidRPr="004E2B39">
        <w:t xml:space="preserve">́ Chimbo; ii) a un recurso efectivo, a las </w:t>
      </w:r>
      <w:proofErr w:type="spellStart"/>
      <w:r w:rsidRPr="004E2B39">
        <w:t>garantías</w:t>
      </w:r>
      <w:proofErr w:type="spellEnd"/>
      <w:r w:rsidRPr="004E2B39">
        <w:t xml:space="preserve"> judiciales y a la protección judicial, en perjuicio del </w:t>
      </w:r>
      <w:proofErr w:type="spellStart"/>
      <w:r w:rsidRPr="004E2B39">
        <w:t>señor</w:t>
      </w:r>
      <w:proofErr w:type="spellEnd"/>
      <w:r w:rsidRPr="004E2B39">
        <w:t xml:space="preserve"> Luis Eduardo </w:t>
      </w:r>
      <w:proofErr w:type="spellStart"/>
      <w:r w:rsidRPr="004E2B39">
        <w:t>Guachala</w:t>
      </w:r>
      <w:proofErr w:type="spellEnd"/>
      <w:r w:rsidRPr="004E2B39">
        <w:t xml:space="preserve">́ Chimbo y sus familiares, Zoila Chimbo Jarro y Nancy </w:t>
      </w:r>
      <w:proofErr w:type="spellStart"/>
      <w:r w:rsidRPr="004E2B39">
        <w:t>Guachala</w:t>
      </w:r>
      <w:proofErr w:type="spellEnd"/>
      <w:r w:rsidRPr="004E2B39">
        <w:t xml:space="preserve">́ Chimbo, y iii) a la integridad personal y a conocer la verdad en perjuicio de Zoila Chimbo Jarro y Nancy </w:t>
      </w:r>
      <w:proofErr w:type="spellStart"/>
      <w:r w:rsidRPr="004E2B39">
        <w:t>Guachala</w:t>
      </w:r>
      <w:proofErr w:type="spellEnd"/>
      <w:r w:rsidRPr="004E2B39">
        <w:t xml:space="preserve">́ Chimbo. En consecuencia, la Corte concluyó que el Estado es responsable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i) 3, 4, 5, 7, 11, 13, 24 y 26 de la Convención Americana sobre Derechos Humanos, en </w:t>
      </w:r>
      <w:proofErr w:type="spellStart"/>
      <w:r w:rsidRPr="004E2B39">
        <w:t>relación</w:t>
      </w:r>
      <w:proofErr w:type="spellEnd"/>
      <w:r w:rsidRPr="004E2B39">
        <w:t xml:space="preserve"> con los </w:t>
      </w:r>
      <w:proofErr w:type="spellStart"/>
      <w:r w:rsidRPr="004E2B39">
        <w:t>artículos</w:t>
      </w:r>
      <w:proofErr w:type="spellEnd"/>
      <w:r w:rsidRPr="004E2B39">
        <w:t xml:space="preserve"> 1.1 y 2 del mismo instrumento en perjuicio del </w:t>
      </w:r>
      <w:proofErr w:type="spellStart"/>
      <w:r w:rsidRPr="004E2B39">
        <w:t>señor</w:t>
      </w:r>
      <w:proofErr w:type="spellEnd"/>
      <w:r w:rsidRPr="004E2B39">
        <w:t xml:space="preserve"> </w:t>
      </w:r>
      <w:proofErr w:type="spellStart"/>
      <w:r w:rsidRPr="004E2B39">
        <w:t>Guachala</w:t>
      </w:r>
      <w:proofErr w:type="spellEnd"/>
      <w:r w:rsidRPr="004E2B39">
        <w:t xml:space="preserve">́ Chimbo; ii) 7.6, 8.1 y 25.1 de la Convención Americana en </w:t>
      </w:r>
      <w:proofErr w:type="spellStart"/>
      <w:r w:rsidRPr="004E2B39">
        <w:t>relación</w:t>
      </w:r>
      <w:proofErr w:type="spellEnd"/>
      <w:r w:rsidRPr="004E2B39">
        <w:t xml:space="preserve"> con el artículo 1.1 del mismo instrumento en perjuicio de Luis Eduardo </w:t>
      </w:r>
      <w:proofErr w:type="spellStart"/>
      <w:r w:rsidRPr="004E2B39">
        <w:t>Guachala</w:t>
      </w:r>
      <w:proofErr w:type="spellEnd"/>
      <w:r w:rsidRPr="004E2B39">
        <w:t xml:space="preserve">́ Chimbo, Zoila Chimbo Jarro y Nancy </w:t>
      </w:r>
      <w:proofErr w:type="spellStart"/>
      <w:r w:rsidRPr="004E2B39">
        <w:t>Guachala</w:t>
      </w:r>
      <w:proofErr w:type="spellEnd"/>
      <w:r w:rsidRPr="004E2B39">
        <w:t xml:space="preserve">́ Chimbo, y iii) el artículo 5.1 de la Convención Americana en </w:t>
      </w:r>
      <w:proofErr w:type="spellStart"/>
      <w:r w:rsidRPr="004E2B39">
        <w:t>relación</w:t>
      </w:r>
      <w:proofErr w:type="spellEnd"/>
      <w:r w:rsidRPr="004E2B39">
        <w:t xml:space="preserve"> con el artículo 1.1 del mismo instrumento en perjuicio de Zoila Chimbo Jarro y Nancy </w:t>
      </w:r>
      <w:proofErr w:type="spellStart"/>
      <w:r w:rsidRPr="004E2B39">
        <w:t>Guachala</w:t>
      </w:r>
      <w:proofErr w:type="spellEnd"/>
      <w:r w:rsidRPr="004E2B39">
        <w:t>́ Chimbo.</w:t>
      </w:r>
    </w:p>
  </w:footnote>
  <w:footnote w:id="21">
    <w:p w14:paraId="2455FA17" w14:textId="1DEF8FAF" w:rsidR="007269CF" w:rsidRPr="004E2B39" w:rsidRDefault="007269CF" w:rsidP="004E2B39">
      <w:pPr>
        <w:pStyle w:val="Textonotapie"/>
        <w:rPr>
          <w:rFonts w:ascii="Verdana" w:hAnsi="Verdana"/>
          <w:sz w:val="16"/>
          <w:szCs w:val="16"/>
          <w:lang w:val="es-ES"/>
        </w:rPr>
      </w:pPr>
      <w:r w:rsidRPr="004E2B39">
        <w:rPr>
          <w:rStyle w:val="Refdenotaalpie"/>
          <w:rFonts w:ascii="Verdana" w:hAnsi="Verdana"/>
          <w:sz w:val="16"/>
          <w:szCs w:val="16"/>
        </w:rPr>
        <w:footnoteRef/>
      </w:r>
      <w:r w:rsidRPr="004E2B39">
        <w:rPr>
          <w:rFonts w:ascii="Verdana" w:hAnsi="Verdana"/>
          <w:sz w:val="16"/>
          <w:szCs w:val="16"/>
          <w:lang w:val="es-CL"/>
        </w:rPr>
        <w:t xml:space="preserve"> La Comisión solicita que la Corte se pronuncie sobre la compatibilidad de las siguientes medidas especiales que algunos Estados adoptan en relación a menores, con los artículos 8 y 25 de la Convención Americana: a) la separación de los jóvenes de sus padres y/o familia por no tener condiciones de educación y mantenimiento; b) la supresión de la libertad a través de la internación de menores en establecimientos de guarda o custodia, por considerárselos abandonados o proclives a caer en situaciones de riesgo o ilegalidad; causales que no configuran figuras delictivas sino condiciones personales o circunstancias del menor[;] c) la aceptación en sede penal de confesiones de menores obtenidas sin las debidas garantías; d) la tramitación de juicios o procedimientos administrativos en los que se determinan derechos fundamentales del menor, sin la garantía de defensa para el menor[; y] e) la determinación en procedimientos administrativos o judiciales de derechos y libertades sin la garantía al derecho de ser oído personalmente y la no consideración de la opinión y preferencias del menor en esa determinación.</w:t>
      </w:r>
    </w:p>
  </w:footnote>
  <w:footnote w:id="22">
    <w:p w14:paraId="163D5870" w14:textId="77777777" w:rsidR="007269CF" w:rsidRPr="004E2B39" w:rsidRDefault="007269CF" w:rsidP="004E2B39">
      <w:pPr>
        <w:pStyle w:val="Textonotapie"/>
        <w:rPr>
          <w:rFonts w:ascii="Verdana" w:hAnsi="Verdana" w:cstheme="minorHAnsi"/>
          <w:sz w:val="16"/>
          <w:szCs w:val="16"/>
          <w:lang w:val="es-CL"/>
        </w:rPr>
      </w:pPr>
      <w:r w:rsidRPr="004E2B39">
        <w:rPr>
          <w:rStyle w:val="Refdenotaalpie"/>
          <w:rFonts w:ascii="Verdana" w:hAnsi="Verdana" w:cstheme="minorHAnsi"/>
          <w:sz w:val="16"/>
          <w:szCs w:val="16"/>
        </w:rPr>
        <w:footnoteRef/>
      </w:r>
      <w:r w:rsidRPr="004E2B39">
        <w:rPr>
          <w:rFonts w:ascii="Verdana" w:hAnsi="Verdana" w:cstheme="minorHAnsi"/>
          <w:sz w:val="16"/>
          <w:szCs w:val="16"/>
          <w:lang w:val="es-CL"/>
        </w:rPr>
        <w:t xml:space="preserve"> El caso se refiere a la responsabilidad internacional del Estado por las afectaciones generadas a un grupo de personas a partir de la prohibición general de practicar la Fecundación in vitro. La Corte estableció la responsabilidad internacional del Estado de Costa Rica por la violación de los siguientes derechos convencionales: Artículo 1 (Obligación de respetar los derechos), Artículo 11 (Derecho a la honra y dignidad), Artículo 2 (Deber de adoptar disposiciones de derecho interno), Artículo 24 (Igualdad ante la ley), Artículo 25 (Protección Judicial), Artículo 27 (Protección a la familia), Artículo 4 (Derecho a la vida), Artículo 5 (Derecho a la Integridad Personal), Artículo 7 (Derecho a la libertad personal), Artículo 8 (Garantías Judiciales).</w:t>
      </w:r>
    </w:p>
  </w:footnote>
  <w:footnote w:id="23">
    <w:p w14:paraId="30F23557" w14:textId="35D7382E"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t xml:space="preserve"> </w:t>
      </w:r>
      <w:r w:rsidRPr="004E2B39">
        <w:rPr>
          <w:lang w:eastAsia="es-ES_tradnl"/>
        </w:rPr>
        <w:t xml:space="preserve">El 31 de agosto de 2016 la Corte Interamericana de Derechos Humanos dictó una Sentencia mediante la cual declaró responsable internacionalmente al Estado del Ecuador por la </w:t>
      </w:r>
      <w:proofErr w:type="spellStart"/>
      <w:r w:rsidRPr="004E2B39">
        <w:rPr>
          <w:lang w:eastAsia="es-ES_tradnl"/>
        </w:rPr>
        <w:t>violación</w:t>
      </w:r>
      <w:proofErr w:type="spellEnd"/>
      <w:r w:rsidRPr="004E2B39">
        <w:rPr>
          <w:lang w:eastAsia="es-ES_tradnl"/>
        </w:rPr>
        <w:t xml:space="preserve">: i) del derecho a la igualdad ante la ley y la </w:t>
      </w:r>
      <w:proofErr w:type="spellStart"/>
      <w:r w:rsidRPr="004E2B39">
        <w:rPr>
          <w:lang w:eastAsia="es-ES_tradnl"/>
        </w:rPr>
        <w:t>prohibición</w:t>
      </w:r>
      <w:proofErr w:type="spellEnd"/>
      <w:r w:rsidRPr="004E2B39">
        <w:rPr>
          <w:lang w:eastAsia="es-ES_tradnl"/>
        </w:rPr>
        <w:t xml:space="preserve"> de discriminación reconocidos en el artículo 24 de la Convención Americana, en </w:t>
      </w:r>
      <w:proofErr w:type="spellStart"/>
      <w:r w:rsidRPr="004E2B39">
        <w:rPr>
          <w:lang w:eastAsia="es-ES_tradnl"/>
        </w:rPr>
        <w:t>relación</w:t>
      </w:r>
      <w:proofErr w:type="spellEnd"/>
      <w:r w:rsidRPr="004E2B39">
        <w:rPr>
          <w:lang w:eastAsia="es-ES_tradnl"/>
        </w:rPr>
        <w:t xml:space="preserve"> con los </w:t>
      </w:r>
      <w:proofErr w:type="spellStart"/>
      <w:r w:rsidRPr="004E2B39">
        <w:rPr>
          <w:lang w:eastAsia="es-ES_tradnl"/>
        </w:rPr>
        <w:t>artículos</w:t>
      </w:r>
      <w:proofErr w:type="spellEnd"/>
      <w:r w:rsidRPr="004E2B39">
        <w:rPr>
          <w:lang w:eastAsia="es-ES_tradnl"/>
        </w:rPr>
        <w:t xml:space="preserve"> 1.1 y 2 del mismo tratado; ii) del derecho a la honra y a la dignidad, reconocido en el artículo 11.1 de la Convención Americana, en </w:t>
      </w:r>
      <w:proofErr w:type="spellStart"/>
      <w:r w:rsidRPr="004E2B39">
        <w:rPr>
          <w:lang w:eastAsia="es-ES_tradnl"/>
        </w:rPr>
        <w:t>relación</w:t>
      </w:r>
      <w:proofErr w:type="spellEnd"/>
      <w:r w:rsidRPr="004E2B39">
        <w:rPr>
          <w:lang w:eastAsia="es-ES_tradnl"/>
        </w:rPr>
        <w:t xml:space="preserve"> con el artículo 1.1 del mismo tratado, y iii) de la </w:t>
      </w:r>
      <w:proofErr w:type="spellStart"/>
      <w:r w:rsidRPr="004E2B39">
        <w:rPr>
          <w:lang w:eastAsia="es-ES_tradnl"/>
        </w:rPr>
        <w:t>garantía</w:t>
      </w:r>
      <w:proofErr w:type="spellEnd"/>
      <w:r w:rsidRPr="004E2B39">
        <w:rPr>
          <w:lang w:eastAsia="es-ES_tradnl"/>
        </w:rPr>
        <w:t xml:space="preserve"> de imparcialidad reconocida en el artículo 8.1 de la Convención Americana, en </w:t>
      </w:r>
      <w:proofErr w:type="spellStart"/>
      <w:r w:rsidRPr="004E2B39">
        <w:rPr>
          <w:lang w:eastAsia="es-ES_tradnl"/>
        </w:rPr>
        <w:t>relación</w:t>
      </w:r>
      <w:proofErr w:type="spellEnd"/>
      <w:r w:rsidRPr="004E2B39">
        <w:rPr>
          <w:lang w:eastAsia="es-ES_tradnl"/>
        </w:rPr>
        <w:t xml:space="preserve"> con el artículo 1.1 del mismo tratado. Dichas violaciones se dieron en el marco de un proceso disciplinario militar en contra del </w:t>
      </w:r>
      <w:proofErr w:type="spellStart"/>
      <w:r w:rsidRPr="004E2B39">
        <w:rPr>
          <w:lang w:eastAsia="es-ES_tradnl"/>
        </w:rPr>
        <w:t>señor</w:t>
      </w:r>
      <w:proofErr w:type="spellEnd"/>
      <w:r w:rsidRPr="004E2B39">
        <w:rPr>
          <w:lang w:eastAsia="es-ES_tradnl"/>
        </w:rPr>
        <w:t xml:space="preserve"> Homero Flor Freire, que resultó en su </w:t>
      </w:r>
      <w:proofErr w:type="spellStart"/>
      <w:r w:rsidRPr="004E2B39">
        <w:rPr>
          <w:lang w:eastAsia="es-ES_tradnl"/>
        </w:rPr>
        <w:t>separación</w:t>
      </w:r>
      <w:proofErr w:type="spellEnd"/>
      <w:r w:rsidRPr="004E2B39">
        <w:rPr>
          <w:lang w:eastAsia="es-ES_tradnl"/>
        </w:rPr>
        <w:t xml:space="preserve"> de la Fuerza Terrestre ecuatoriana por supuestamente haber cometido actos sexuales homosexuales dentro de las instalaciones militares. La Corte concluyó que la </w:t>
      </w:r>
      <w:proofErr w:type="spellStart"/>
      <w:r w:rsidRPr="004E2B39">
        <w:rPr>
          <w:lang w:eastAsia="es-ES_tradnl"/>
        </w:rPr>
        <w:t>separación</w:t>
      </w:r>
      <w:proofErr w:type="spellEnd"/>
      <w:r w:rsidRPr="004E2B39">
        <w:rPr>
          <w:lang w:eastAsia="es-ES_tradnl"/>
        </w:rPr>
        <w:t xml:space="preserve"> del </w:t>
      </w:r>
      <w:proofErr w:type="spellStart"/>
      <w:r w:rsidRPr="004E2B39">
        <w:rPr>
          <w:lang w:eastAsia="es-ES_tradnl"/>
        </w:rPr>
        <w:t>señor</w:t>
      </w:r>
      <w:proofErr w:type="spellEnd"/>
      <w:r w:rsidRPr="004E2B39">
        <w:rPr>
          <w:lang w:eastAsia="es-ES_tradnl"/>
        </w:rPr>
        <w:t xml:space="preserve"> Flor Freire de las Fuerzas Armadas, por estos motivos, constituyó un acto discriminatorio en la medida en que se basó en la </w:t>
      </w:r>
      <w:proofErr w:type="spellStart"/>
      <w:r w:rsidRPr="004E2B39">
        <w:rPr>
          <w:lang w:eastAsia="es-ES_tradnl"/>
        </w:rPr>
        <w:t>aplicación</w:t>
      </w:r>
      <w:proofErr w:type="spellEnd"/>
      <w:r w:rsidRPr="004E2B39">
        <w:rPr>
          <w:lang w:eastAsia="es-ES_tradnl"/>
        </w:rPr>
        <w:t xml:space="preserve"> al </w:t>
      </w:r>
      <w:proofErr w:type="spellStart"/>
      <w:r w:rsidRPr="004E2B39">
        <w:rPr>
          <w:lang w:eastAsia="es-ES_tradnl"/>
        </w:rPr>
        <w:t>señor</w:t>
      </w:r>
      <w:proofErr w:type="spellEnd"/>
      <w:r w:rsidRPr="004E2B39">
        <w:rPr>
          <w:lang w:eastAsia="es-ES_tradnl"/>
        </w:rPr>
        <w:t xml:space="preserve"> Flor Freire de normas internas que sancionaban de forma </w:t>
      </w:r>
      <w:proofErr w:type="spellStart"/>
      <w:r w:rsidRPr="004E2B39">
        <w:rPr>
          <w:lang w:eastAsia="es-ES_tradnl"/>
        </w:rPr>
        <w:t>más</w:t>
      </w:r>
      <w:proofErr w:type="spellEnd"/>
      <w:r w:rsidRPr="004E2B39">
        <w:rPr>
          <w:lang w:eastAsia="es-ES_tradnl"/>
        </w:rPr>
        <w:t xml:space="preserve"> gravosa los “actos de homosexualismo”, en </w:t>
      </w:r>
      <w:proofErr w:type="spellStart"/>
      <w:r w:rsidRPr="004E2B39">
        <w:rPr>
          <w:lang w:eastAsia="es-ES_tradnl"/>
        </w:rPr>
        <w:t>comparación</w:t>
      </w:r>
      <w:proofErr w:type="spellEnd"/>
      <w:r w:rsidRPr="004E2B39">
        <w:rPr>
          <w:lang w:eastAsia="es-ES_tradnl"/>
        </w:rPr>
        <w:t xml:space="preserve"> con los actos sexuales no homosexuales.</w:t>
      </w:r>
      <w:r w:rsidRPr="004E2B39">
        <w:rPr>
          <w:rStyle w:val="Refdenotaalpie"/>
          <w:vertAlign w:val="baseline"/>
        </w:rPr>
        <w:t xml:space="preserve">. </w:t>
      </w:r>
    </w:p>
  </w:footnote>
  <w:footnote w:id="24">
    <w:p w14:paraId="34A34E95" w14:textId="67D3D4DF"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rStyle w:val="Refdenotaalpie"/>
        </w:rPr>
        <w:t xml:space="preserve"> </w:t>
      </w:r>
      <w:r w:rsidRPr="004E2B39">
        <w:rPr>
          <w:lang w:eastAsia="es-ES_tradnl"/>
        </w:rPr>
        <w:t xml:space="preserve">El 30 de noviembre de 2016 la Corte Interamericana de Derechos Humanos </w:t>
      </w:r>
      <w:proofErr w:type="spellStart"/>
      <w:r w:rsidRPr="004E2B39">
        <w:rPr>
          <w:lang w:eastAsia="es-ES_tradnl"/>
        </w:rPr>
        <w:t>emitio</w:t>
      </w:r>
      <w:proofErr w:type="spellEnd"/>
      <w:r w:rsidRPr="004E2B39">
        <w:rPr>
          <w:lang w:eastAsia="es-ES_tradnl"/>
        </w:rPr>
        <w:t xml:space="preserve">́ una Sentencia, mediante la cual declaró responsable internacionalmente al Estado Plurinacional de Bolivia por la </w:t>
      </w:r>
      <w:proofErr w:type="spellStart"/>
      <w:r w:rsidRPr="004E2B39">
        <w:rPr>
          <w:lang w:eastAsia="es-ES_tradnl"/>
        </w:rPr>
        <w:t>violación</w:t>
      </w:r>
      <w:proofErr w:type="spellEnd"/>
      <w:r w:rsidRPr="004E2B39">
        <w:rPr>
          <w:lang w:eastAsia="es-ES_tradnl"/>
        </w:rPr>
        <w:t xml:space="preserve"> de los derechos a la integridad personal, a la libertad personal, a la dignidad, a la vida privada y familiar, de acceso a la </w:t>
      </w:r>
      <w:proofErr w:type="spellStart"/>
      <w:r w:rsidRPr="004E2B39">
        <w:rPr>
          <w:lang w:eastAsia="es-ES_tradnl"/>
        </w:rPr>
        <w:t>información</w:t>
      </w:r>
      <w:proofErr w:type="spellEnd"/>
      <w:r w:rsidRPr="004E2B39">
        <w:rPr>
          <w:lang w:eastAsia="es-ES_tradnl"/>
        </w:rPr>
        <w:t xml:space="preserve"> y a fundar una familia, reconocidos en los </w:t>
      </w:r>
      <w:proofErr w:type="spellStart"/>
      <w:r w:rsidRPr="004E2B39">
        <w:rPr>
          <w:lang w:eastAsia="es-ES_tradnl"/>
        </w:rPr>
        <w:t>artículos</w:t>
      </w:r>
      <w:proofErr w:type="spellEnd"/>
      <w:r w:rsidRPr="004E2B39">
        <w:rPr>
          <w:lang w:eastAsia="es-ES_tradnl"/>
        </w:rPr>
        <w:t xml:space="preserve"> 5.1, 7.1, 11.1, 11.2, 13.1 y 17.2 de la Convención Americana sobre Derechos Humanos, en </w:t>
      </w:r>
      <w:proofErr w:type="spellStart"/>
      <w:r w:rsidRPr="004E2B39">
        <w:rPr>
          <w:lang w:eastAsia="es-ES_tradnl"/>
        </w:rPr>
        <w:t>relación</w:t>
      </w:r>
      <w:proofErr w:type="spellEnd"/>
      <w:r w:rsidRPr="004E2B39">
        <w:rPr>
          <w:lang w:eastAsia="es-ES_tradnl"/>
        </w:rPr>
        <w:t xml:space="preserve"> con las obligaciones de respetar y garantizar esos derechos y de no discriminar contenidas en el artículo 1.1 de la misma, </w:t>
      </w:r>
      <w:proofErr w:type="spellStart"/>
      <w:r w:rsidRPr="004E2B39">
        <w:rPr>
          <w:lang w:eastAsia="es-ES_tradnl"/>
        </w:rPr>
        <w:t>asi</w:t>
      </w:r>
      <w:proofErr w:type="spellEnd"/>
      <w:r w:rsidRPr="004E2B39">
        <w:rPr>
          <w:lang w:eastAsia="es-ES_tradnl"/>
        </w:rPr>
        <w:t xml:space="preserve">́ como por no cumplir con sus obligaciones bajo el artículo 7.a) y b) de la Convención de </w:t>
      </w:r>
      <w:proofErr w:type="spellStart"/>
      <w:r w:rsidRPr="004E2B39">
        <w:rPr>
          <w:lang w:eastAsia="es-ES_tradnl"/>
        </w:rPr>
        <w:t>Belém</w:t>
      </w:r>
      <w:proofErr w:type="spellEnd"/>
      <w:r w:rsidRPr="004E2B39">
        <w:rPr>
          <w:lang w:eastAsia="es-ES_tradnl"/>
        </w:rPr>
        <w:t xml:space="preserve"> do Pará, en perjuicio de la </w:t>
      </w:r>
      <w:proofErr w:type="spellStart"/>
      <w:r w:rsidRPr="004E2B39">
        <w:rPr>
          <w:lang w:eastAsia="es-ES_tradnl"/>
        </w:rPr>
        <w:t>señora</w:t>
      </w:r>
      <w:proofErr w:type="spellEnd"/>
      <w:r w:rsidRPr="004E2B39">
        <w:rPr>
          <w:lang w:eastAsia="es-ES_tradnl"/>
        </w:rPr>
        <w:t xml:space="preserve"> I.V. </w:t>
      </w:r>
      <w:proofErr w:type="spellStart"/>
      <w:r w:rsidRPr="004E2B39">
        <w:rPr>
          <w:lang w:eastAsia="es-ES_tradnl"/>
        </w:rPr>
        <w:t>Además</w:t>
      </w:r>
      <w:proofErr w:type="spellEnd"/>
      <w:r w:rsidRPr="004E2B39">
        <w:rPr>
          <w:lang w:eastAsia="es-ES_tradnl"/>
        </w:rPr>
        <w:t xml:space="preserve">, la Corte concluyó que el Estado es responsable por la </w:t>
      </w:r>
      <w:proofErr w:type="spellStart"/>
      <w:r w:rsidRPr="004E2B39">
        <w:rPr>
          <w:lang w:eastAsia="es-ES_tradnl"/>
        </w:rPr>
        <w:t>violación</w:t>
      </w:r>
      <w:proofErr w:type="spellEnd"/>
      <w:r w:rsidRPr="004E2B39">
        <w:rPr>
          <w:lang w:eastAsia="es-ES_tradnl"/>
        </w:rPr>
        <w:t xml:space="preserve"> del derecho a la integridad personal, reconocido en el artículo 5.1 y 5.2 de la Convención Americana sobre Derechos Humanos, en </w:t>
      </w:r>
      <w:proofErr w:type="spellStart"/>
      <w:r w:rsidRPr="004E2B39">
        <w:rPr>
          <w:lang w:eastAsia="es-ES_tradnl"/>
        </w:rPr>
        <w:t>relación</w:t>
      </w:r>
      <w:proofErr w:type="spellEnd"/>
      <w:r w:rsidRPr="004E2B39">
        <w:rPr>
          <w:lang w:eastAsia="es-ES_tradnl"/>
        </w:rPr>
        <w:t xml:space="preserve"> con la obligación de respetar, contenida en el artículo 1.1 de la misma, en perjuicio de la </w:t>
      </w:r>
      <w:proofErr w:type="spellStart"/>
      <w:r w:rsidRPr="004E2B39">
        <w:rPr>
          <w:lang w:eastAsia="es-ES_tradnl"/>
        </w:rPr>
        <w:t>señora</w:t>
      </w:r>
      <w:proofErr w:type="spellEnd"/>
      <w:r w:rsidRPr="004E2B39">
        <w:rPr>
          <w:lang w:eastAsia="es-ES_tradnl"/>
        </w:rPr>
        <w:t xml:space="preserve"> I.V. Finalmente, la Corte declaró al Estado responsable por la </w:t>
      </w:r>
      <w:proofErr w:type="spellStart"/>
      <w:r w:rsidRPr="004E2B39">
        <w:rPr>
          <w:lang w:eastAsia="es-ES_tradnl"/>
        </w:rPr>
        <w:t>violación</w:t>
      </w:r>
      <w:proofErr w:type="spellEnd"/>
      <w:r w:rsidRPr="004E2B39">
        <w:rPr>
          <w:lang w:eastAsia="es-ES_tradnl"/>
        </w:rPr>
        <w:t xml:space="preserve"> de los derechos a las </w:t>
      </w:r>
      <w:proofErr w:type="spellStart"/>
      <w:r w:rsidRPr="004E2B39">
        <w:rPr>
          <w:lang w:eastAsia="es-ES_tradnl"/>
        </w:rPr>
        <w:t>garantías</w:t>
      </w:r>
      <w:proofErr w:type="spellEnd"/>
      <w:r w:rsidRPr="004E2B39">
        <w:rPr>
          <w:lang w:eastAsia="es-ES_tradnl"/>
        </w:rPr>
        <w:t xml:space="preserve"> judiciales y protección judicial, reconocidos en los </w:t>
      </w:r>
      <w:proofErr w:type="spellStart"/>
      <w:r w:rsidRPr="004E2B39">
        <w:rPr>
          <w:lang w:eastAsia="es-ES_tradnl"/>
        </w:rPr>
        <w:t>artículos</w:t>
      </w:r>
      <w:proofErr w:type="spellEnd"/>
      <w:r w:rsidRPr="004E2B39">
        <w:rPr>
          <w:lang w:eastAsia="es-ES_tradnl"/>
        </w:rPr>
        <w:t xml:space="preserve"> 8.1 y 25.1 de la Convención Americana, en </w:t>
      </w:r>
      <w:proofErr w:type="spellStart"/>
      <w:r w:rsidRPr="004E2B39">
        <w:rPr>
          <w:lang w:eastAsia="es-ES_tradnl"/>
        </w:rPr>
        <w:t>relación</w:t>
      </w:r>
      <w:proofErr w:type="spellEnd"/>
      <w:r w:rsidRPr="004E2B39">
        <w:rPr>
          <w:lang w:eastAsia="es-ES_tradnl"/>
        </w:rPr>
        <w:t xml:space="preserve"> con las obligaciones de respetar y garantizar esos derechos y de no discriminar contenidas en el artículo 1.1 de la misma, </w:t>
      </w:r>
      <w:proofErr w:type="spellStart"/>
      <w:r w:rsidRPr="004E2B39">
        <w:rPr>
          <w:lang w:eastAsia="es-ES_tradnl"/>
        </w:rPr>
        <w:t>asi</w:t>
      </w:r>
      <w:proofErr w:type="spellEnd"/>
      <w:r w:rsidRPr="004E2B39">
        <w:rPr>
          <w:lang w:eastAsia="es-ES_tradnl"/>
        </w:rPr>
        <w:t xml:space="preserve">́ como por no cumplir con sus obligaciones bajo el artículo 7.b), c), f) y g) de la Convención de </w:t>
      </w:r>
      <w:proofErr w:type="spellStart"/>
      <w:r w:rsidRPr="004E2B39">
        <w:rPr>
          <w:lang w:eastAsia="es-ES_tradnl"/>
        </w:rPr>
        <w:t>Belém</w:t>
      </w:r>
      <w:proofErr w:type="spellEnd"/>
      <w:r w:rsidRPr="004E2B39">
        <w:rPr>
          <w:lang w:eastAsia="es-ES_tradnl"/>
        </w:rPr>
        <w:t xml:space="preserve"> do Pará, en perjuicio de la </w:t>
      </w:r>
      <w:proofErr w:type="spellStart"/>
      <w:r w:rsidRPr="004E2B39">
        <w:rPr>
          <w:lang w:eastAsia="es-ES_tradnl"/>
        </w:rPr>
        <w:t>señora</w:t>
      </w:r>
      <w:proofErr w:type="spellEnd"/>
      <w:r w:rsidRPr="004E2B39">
        <w:rPr>
          <w:lang w:eastAsia="es-ES_tradnl"/>
        </w:rPr>
        <w:t xml:space="preserve"> I.V.</w:t>
      </w:r>
      <w:r w:rsidRPr="004E2B39">
        <w:rPr>
          <w:rStyle w:val="Refdenotaalpie"/>
          <w:vertAlign w:val="baseline"/>
        </w:rPr>
        <w:t>.</w:t>
      </w:r>
    </w:p>
  </w:footnote>
  <w:footnote w:id="25">
    <w:p w14:paraId="4518BE01" w14:textId="77777777" w:rsidR="007269CF" w:rsidRPr="004E2B39" w:rsidRDefault="007269CF" w:rsidP="004E2B39">
      <w:pPr>
        <w:pStyle w:val="Footnotes"/>
      </w:pPr>
      <w:r w:rsidRPr="004E2B39">
        <w:rPr>
          <w:rStyle w:val="Refdenotaalpie"/>
        </w:rPr>
        <w:footnoteRef/>
      </w:r>
      <w:r w:rsidRPr="004E2B39">
        <w:rPr>
          <w:vertAlign w:val="superscript"/>
        </w:rPr>
        <w:t xml:space="preserve"> </w:t>
      </w:r>
      <w:r w:rsidRPr="004E2B39">
        <w:t xml:space="preserve">El 31 de agosto de 2021 la Corte Interamericana de Derechos Humanos dictó una Sentencia mediante la cual homologó un acuerdo de </w:t>
      </w:r>
      <w:proofErr w:type="spellStart"/>
      <w:r w:rsidRPr="004E2B39">
        <w:t>solución</w:t>
      </w:r>
      <w:proofErr w:type="spellEnd"/>
      <w:r w:rsidRPr="004E2B39">
        <w:t xml:space="preserve"> amistosa entre el Estado de Honduras y los representantes de las </w:t>
      </w:r>
      <w:proofErr w:type="spellStart"/>
      <w:r w:rsidRPr="004E2B39">
        <w:t>víctimas</w:t>
      </w:r>
      <w:proofErr w:type="spellEnd"/>
      <w:r w:rsidRPr="004E2B39">
        <w:t xml:space="preserve">. En este acuerdo, el Estado </w:t>
      </w:r>
      <w:proofErr w:type="spellStart"/>
      <w:r w:rsidRPr="004E2B39">
        <w:t>reconocio</w:t>
      </w:r>
      <w:proofErr w:type="spellEnd"/>
      <w:r w:rsidRPr="004E2B39">
        <w:t xml:space="preserve">́ su responsabilidad por la </w:t>
      </w:r>
      <w:proofErr w:type="spellStart"/>
      <w:r w:rsidRPr="004E2B39">
        <w:t>violación</w:t>
      </w:r>
      <w:proofErr w:type="spellEnd"/>
      <w:r w:rsidRPr="004E2B39">
        <w:t xml:space="preserve"> a los derechos establecidos por la </w:t>
      </w:r>
      <w:proofErr w:type="spellStart"/>
      <w:r w:rsidRPr="004E2B39">
        <w:t>Comisión</w:t>
      </w:r>
      <w:proofErr w:type="spellEnd"/>
      <w:r w:rsidRPr="004E2B39">
        <w:t xml:space="preserve"> Interamericana de Derechos Humanos en su Informe de Fondo No. 64/18. De conformidad con ello, la Corte declaró la responsabilidad internacional del Estado por la </w:t>
      </w:r>
      <w:proofErr w:type="spellStart"/>
      <w:r w:rsidRPr="004E2B39">
        <w:t>violación</w:t>
      </w:r>
      <w:proofErr w:type="spellEnd"/>
      <w:r w:rsidRPr="004E2B39">
        <w:t xml:space="preserve"> de los derechos a la vida, a la vida digna, a la integridad personal, a los derechos del </w:t>
      </w:r>
      <w:proofErr w:type="spellStart"/>
      <w:r w:rsidRPr="004E2B39">
        <w:t>niño</w:t>
      </w:r>
      <w:proofErr w:type="spellEnd"/>
      <w:r w:rsidRPr="004E2B39">
        <w:t xml:space="preserve">, al trabajo y sus condiciones justas, equitativas y satisfactorias que garanticen la salud e higiene del trabajador, a la salud, a la seguridad social, a la igualdad y la </w:t>
      </w:r>
      <w:proofErr w:type="spellStart"/>
      <w:r w:rsidRPr="004E2B39">
        <w:t>prohibición</w:t>
      </w:r>
      <w:proofErr w:type="spellEnd"/>
      <w:r w:rsidRPr="004E2B39">
        <w:t xml:space="preserve"> de discriminación, y a las </w:t>
      </w:r>
      <w:proofErr w:type="spellStart"/>
      <w:r w:rsidRPr="004E2B39">
        <w:t>garantías</w:t>
      </w:r>
      <w:proofErr w:type="spellEnd"/>
      <w:r w:rsidRPr="004E2B39">
        <w:t xml:space="preserve"> judiciales y a la protección judicial, en perjuicio de 42 </w:t>
      </w:r>
      <w:proofErr w:type="spellStart"/>
      <w:r w:rsidRPr="004E2B39">
        <w:t>miskitos</w:t>
      </w:r>
      <w:proofErr w:type="spellEnd"/>
      <w:r w:rsidRPr="004E2B39">
        <w:t xml:space="preserve"> que sufrieron accidentes de buceo mientras trabajaban para empresas privadas, y por la </w:t>
      </w:r>
      <w:proofErr w:type="spellStart"/>
      <w:r w:rsidRPr="004E2B39">
        <w:t>violación</w:t>
      </w:r>
      <w:proofErr w:type="spellEnd"/>
      <w:r w:rsidRPr="004E2B39">
        <w:t xml:space="preserve"> al derecho a la integridad personal en perjuicio de sus familiares. La Corte consideró necesario referirse a los hechos y realizar algunas consideraciones de fondo respecto de los derechos violados.</w:t>
      </w:r>
    </w:p>
  </w:footnote>
  <w:footnote w:id="26">
    <w:p w14:paraId="32F8E831" w14:textId="1A4ACC9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muerte y afectaciones a la integridad de migrantes haitianos por parte de agentes militares, así como la falta de investigación de los hechos en el fuero ordinario. La Corte estableció la responsabilidad internacional del Estado por la violación de los siguientes derechos convencionales: Artículo 1 (Obligación de respetar los derecho</w:t>
      </w:r>
      <w:r w:rsidR="009D6D33" w:rsidRPr="004E2B39">
        <w:rPr>
          <w:rFonts w:ascii="Verdana" w:hAnsi="Verdana"/>
          <w:sz w:val="16"/>
          <w:szCs w:val="16"/>
          <w:lang w:val="es-CL"/>
        </w:rPr>
        <w:t>s),</w:t>
      </w:r>
      <w:r w:rsidRPr="004E2B39">
        <w:rPr>
          <w:rFonts w:ascii="Verdana" w:hAnsi="Verdana"/>
          <w:sz w:val="16"/>
          <w:szCs w:val="16"/>
          <w:lang w:val="es-CL"/>
        </w:rPr>
        <w:t xml:space="preserve"> Artículo 2 (Deber de adoptar disposiciones de derecho interno)</w:t>
      </w:r>
      <w:r w:rsidR="009D6D33" w:rsidRPr="004E2B39">
        <w:rPr>
          <w:rFonts w:ascii="Verdana" w:hAnsi="Verdana"/>
          <w:sz w:val="16"/>
          <w:szCs w:val="16"/>
          <w:lang w:val="es-CL"/>
        </w:rPr>
        <w:t>,</w:t>
      </w:r>
      <w:r w:rsidRPr="004E2B39">
        <w:rPr>
          <w:rFonts w:ascii="Verdana" w:hAnsi="Verdana"/>
          <w:sz w:val="16"/>
          <w:szCs w:val="16"/>
          <w:lang w:val="es-CL"/>
        </w:rPr>
        <w:t xml:space="preserve"> Artículo 22 ( Derecho de circulación y de residencia)</w:t>
      </w:r>
      <w:r w:rsidR="009D6D33" w:rsidRPr="004E2B39">
        <w:rPr>
          <w:rFonts w:ascii="Verdana" w:hAnsi="Verdana"/>
          <w:sz w:val="16"/>
          <w:szCs w:val="16"/>
          <w:lang w:val="es-CL"/>
        </w:rPr>
        <w:t>,</w:t>
      </w:r>
      <w:r w:rsidRPr="004E2B39">
        <w:rPr>
          <w:rFonts w:ascii="Verdana" w:hAnsi="Verdana"/>
          <w:sz w:val="16"/>
          <w:szCs w:val="16"/>
          <w:lang w:val="es-CL"/>
        </w:rPr>
        <w:t xml:space="preserve"> Artículo 24 (Igualdad ante la ley)</w:t>
      </w:r>
      <w:r w:rsidR="009D6D33" w:rsidRPr="004E2B39">
        <w:rPr>
          <w:rFonts w:ascii="Verdana" w:hAnsi="Verdana"/>
          <w:sz w:val="16"/>
          <w:szCs w:val="16"/>
          <w:lang w:val="es-CL"/>
        </w:rPr>
        <w:t>,</w:t>
      </w:r>
      <w:r w:rsidRPr="004E2B39">
        <w:rPr>
          <w:rFonts w:ascii="Verdana" w:hAnsi="Verdana"/>
          <w:sz w:val="16"/>
          <w:szCs w:val="16"/>
          <w:lang w:val="es-CL"/>
        </w:rPr>
        <w:t xml:space="preserve"> Artículo 25 (Protección Judicial)</w:t>
      </w:r>
      <w:r w:rsidR="009D6D33" w:rsidRPr="004E2B39">
        <w:rPr>
          <w:rFonts w:ascii="Verdana" w:hAnsi="Verdana"/>
          <w:sz w:val="16"/>
          <w:szCs w:val="16"/>
          <w:lang w:val="es-CL"/>
        </w:rPr>
        <w:t>,</w:t>
      </w:r>
      <w:r w:rsidRPr="004E2B39">
        <w:rPr>
          <w:rFonts w:ascii="Verdana" w:hAnsi="Verdana"/>
          <w:sz w:val="16"/>
          <w:szCs w:val="16"/>
          <w:lang w:val="es-CL"/>
        </w:rPr>
        <w:t xml:space="preserve"> Artículo 4 (Derecho a la vida)</w:t>
      </w:r>
      <w:r w:rsidR="009D6D33" w:rsidRPr="004E2B39">
        <w:rPr>
          <w:rFonts w:ascii="Verdana" w:hAnsi="Verdana"/>
          <w:sz w:val="16"/>
          <w:szCs w:val="16"/>
          <w:lang w:val="es-CL"/>
        </w:rPr>
        <w:t>,</w:t>
      </w:r>
      <w:r w:rsidRPr="004E2B39">
        <w:rPr>
          <w:rFonts w:ascii="Verdana" w:hAnsi="Verdana"/>
          <w:sz w:val="16"/>
          <w:szCs w:val="16"/>
          <w:lang w:val="es-CL"/>
        </w:rPr>
        <w:t xml:space="preserve"> Artículo 5 (Derecho a la Integridad Personal)</w:t>
      </w:r>
      <w:r w:rsidR="009D6D33" w:rsidRPr="004E2B39">
        <w:rPr>
          <w:rFonts w:ascii="Verdana" w:hAnsi="Verdana"/>
          <w:sz w:val="16"/>
          <w:szCs w:val="16"/>
          <w:lang w:val="es-CL"/>
        </w:rPr>
        <w:t>,</w:t>
      </w:r>
      <w:r w:rsidRPr="004E2B39">
        <w:rPr>
          <w:rFonts w:ascii="Verdana" w:hAnsi="Verdana"/>
          <w:sz w:val="16"/>
          <w:szCs w:val="16"/>
          <w:lang w:val="es-CL"/>
        </w:rPr>
        <w:t xml:space="preserve"> Artículo 7 (Derecho a la libertad personal)</w:t>
      </w:r>
      <w:r w:rsidR="009D6D33" w:rsidRPr="004E2B39">
        <w:rPr>
          <w:rFonts w:ascii="Verdana" w:hAnsi="Verdana"/>
          <w:sz w:val="16"/>
          <w:szCs w:val="16"/>
          <w:lang w:val="es-CL"/>
        </w:rPr>
        <w:t>,</w:t>
      </w:r>
      <w:r w:rsidRPr="004E2B39">
        <w:rPr>
          <w:rFonts w:ascii="Verdana" w:hAnsi="Verdana"/>
          <w:sz w:val="16"/>
          <w:szCs w:val="16"/>
          <w:lang w:val="es-CL"/>
        </w:rPr>
        <w:t xml:space="preserve"> Artículo 8 (Garantías Judiciales).</w:t>
      </w:r>
    </w:p>
  </w:footnote>
  <w:footnote w:id="27">
    <w:p w14:paraId="4641D518" w14:textId="3941F85D"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rStyle w:val="Refdenotaalpie"/>
          <w:vertAlign w:val="baseline"/>
        </w:rPr>
        <w:t xml:space="preserve"> </w:t>
      </w:r>
      <w:r w:rsidRPr="004E2B39">
        <w:rPr>
          <w:lang w:eastAsia="es-ES_tradnl"/>
        </w:rPr>
        <w:t xml:space="preserve">El 22 de junio de 2015 la Corte Interamericana de Derechos Humanos </w:t>
      </w:r>
      <w:proofErr w:type="spellStart"/>
      <w:r w:rsidRPr="004E2B39">
        <w:rPr>
          <w:lang w:eastAsia="es-ES_tradnl"/>
        </w:rPr>
        <w:t>emitio</w:t>
      </w:r>
      <w:proofErr w:type="spellEnd"/>
      <w:r w:rsidRPr="004E2B39">
        <w:rPr>
          <w:lang w:eastAsia="es-ES_tradnl"/>
        </w:rPr>
        <w:t xml:space="preserve">́ una Sentencia, mediante la cual declaró responsable internacionalmente a la </w:t>
      </w:r>
      <w:proofErr w:type="spellStart"/>
      <w:r w:rsidRPr="004E2B39">
        <w:rPr>
          <w:lang w:eastAsia="es-ES_tradnl"/>
        </w:rPr>
        <w:t>República</w:t>
      </w:r>
      <w:proofErr w:type="spellEnd"/>
      <w:r w:rsidRPr="004E2B39">
        <w:rPr>
          <w:lang w:eastAsia="es-ES_tradnl"/>
        </w:rPr>
        <w:t xml:space="preserve"> Bolivariana de Venezuela por la </w:t>
      </w:r>
      <w:proofErr w:type="spellStart"/>
      <w:r w:rsidRPr="004E2B39">
        <w:rPr>
          <w:lang w:eastAsia="es-ES_tradnl"/>
        </w:rPr>
        <w:t>violación</w:t>
      </w:r>
      <w:proofErr w:type="spellEnd"/>
      <w:r w:rsidRPr="004E2B39">
        <w:rPr>
          <w:lang w:eastAsia="es-ES_tradnl"/>
        </w:rPr>
        <w:t xml:space="preserve"> a ciertos derechos, como consecuencia del cierre del canal de </w:t>
      </w:r>
      <w:proofErr w:type="spellStart"/>
      <w:r w:rsidRPr="004E2B39">
        <w:rPr>
          <w:lang w:eastAsia="es-ES_tradnl"/>
        </w:rPr>
        <w:t>televisión</w:t>
      </w:r>
      <w:proofErr w:type="spellEnd"/>
      <w:r w:rsidRPr="004E2B39">
        <w:rPr>
          <w:lang w:eastAsia="es-ES_tradnl"/>
        </w:rPr>
        <w:t xml:space="preserve"> “Radio Caracas </w:t>
      </w:r>
      <w:proofErr w:type="spellStart"/>
      <w:r w:rsidRPr="004E2B39">
        <w:rPr>
          <w:lang w:eastAsia="es-ES_tradnl"/>
        </w:rPr>
        <w:t>Televisión</w:t>
      </w:r>
      <w:proofErr w:type="spellEnd"/>
      <w:r w:rsidRPr="004E2B39">
        <w:rPr>
          <w:lang w:eastAsia="es-ES_tradnl"/>
        </w:rPr>
        <w:t xml:space="preserve">” ocurrido el 27 de mayo de 2007, a </w:t>
      </w:r>
      <w:proofErr w:type="spellStart"/>
      <w:r w:rsidRPr="004E2B39">
        <w:rPr>
          <w:lang w:eastAsia="es-ES_tradnl"/>
        </w:rPr>
        <w:t>raíz</w:t>
      </w:r>
      <w:proofErr w:type="spellEnd"/>
      <w:r w:rsidRPr="004E2B39">
        <w:rPr>
          <w:lang w:eastAsia="es-ES_tradnl"/>
        </w:rPr>
        <w:t xml:space="preserve"> de la </w:t>
      </w:r>
      <w:proofErr w:type="spellStart"/>
      <w:r w:rsidRPr="004E2B39">
        <w:rPr>
          <w:lang w:eastAsia="es-ES_tradnl"/>
        </w:rPr>
        <w:t>decisión</w:t>
      </w:r>
      <w:proofErr w:type="spellEnd"/>
      <w:r w:rsidRPr="004E2B39">
        <w:rPr>
          <w:lang w:eastAsia="es-ES_tradnl"/>
        </w:rPr>
        <w:t xml:space="preserve"> del Estado de reservarse la </w:t>
      </w:r>
      <w:proofErr w:type="spellStart"/>
      <w:r w:rsidRPr="004E2B39">
        <w:rPr>
          <w:lang w:eastAsia="es-ES_tradnl"/>
        </w:rPr>
        <w:t>porción</w:t>
      </w:r>
      <w:proofErr w:type="spellEnd"/>
      <w:r w:rsidRPr="004E2B39">
        <w:rPr>
          <w:lang w:eastAsia="es-ES_tradnl"/>
        </w:rPr>
        <w:t xml:space="preserve"> del espectro </w:t>
      </w:r>
      <w:proofErr w:type="spellStart"/>
      <w:r w:rsidRPr="004E2B39">
        <w:rPr>
          <w:lang w:eastAsia="es-ES_tradnl"/>
        </w:rPr>
        <w:t>eléctrico</w:t>
      </w:r>
      <w:proofErr w:type="spellEnd"/>
      <w:r w:rsidRPr="004E2B39">
        <w:rPr>
          <w:lang w:eastAsia="es-ES_tradnl"/>
        </w:rPr>
        <w:t xml:space="preserve"> que anteriormente </w:t>
      </w:r>
      <w:proofErr w:type="spellStart"/>
      <w:r w:rsidRPr="004E2B39">
        <w:rPr>
          <w:lang w:eastAsia="es-ES_tradnl"/>
        </w:rPr>
        <w:t>había</w:t>
      </w:r>
      <w:proofErr w:type="spellEnd"/>
      <w:r w:rsidRPr="004E2B39">
        <w:rPr>
          <w:lang w:eastAsia="es-ES_tradnl"/>
        </w:rPr>
        <w:t xml:space="preserve"> sido asignado a RCTV y, por tanto, impedir la </w:t>
      </w:r>
      <w:proofErr w:type="spellStart"/>
      <w:r w:rsidRPr="004E2B39">
        <w:rPr>
          <w:lang w:eastAsia="es-ES_tradnl"/>
        </w:rPr>
        <w:t>participación</w:t>
      </w:r>
      <w:proofErr w:type="spellEnd"/>
      <w:r w:rsidRPr="004E2B39">
        <w:rPr>
          <w:lang w:eastAsia="es-ES_tradnl"/>
        </w:rPr>
        <w:t xml:space="preserve"> en los procedimientos administrativos a un medio de </w:t>
      </w:r>
      <w:proofErr w:type="spellStart"/>
      <w:r w:rsidRPr="004E2B39">
        <w:rPr>
          <w:lang w:eastAsia="es-ES_tradnl"/>
        </w:rPr>
        <w:t>comunicación</w:t>
      </w:r>
      <w:proofErr w:type="spellEnd"/>
      <w:r w:rsidRPr="004E2B39">
        <w:rPr>
          <w:lang w:eastAsia="es-ES_tradnl"/>
        </w:rPr>
        <w:t xml:space="preserve"> que expresaba voces </w:t>
      </w:r>
      <w:proofErr w:type="spellStart"/>
      <w:r w:rsidRPr="004E2B39">
        <w:rPr>
          <w:lang w:eastAsia="es-ES_tradnl"/>
        </w:rPr>
        <w:t>críticas</w:t>
      </w:r>
      <w:proofErr w:type="spellEnd"/>
      <w:r w:rsidRPr="004E2B39">
        <w:rPr>
          <w:lang w:eastAsia="es-ES_tradnl"/>
        </w:rPr>
        <w:t xml:space="preserve"> contra el gobierno. En particular, la Corte declaró la </w:t>
      </w:r>
      <w:proofErr w:type="spellStart"/>
      <w:r w:rsidRPr="004E2B39">
        <w:rPr>
          <w:lang w:eastAsia="es-ES_tradnl"/>
        </w:rPr>
        <w:t>violación</w:t>
      </w:r>
      <w:proofErr w:type="spellEnd"/>
      <w:r w:rsidRPr="004E2B39">
        <w:rPr>
          <w:lang w:eastAsia="es-ES_tradnl"/>
        </w:rPr>
        <w:t xml:space="preserve"> al derecho a la libertad de </w:t>
      </w:r>
      <w:proofErr w:type="spellStart"/>
      <w:r w:rsidRPr="004E2B39">
        <w:rPr>
          <w:lang w:eastAsia="es-ES_tradnl"/>
        </w:rPr>
        <w:t>expresión</w:t>
      </w:r>
      <w:proofErr w:type="spellEnd"/>
      <w:r w:rsidRPr="004E2B39">
        <w:rPr>
          <w:lang w:eastAsia="es-ES_tradnl"/>
        </w:rPr>
        <w:t xml:space="preserve">, por cuanto se configuró una </w:t>
      </w:r>
      <w:proofErr w:type="spellStart"/>
      <w:r w:rsidRPr="004E2B39">
        <w:rPr>
          <w:lang w:eastAsia="es-ES_tradnl"/>
        </w:rPr>
        <w:t>restricción</w:t>
      </w:r>
      <w:proofErr w:type="spellEnd"/>
      <w:r w:rsidRPr="004E2B39">
        <w:rPr>
          <w:lang w:eastAsia="es-ES_tradnl"/>
        </w:rPr>
        <w:t xml:space="preserve"> indirecta al ejercicio del mismo, en perjuicio de Marcel </w:t>
      </w:r>
      <w:proofErr w:type="spellStart"/>
      <w:r w:rsidRPr="004E2B39">
        <w:rPr>
          <w:lang w:eastAsia="es-ES_tradnl"/>
        </w:rPr>
        <w:t>Granier</w:t>
      </w:r>
      <w:proofErr w:type="spellEnd"/>
      <w:r w:rsidRPr="004E2B39">
        <w:rPr>
          <w:lang w:eastAsia="es-ES_tradnl"/>
        </w:rPr>
        <w:t xml:space="preserve">, Peter </w:t>
      </w:r>
      <w:proofErr w:type="spellStart"/>
      <w:r w:rsidRPr="004E2B39">
        <w:rPr>
          <w:lang w:eastAsia="es-ES_tradnl"/>
        </w:rPr>
        <w:t>Bottome</w:t>
      </w:r>
      <w:proofErr w:type="spellEnd"/>
      <w:r w:rsidRPr="004E2B39">
        <w:rPr>
          <w:lang w:eastAsia="es-ES_tradnl"/>
        </w:rPr>
        <w:t xml:space="preserve">, Jaime </w:t>
      </w:r>
      <w:proofErr w:type="spellStart"/>
      <w:r w:rsidRPr="004E2B39">
        <w:rPr>
          <w:lang w:eastAsia="es-ES_tradnl"/>
        </w:rPr>
        <w:t>Nestares</w:t>
      </w:r>
      <w:proofErr w:type="spellEnd"/>
      <w:r w:rsidRPr="004E2B39">
        <w:rPr>
          <w:lang w:eastAsia="es-ES_tradnl"/>
        </w:rPr>
        <w:t xml:space="preserve">, </w:t>
      </w:r>
      <w:proofErr w:type="spellStart"/>
      <w:r w:rsidRPr="004E2B39">
        <w:rPr>
          <w:lang w:eastAsia="es-ES_tradnl"/>
        </w:rPr>
        <w:t>Inés</w:t>
      </w:r>
      <w:proofErr w:type="spellEnd"/>
      <w:r w:rsidRPr="004E2B39">
        <w:rPr>
          <w:lang w:eastAsia="es-ES_tradnl"/>
        </w:rPr>
        <w:t xml:space="preserve"> Bacalao, Eladio </w:t>
      </w:r>
      <w:proofErr w:type="spellStart"/>
      <w:r w:rsidRPr="004E2B39">
        <w:rPr>
          <w:lang w:eastAsia="es-ES_tradnl"/>
        </w:rPr>
        <w:t>Lárez</w:t>
      </w:r>
      <w:proofErr w:type="spellEnd"/>
      <w:r w:rsidRPr="004E2B39">
        <w:rPr>
          <w:lang w:eastAsia="es-ES_tradnl"/>
        </w:rPr>
        <w:t xml:space="preserve">, Eduardo </w:t>
      </w:r>
      <w:proofErr w:type="spellStart"/>
      <w:r w:rsidRPr="004E2B39">
        <w:rPr>
          <w:lang w:eastAsia="es-ES_tradnl"/>
        </w:rPr>
        <w:t>Sapene</w:t>
      </w:r>
      <w:proofErr w:type="spellEnd"/>
      <w:r w:rsidRPr="004E2B39">
        <w:rPr>
          <w:lang w:eastAsia="es-ES_tradnl"/>
        </w:rPr>
        <w:t xml:space="preserve">, Daniela </w:t>
      </w:r>
      <w:proofErr w:type="spellStart"/>
      <w:r w:rsidRPr="004E2B39">
        <w:rPr>
          <w:lang w:eastAsia="es-ES_tradnl"/>
        </w:rPr>
        <w:t>Bergami</w:t>
      </w:r>
      <w:proofErr w:type="spellEnd"/>
      <w:r w:rsidRPr="004E2B39">
        <w:rPr>
          <w:lang w:eastAsia="es-ES_tradnl"/>
        </w:rPr>
        <w:t xml:space="preserve">, Miguel </w:t>
      </w:r>
      <w:proofErr w:type="spellStart"/>
      <w:r w:rsidRPr="004E2B39">
        <w:rPr>
          <w:lang w:eastAsia="es-ES_tradnl"/>
        </w:rPr>
        <w:t>Ángel</w:t>
      </w:r>
      <w:proofErr w:type="spellEnd"/>
      <w:r w:rsidRPr="004E2B39">
        <w:rPr>
          <w:lang w:eastAsia="es-ES_tradnl"/>
        </w:rPr>
        <w:t xml:space="preserve"> </w:t>
      </w:r>
      <w:proofErr w:type="spellStart"/>
      <w:r w:rsidRPr="004E2B39">
        <w:rPr>
          <w:lang w:eastAsia="es-ES_tradnl"/>
        </w:rPr>
        <w:t>Rodríguez</w:t>
      </w:r>
      <w:proofErr w:type="spellEnd"/>
      <w:r w:rsidRPr="004E2B39">
        <w:rPr>
          <w:lang w:eastAsia="es-ES_tradnl"/>
        </w:rPr>
        <w:t xml:space="preserve">, Soraya Castellano, </w:t>
      </w:r>
      <w:proofErr w:type="spellStart"/>
      <w:r w:rsidRPr="004E2B39">
        <w:rPr>
          <w:lang w:eastAsia="es-ES_tradnl"/>
        </w:rPr>
        <w:t>María</w:t>
      </w:r>
      <w:proofErr w:type="spellEnd"/>
      <w:r w:rsidRPr="004E2B39">
        <w:rPr>
          <w:lang w:eastAsia="es-ES_tradnl"/>
        </w:rPr>
        <w:t xml:space="preserve"> Arriaga y Larissa </w:t>
      </w:r>
      <w:proofErr w:type="spellStart"/>
      <w:r w:rsidRPr="004E2B39">
        <w:rPr>
          <w:lang w:eastAsia="es-ES_tradnl"/>
        </w:rPr>
        <w:t>Patiño</w:t>
      </w:r>
      <w:proofErr w:type="spellEnd"/>
      <w:r w:rsidRPr="004E2B39">
        <w:rPr>
          <w:lang w:eastAsia="es-ES_tradnl"/>
        </w:rPr>
        <w:t xml:space="preserve">. Asimismo, el Tribunal declaró la vulneración del derecho a la libertad de </w:t>
      </w:r>
      <w:proofErr w:type="spellStart"/>
      <w:r w:rsidRPr="004E2B39">
        <w:rPr>
          <w:lang w:eastAsia="es-ES_tradnl"/>
        </w:rPr>
        <w:t>expresión</w:t>
      </w:r>
      <w:proofErr w:type="spellEnd"/>
      <w:r w:rsidRPr="004E2B39">
        <w:rPr>
          <w:lang w:eastAsia="es-ES_tradnl"/>
        </w:rPr>
        <w:t xml:space="preserve"> en </w:t>
      </w:r>
      <w:proofErr w:type="spellStart"/>
      <w:r w:rsidRPr="004E2B39">
        <w:rPr>
          <w:lang w:eastAsia="es-ES_tradnl"/>
        </w:rPr>
        <w:t>relación</w:t>
      </w:r>
      <w:proofErr w:type="spellEnd"/>
      <w:r w:rsidRPr="004E2B39">
        <w:rPr>
          <w:lang w:eastAsia="es-ES_tradnl"/>
        </w:rPr>
        <w:t xml:space="preserve"> con el deber de no discriminación en perjuicio de las personas anteriormente </w:t>
      </w:r>
      <w:proofErr w:type="spellStart"/>
      <w:r w:rsidRPr="004E2B39">
        <w:rPr>
          <w:lang w:eastAsia="es-ES_tradnl"/>
        </w:rPr>
        <w:t>señaladas</w:t>
      </w:r>
      <w:proofErr w:type="spellEnd"/>
      <w:r w:rsidRPr="004E2B39">
        <w:rPr>
          <w:lang w:eastAsia="es-ES_tradnl"/>
        </w:rPr>
        <w:t xml:space="preserve">. Por </w:t>
      </w:r>
      <w:proofErr w:type="spellStart"/>
      <w:r w:rsidRPr="004E2B39">
        <w:rPr>
          <w:lang w:eastAsia="es-ES_tradnl"/>
        </w:rPr>
        <w:t>último</w:t>
      </w:r>
      <w:proofErr w:type="spellEnd"/>
      <w:r w:rsidRPr="004E2B39">
        <w:rPr>
          <w:lang w:eastAsia="es-ES_tradnl"/>
        </w:rPr>
        <w:t xml:space="preserve">, la Corte </w:t>
      </w:r>
      <w:proofErr w:type="spellStart"/>
      <w:r w:rsidRPr="004E2B39">
        <w:rPr>
          <w:lang w:eastAsia="es-ES_tradnl"/>
        </w:rPr>
        <w:t>encontro</w:t>
      </w:r>
      <w:proofErr w:type="spellEnd"/>
      <w:r w:rsidRPr="004E2B39">
        <w:rPr>
          <w:lang w:eastAsia="es-ES_tradnl"/>
        </w:rPr>
        <w:t xml:space="preserve">́ violados los derechos a un debido proceso, al plazo razonable y a ser </w:t>
      </w:r>
      <w:proofErr w:type="spellStart"/>
      <w:r w:rsidRPr="004E2B39">
        <w:rPr>
          <w:lang w:eastAsia="es-ES_tradnl"/>
        </w:rPr>
        <w:t>oído</w:t>
      </w:r>
      <w:proofErr w:type="spellEnd"/>
      <w:r w:rsidRPr="004E2B39">
        <w:rPr>
          <w:lang w:eastAsia="es-ES_tradnl"/>
        </w:rPr>
        <w:t xml:space="preserve"> en perjuicio de Marcel </w:t>
      </w:r>
      <w:proofErr w:type="spellStart"/>
      <w:r w:rsidRPr="004E2B39">
        <w:rPr>
          <w:lang w:eastAsia="es-ES_tradnl"/>
        </w:rPr>
        <w:t>Granier</w:t>
      </w:r>
      <w:proofErr w:type="spellEnd"/>
      <w:r w:rsidRPr="004E2B39">
        <w:rPr>
          <w:lang w:eastAsia="es-ES_tradnl"/>
        </w:rPr>
        <w:t xml:space="preserve">, Peter </w:t>
      </w:r>
      <w:proofErr w:type="spellStart"/>
      <w:r w:rsidRPr="004E2B39">
        <w:rPr>
          <w:lang w:eastAsia="es-ES_tradnl"/>
        </w:rPr>
        <w:t>Bottome</w:t>
      </w:r>
      <w:proofErr w:type="spellEnd"/>
      <w:r w:rsidRPr="004E2B39">
        <w:rPr>
          <w:lang w:eastAsia="es-ES_tradnl"/>
        </w:rPr>
        <w:t xml:space="preserve">, Jaime </w:t>
      </w:r>
      <w:proofErr w:type="spellStart"/>
      <w:r w:rsidRPr="004E2B39">
        <w:rPr>
          <w:lang w:eastAsia="es-ES_tradnl"/>
        </w:rPr>
        <w:t>Nestares</w:t>
      </w:r>
      <w:proofErr w:type="spellEnd"/>
      <w:r w:rsidRPr="004E2B39">
        <w:rPr>
          <w:lang w:eastAsia="es-ES_tradnl"/>
        </w:rPr>
        <w:t xml:space="preserve">, Jean </w:t>
      </w:r>
      <w:proofErr w:type="spellStart"/>
      <w:r w:rsidRPr="004E2B39">
        <w:rPr>
          <w:lang w:eastAsia="es-ES_tradnl"/>
        </w:rPr>
        <w:t>Nestares</w:t>
      </w:r>
      <w:proofErr w:type="spellEnd"/>
      <w:r w:rsidRPr="004E2B39">
        <w:rPr>
          <w:lang w:eastAsia="es-ES_tradnl"/>
        </w:rPr>
        <w:t xml:space="preserve">, Fernando </w:t>
      </w:r>
      <w:proofErr w:type="spellStart"/>
      <w:r w:rsidRPr="004E2B39">
        <w:rPr>
          <w:lang w:eastAsia="es-ES_tradnl"/>
        </w:rPr>
        <w:t>Nestares</w:t>
      </w:r>
      <w:proofErr w:type="spellEnd"/>
      <w:r w:rsidRPr="004E2B39">
        <w:rPr>
          <w:lang w:eastAsia="es-ES_tradnl"/>
        </w:rPr>
        <w:t xml:space="preserve">, Alicia </w:t>
      </w:r>
      <w:proofErr w:type="spellStart"/>
      <w:r w:rsidRPr="004E2B39">
        <w:rPr>
          <w:lang w:eastAsia="es-ES_tradnl"/>
        </w:rPr>
        <w:t>Phelps</w:t>
      </w:r>
      <w:proofErr w:type="spellEnd"/>
      <w:r w:rsidRPr="004E2B39">
        <w:rPr>
          <w:lang w:eastAsia="es-ES_tradnl"/>
        </w:rPr>
        <w:t xml:space="preserve"> de Tovar, Francisco J. </w:t>
      </w:r>
      <w:proofErr w:type="spellStart"/>
      <w:r w:rsidRPr="004E2B39">
        <w:rPr>
          <w:lang w:eastAsia="es-ES_tradnl"/>
        </w:rPr>
        <w:t>Nestares</w:t>
      </w:r>
      <w:proofErr w:type="spellEnd"/>
      <w:r w:rsidRPr="004E2B39">
        <w:rPr>
          <w:lang w:eastAsia="es-ES_tradnl"/>
        </w:rPr>
        <w:t xml:space="preserve">, Edgardo Mosca, </w:t>
      </w:r>
      <w:proofErr w:type="spellStart"/>
      <w:r w:rsidRPr="004E2B39">
        <w:rPr>
          <w:lang w:eastAsia="es-ES_tradnl"/>
        </w:rPr>
        <w:t>Anani</w:t>
      </w:r>
      <w:proofErr w:type="spellEnd"/>
      <w:r w:rsidRPr="004E2B39">
        <w:rPr>
          <w:lang w:eastAsia="es-ES_tradnl"/>
        </w:rPr>
        <w:t xml:space="preserve"> </w:t>
      </w:r>
      <w:proofErr w:type="spellStart"/>
      <w:r w:rsidRPr="004E2B39">
        <w:rPr>
          <w:lang w:eastAsia="es-ES_tradnl"/>
        </w:rPr>
        <w:t>Hernández</w:t>
      </w:r>
      <w:proofErr w:type="spellEnd"/>
      <w:r w:rsidRPr="004E2B39">
        <w:rPr>
          <w:lang w:eastAsia="es-ES_tradnl"/>
        </w:rPr>
        <w:t xml:space="preserve">, </w:t>
      </w:r>
      <w:proofErr w:type="spellStart"/>
      <w:r w:rsidRPr="004E2B39">
        <w:rPr>
          <w:lang w:eastAsia="es-ES_tradnl"/>
        </w:rPr>
        <w:t>Inés</w:t>
      </w:r>
      <w:proofErr w:type="spellEnd"/>
      <w:r w:rsidRPr="004E2B39">
        <w:rPr>
          <w:lang w:eastAsia="es-ES_tradnl"/>
        </w:rPr>
        <w:t xml:space="preserve"> Bacalao, </w:t>
      </w:r>
      <w:proofErr w:type="spellStart"/>
      <w:r w:rsidRPr="004E2B39">
        <w:rPr>
          <w:lang w:eastAsia="es-ES_tradnl"/>
        </w:rPr>
        <w:t>Jose</w:t>
      </w:r>
      <w:proofErr w:type="spellEnd"/>
      <w:r w:rsidRPr="004E2B39">
        <w:rPr>
          <w:lang w:eastAsia="es-ES_tradnl"/>
        </w:rPr>
        <w:t xml:space="preserve">́ </w:t>
      </w:r>
      <w:proofErr w:type="spellStart"/>
      <w:r w:rsidRPr="004E2B39">
        <w:rPr>
          <w:lang w:eastAsia="es-ES_tradnl"/>
        </w:rPr>
        <w:t>Simón</w:t>
      </w:r>
      <w:proofErr w:type="spellEnd"/>
      <w:r w:rsidRPr="004E2B39">
        <w:rPr>
          <w:lang w:eastAsia="es-ES_tradnl"/>
        </w:rPr>
        <w:t xml:space="preserve"> Escalona, Eladio </w:t>
      </w:r>
      <w:proofErr w:type="spellStart"/>
      <w:r w:rsidRPr="004E2B39">
        <w:rPr>
          <w:lang w:eastAsia="es-ES_tradnl"/>
        </w:rPr>
        <w:t>Lárez</w:t>
      </w:r>
      <w:proofErr w:type="spellEnd"/>
      <w:r w:rsidRPr="004E2B39">
        <w:rPr>
          <w:lang w:eastAsia="es-ES_tradnl"/>
        </w:rPr>
        <w:t xml:space="preserve">, </w:t>
      </w:r>
      <w:proofErr w:type="spellStart"/>
      <w:r w:rsidRPr="004E2B39">
        <w:rPr>
          <w:lang w:eastAsia="es-ES_tradnl"/>
        </w:rPr>
        <w:t>Odila</w:t>
      </w:r>
      <w:proofErr w:type="spellEnd"/>
      <w:r w:rsidRPr="004E2B39">
        <w:rPr>
          <w:lang w:eastAsia="es-ES_tradnl"/>
        </w:rPr>
        <w:t xml:space="preserve"> </w:t>
      </w:r>
      <w:proofErr w:type="spellStart"/>
      <w:r w:rsidRPr="004E2B39">
        <w:rPr>
          <w:lang w:eastAsia="es-ES_tradnl"/>
        </w:rPr>
        <w:t>Rubin</w:t>
      </w:r>
      <w:proofErr w:type="spellEnd"/>
      <w:r w:rsidRPr="004E2B39">
        <w:rPr>
          <w:lang w:eastAsia="es-ES_tradnl"/>
        </w:rPr>
        <w:t xml:space="preserve">, Oswaldo Quintana, Eduardo </w:t>
      </w:r>
      <w:proofErr w:type="spellStart"/>
      <w:r w:rsidRPr="004E2B39">
        <w:rPr>
          <w:lang w:eastAsia="es-ES_tradnl"/>
        </w:rPr>
        <w:t>Sapene</w:t>
      </w:r>
      <w:proofErr w:type="spellEnd"/>
      <w:r w:rsidRPr="004E2B39">
        <w:rPr>
          <w:lang w:eastAsia="es-ES_tradnl"/>
        </w:rPr>
        <w:t xml:space="preserve">, Daniela </w:t>
      </w:r>
      <w:proofErr w:type="spellStart"/>
      <w:r w:rsidRPr="004E2B39">
        <w:rPr>
          <w:lang w:eastAsia="es-ES_tradnl"/>
        </w:rPr>
        <w:t>Bergami</w:t>
      </w:r>
      <w:proofErr w:type="spellEnd"/>
      <w:r w:rsidRPr="004E2B39">
        <w:rPr>
          <w:lang w:eastAsia="es-ES_tradnl"/>
        </w:rPr>
        <w:t xml:space="preserve">, Isabel Valero, Miguel </w:t>
      </w:r>
      <w:proofErr w:type="spellStart"/>
      <w:r w:rsidRPr="004E2B39">
        <w:rPr>
          <w:lang w:eastAsia="es-ES_tradnl"/>
        </w:rPr>
        <w:t>Ángel</w:t>
      </w:r>
      <w:proofErr w:type="spellEnd"/>
      <w:r w:rsidRPr="004E2B39">
        <w:rPr>
          <w:lang w:eastAsia="es-ES_tradnl"/>
        </w:rPr>
        <w:t xml:space="preserve"> </w:t>
      </w:r>
      <w:proofErr w:type="spellStart"/>
      <w:r w:rsidRPr="004E2B39">
        <w:rPr>
          <w:lang w:eastAsia="es-ES_tradnl"/>
        </w:rPr>
        <w:t>Rodríguez</w:t>
      </w:r>
      <w:proofErr w:type="spellEnd"/>
      <w:r w:rsidRPr="004E2B39">
        <w:rPr>
          <w:lang w:eastAsia="es-ES_tradnl"/>
        </w:rPr>
        <w:t xml:space="preserve">, Soraya Castellano, </w:t>
      </w:r>
      <w:proofErr w:type="spellStart"/>
      <w:r w:rsidRPr="004E2B39">
        <w:rPr>
          <w:lang w:eastAsia="es-ES_tradnl"/>
        </w:rPr>
        <w:t>María</w:t>
      </w:r>
      <w:proofErr w:type="spellEnd"/>
      <w:r w:rsidRPr="004E2B39">
        <w:rPr>
          <w:lang w:eastAsia="es-ES_tradnl"/>
        </w:rPr>
        <w:t xml:space="preserve"> Arriaga y Larissa </w:t>
      </w:r>
      <w:proofErr w:type="spellStart"/>
      <w:r w:rsidRPr="004E2B39">
        <w:rPr>
          <w:lang w:eastAsia="es-ES_tradnl"/>
        </w:rPr>
        <w:t>Patiño</w:t>
      </w:r>
      <w:proofErr w:type="spellEnd"/>
      <w:r w:rsidRPr="004E2B39">
        <w:rPr>
          <w:lang w:eastAsia="es-ES_tradnl"/>
        </w:rPr>
        <w:t>.</w:t>
      </w:r>
      <w:r w:rsidRPr="004E2B39">
        <w:rPr>
          <w:rStyle w:val="Refdenotaalpie"/>
          <w:vertAlign w:val="baseline"/>
        </w:rPr>
        <w:t xml:space="preserve"> </w:t>
      </w:r>
    </w:p>
  </w:footnote>
  <w:footnote w:id="28">
    <w:p w14:paraId="6698D08F" w14:textId="77777777" w:rsidR="007269CF" w:rsidRPr="004E2B39" w:rsidRDefault="007269CF" w:rsidP="004E2B39">
      <w:pPr>
        <w:pStyle w:val="Footnotes"/>
      </w:pPr>
      <w:r w:rsidRPr="004E2B39">
        <w:rPr>
          <w:rStyle w:val="Refdenotaalpie"/>
        </w:rPr>
        <w:footnoteRef/>
      </w:r>
      <w:r w:rsidRPr="004E2B39">
        <w:t xml:space="preserve"> El 1 de septiembre de 2015 la Corte Interamericana de Derechos Humanos dictó una Sentencia mediante la cual declaró responsable internacionalmente al Estado de Ecuador por ciertas violaciones de derechos humanos cometidas por el contagio con VIH a </w:t>
      </w:r>
      <w:proofErr w:type="spellStart"/>
      <w:r w:rsidRPr="004E2B39">
        <w:t>Talía</w:t>
      </w:r>
      <w:proofErr w:type="spellEnd"/>
      <w:r w:rsidRPr="004E2B39">
        <w:t xml:space="preserve"> Gabriela Gonzales Lluy cuando </w:t>
      </w:r>
      <w:proofErr w:type="spellStart"/>
      <w:r w:rsidRPr="004E2B39">
        <w:t>tenía</w:t>
      </w:r>
      <w:proofErr w:type="spellEnd"/>
      <w:r w:rsidRPr="004E2B39">
        <w:t xml:space="preserve"> tres </w:t>
      </w:r>
      <w:proofErr w:type="spellStart"/>
      <w:r w:rsidRPr="004E2B39">
        <w:t>años</w:t>
      </w:r>
      <w:proofErr w:type="spellEnd"/>
      <w:r w:rsidRPr="004E2B39">
        <w:t xml:space="preserve"> de edad. La Corte </w:t>
      </w:r>
      <w:proofErr w:type="spellStart"/>
      <w:r w:rsidRPr="004E2B39">
        <w:t>encontro</w:t>
      </w:r>
      <w:proofErr w:type="spellEnd"/>
      <w:r w:rsidRPr="004E2B39">
        <w:t xml:space="preserve">́ que el Estado era responsable por la </w:t>
      </w:r>
      <w:proofErr w:type="spellStart"/>
      <w:r w:rsidRPr="004E2B39">
        <w:t>violación</w:t>
      </w:r>
      <w:proofErr w:type="spellEnd"/>
      <w:r w:rsidRPr="004E2B39">
        <w:t xml:space="preserve"> de los derechos a la vida e integridad personal, a la </w:t>
      </w:r>
      <w:proofErr w:type="spellStart"/>
      <w:r w:rsidRPr="004E2B39">
        <w:t>educación</w:t>
      </w:r>
      <w:proofErr w:type="spellEnd"/>
      <w:r w:rsidRPr="004E2B39">
        <w:t xml:space="preserve">, y a la </w:t>
      </w:r>
      <w:proofErr w:type="spellStart"/>
      <w:r w:rsidRPr="004E2B39">
        <w:t>garantía</w:t>
      </w:r>
      <w:proofErr w:type="spellEnd"/>
      <w:r w:rsidRPr="004E2B39">
        <w:t xml:space="preserve"> judicial del plazo en el proceso penal en perjuicio de </w:t>
      </w:r>
      <w:proofErr w:type="spellStart"/>
      <w:r w:rsidRPr="004E2B39">
        <w:t>Talía</w:t>
      </w:r>
      <w:proofErr w:type="spellEnd"/>
      <w:r w:rsidRPr="004E2B39">
        <w:t xml:space="preserve"> Gabriela Gonzales Lluy. </w:t>
      </w:r>
      <w:proofErr w:type="spellStart"/>
      <w:r w:rsidRPr="004E2B39">
        <w:t>Además</w:t>
      </w:r>
      <w:proofErr w:type="spellEnd"/>
      <w:r w:rsidRPr="004E2B39">
        <w:t xml:space="preserve">, la Corte </w:t>
      </w:r>
      <w:proofErr w:type="spellStart"/>
      <w:r w:rsidRPr="004E2B39">
        <w:t>encontro</w:t>
      </w:r>
      <w:proofErr w:type="spellEnd"/>
      <w:r w:rsidRPr="004E2B39">
        <w:t xml:space="preserve">́ que el Estado era responsable por la </w:t>
      </w:r>
      <w:proofErr w:type="spellStart"/>
      <w:r w:rsidRPr="004E2B39">
        <w:t>violación</w:t>
      </w:r>
      <w:proofErr w:type="spellEnd"/>
      <w:r w:rsidRPr="004E2B39">
        <w:t xml:space="preserve"> del derecho a la integridad personal en perjuicio de Teresa Lluy e </w:t>
      </w:r>
      <w:proofErr w:type="spellStart"/>
      <w:r w:rsidRPr="004E2B39">
        <w:t>Iván</w:t>
      </w:r>
      <w:proofErr w:type="spellEnd"/>
      <w:r w:rsidRPr="004E2B39">
        <w:t xml:space="preserve"> Mauricio Lluy. Por otro lado, el Tribunal no </w:t>
      </w:r>
      <w:proofErr w:type="spellStart"/>
      <w:r w:rsidRPr="004E2B39">
        <w:t>encontro</w:t>
      </w:r>
      <w:proofErr w:type="spellEnd"/>
      <w:r w:rsidRPr="004E2B39">
        <w:t xml:space="preserve">́ </w:t>
      </w:r>
      <w:proofErr w:type="spellStart"/>
      <w:r w:rsidRPr="004E2B39">
        <w:t>méritos</w:t>
      </w:r>
      <w:proofErr w:type="spellEnd"/>
      <w:r w:rsidRPr="004E2B39">
        <w:t xml:space="preserve"> para declarar la </w:t>
      </w:r>
      <w:proofErr w:type="spellStart"/>
      <w:r w:rsidRPr="004E2B39">
        <w:t>violación</w:t>
      </w:r>
      <w:proofErr w:type="spellEnd"/>
      <w:r w:rsidRPr="004E2B39">
        <w:t xml:space="preserve"> de la </w:t>
      </w:r>
      <w:proofErr w:type="spellStart"/>
      <w:r w:rsidRPr="004E2B39">
        <w:t>garantía</w:t>
      </w:r>
      <w:proofErr w:type="spellEnd"/>
      <w:r w:rsidRPr="004E2B39">
        <w:t xml:space="preserve"> judicial del plazo razonable en el proceso civil ni el derecho a la protección judicial.</w:t>
      </w:r>
    </w:p>
  </w:footnote>
  <w:footnote w:id="29">
    <w:p w14:paraId="765F14D6" w14:textId="77777777" w:rsidR="007269CF" w:rsidRPr="004E2B39" w:rsidRDefault="007269CF" w:rsidP="004E2B39">
      <w:pPr>
        <w:rPr>
          <w:rStyle w:val="SinespaciadoCar"/>
          <w:sz w:val="16"/>
          <w:szCs w:val="16"/>
        </w:rPr>
      </w:pPr>
      <w:r w:rsidRPr="004E2B39">
        <w:rPr>
          <w:rStyle w:val="Refdenotaalpie"/>
          <w:color w:val="A6A6A6" w:themeColor="background1" w:themeShade="A6"/>
          <w:sz w:val="16"/>
          <w:szCs w:val="16"/>
        </w:rPr>
        <w:footnoteRef/>
      </w:r>
      <w:r w:rsidRPr="004E2B39">
        <w:rPr>
          <w:sz w:val="16"/>
          <w:szCs w:val="16"/>
        </w:rPr>
        <w:t xml:space="preserve"> </w:t>
      </w:r>
      <w:r w:rsidRPr="004E2B39">
        <w:rPr>
          <w:rStyle w:val="SinespaciadoCar"/>
          <w:sz w:val="16"/>
          <w:szCs w:val="16"/>
        </w:rPr>
        <w:t xml:space="preserve">El caso trata sobre la responsabilidad del Estado por la falta de </w:t>
      </w:r>
      <w:proofErr w:type="spellStart"/>
      <w:r w:rsidRPr="004E2B39">
        <w:rPr>
          <w:rStyle w:val="SinespaciadoCar"/>
          <w:sz w:val="16"/>
          <w:szCs w:val="16"/>
        </w:rPr>
        <w:t>garantía</w:t>
      </w:r>
      <w:proofErr w:type="spellEnd"/>
      <w:r w:rsidRPr="004E2B39">
        <w:rPr>
          <w:rStyle w:val="SinespaciadoCar"/>
          <w:sz w:val="16"/>
          <w:szCs w:val="16"/>
        </w:rPr>
        <w:t xml:space="preserve"> del derecho de propiedad comunitaria (art. 21 CADH), las </w:t>
      </w:r>
      <w:proofErr w:type="spellStart"/>
      <w:r w:rsidRPr="004E2B39">
        <w:rPr>
          <w:rStyle w:val="SinespaciadoCar"/>
          <w:sz w:val="16"/>
          <w:szCs w:val="16"/>
        </w:rPr>
        <w:t>garantías</w:t>
      </w:r>
      <w:proofErr w:type="spellEnd"/>
      <w:r w:rsidRPr="004E2B39">
        <w:rPr>
          <w:rStyle w:val="SinespaciadoCar"/>
          <w:sz w:val="16"/>
          <w:szCs w:val="16"/>
        </w:rPr>
        <w:t xml:space="preserve"> judiciales (art. 8 CADH), la protección judicial (art. 25 CADH), </w:t>
      </w:r>
      <w:proofErr w:type="spellStart"/>
      <w:r w:rsidRPr="004E2B39">
        <w:rPr>
          <w:rStyle w:val="SinespaciadoCar"/>
          <w:sz w:val="16"/>
          <w:szCs w:val="16"/>
        </w:rPr>
        <w:t>asi</w:t>
      </w:r>
      <w:proofErr w:type="spellEnd"/>
      <w:r w:rsidRPr="004E2B39">
        <w:rPr>
          <w:rStyle w:val="SinespaciadoCar"/>
          <w:sz w:val="16"/>
          <w:szCs w:val="16"/>
        </w:rPr>
        <w:t xml:space="preserve">́ como por la </w:t>
      </w:r>
      <w:proofErr w:type="spellStart"/>
      <w:r w:rsidRPr="004E2B39">
        <w:rPr>
          <w:rStyle w:val="SinespaciadoCar"/>
          <w:sz w:val="16"/>
          <w:szCs w:val="16"/>
        </w:rPr>
        <w:t>violación</w:t>
      </w:r>
      <w:proofErr w:type="spellEnd"/>
      <w:r w:rsidRPr="004E2B39">
        <w:rPr>
          <w:rStyle w:val="SinespaciadoCar"/>
          <w:sz w:val="16"/>
          <w:szCs w:val="16"/>
        </w:rPr>
        <w:t xml:space="preserve"> a los derechos a la vida (art. 4 CADH), integridad personal (art. 5 CADH), reconocimiento de la personalidad Jurídica (art. 3 CADH), los derechos del </w:t>
      </w:r>
      <w:proofErr w:type="spellStart"/>
      <w:r w:rsidRPr="004E2B39">
        <w:rPr>
          <w:rStyle w:val="SinespaciadoCar"/>
          <w:sz w:val="16"/>
          <w:szCs w:val="16"/>
        </w:rPr>
        <w:t>niño</w:t>
      </w:r>
      <w:proofErr w:type="spellEnd"/>
      <w:r w:rsidRPr="004E2B39">
        <w:rPr>
          <w:rStyle w:val="SinespaciadoCar"/>
          <w:sz w:val="16"/>
          <w:szCs w:val="16"/>
        </w:rPr>
        <w:t xml:space="preserve"> (art. 19 CADH) y por el incumplimiento del deber de no discriminar (art. 1.1 CADH). Todo ello en perjuicio de los miembros de la Comunidad </w:t>
      </w:r>
      <w:proofErr w:type="spellStart"/>
      <w:r w:rsidRPr="004E2B39">
        <w:rPr>
          <w:rStyle w:val="SinespaciadoCar"/>
          <w:sz w:val="16"/>
          <w:szCs w:val="16"/>
        </w:rPr>
        <w:t>Indígena</w:t>
      </w:r>
      <w:proofErr w:type="spellEnd"/>
      <w:r w:rsidRPr="004E2B39">
        <w:rPr>
          <w:rStyle w:val="SinespaciadoCar"/>
          <w:sz w:val="16"/>
          <w:szCs w:val="16"/>
        </w:rPr>
        <w:t xml:space="preserve"> </w:t>
      </w:r>
      <w:proofErr w:type="spellStart"/>
      <w:r w:rsidRPr="004E2B39">
        <w:rPr>
          <w:rStyle w:val="SinespaciadoCar"/>
          <w:sz w:val="16"/>
          <w:szCs w:val="16"/>
        </w:rPr>
        <w:t>Xákmok</w:t>
      </w:r>
      <w:proofErr w:type="spellEnd"/>
      <w:r w:rsidRPr="004E2B39">
        <w:rPr>
          <w:rStyle w:val="SinespaciadoCar"/>
          <w:sz w:val="16"/>
          <w:szCs w:val="16"/>
        </w:rPr>
        <w:t xml:space="preserve"> </w:t>
      </w:r>
      <w:proofErr w:type="spellStart"/>
      <w:r w:rsidRPr="004E2B39">
        <w:rPr>
          <w:rStyle w:val="SinespaciadoCar"/>
          <w:sz w:val="16"/>
          <w:szCs w:val="16"/>
        </w:rPr>
        <w:t>Kásek</w:t>
      </w:r>
      <w:proofErr w:type="spellEnd"/>
      <w:r w:rsidRPr="004E2B39">
        <w:rPr>
          <w:rStyle w:val="SinespaciadoCar"/>
          <w:sz w:val="16"/>
          <w:szCs w:val="16"/>
        </w:rPr>
        <w:t>.</w:t>
      </w:r>
    </w:p>
    <w:p w14:paraId="38AF5293" w14:textId="77777777" w:rsidR="007269CF" w:rsidRPr="004E2B39" w:rsidRDefault="007269CF" w:rsidP="004E2B39">
      <w:pPr>
        <w:rPr>
          <w:sz w:val="16"/>
          <w:szCs w:val="16"/>
        </w:rPr>
      </w:pPr>
    </w:p>
  </w:footnote>
  <w:footnote w:id="30">
    <w:p w14:paraId="0F85EBCC" w14:textId="77777777"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vertAlign w:val="superscript"/>
        </w:rPr>
        <w:t xml:space="preserve"> </w:t>
      </w:r>
      <w:r w:rsidRPr="004E2B39">
        <w:rPr>
          <w:lang w:eastAsia="es-ES_tradnl"/>
        </w:rPr>
        <w:t xml:space="preserve">El 20 de octubre de 2016 la Corte Interamericana de Derechos Humanos </w:t>
      </w:r>
      <w:proofErr w:type="spellStart"/>
      <w:r w:rsidRPr="004E2B39">
        <w:rPr>
          <w:lang w:eastAsia="es-ES_tradnl"/>
        </w:rPr>
        <w:t>emitio</w:t>
      </w:r>
      <w:proofErr w:type="spellEnd"/>
      <w:r w:rsidRPr="004E2B39">
        <w:rPr>
          <w:lang w:eastAsia="es-ES_tradnl"/>
        </w:rPr>
        <w:t xml:space="preserve">́ la Sentencia en el caso Trabajadores de la Hacienda Brasil Verde Vs. Brasil, mediante la cual declaró responsable internacionalmente al Estado </w:t>
      </w:r>
      <w:proofErr w:type="spellStart"/>
      <w:r w:rsidRPr="004E2B39">
        <w:rPr>
          <w:lang w:eastAsia="es-ES_tradnl"/>
        </w:rPr>
        <w:t>brasileño</w:t>
      </w:r>
      <w:proofErr w:type="spellEnd"/>
      <w:r w:rsidRPr="004E2B39">
        <w:rPr>
          <w:lang w:eastAsia="es-ES_tradnl"/>
        </w:rPr>
        <w:t xml:space="preserve"> por la </w:t>
      </w:r>
      <w:proofErr w:type="spellStart"/>
      <w:r w:rsidRPr="004E2B39">
        <w:rPr>
          <w:lang w:eastAsia="es-ES_tradnl"/>
        </w:rPr>
        <w:t>violación</w:t>
      </w:r>
      <w:proofErr w:type="spellEnd"/>
      <w:r w:rsidRPr="004E2B39">
        <w:rPr>
          <w:lang w:eastAsia="es-ES_tradnl"/>
        </w:rPr>
        <w:t xml:space="preserve"> de: i) el derecho a no ser sometido a esclavitud y trata de personas, establecido en el artículo 6.1 de la Convención Americana sobre Derechos Humanos, en </w:t>
      </w:r>
      <w:proofErr w:type="spellStart"/>
      <w:r w:rsidRPr="004E2B39">
        <w:rPr>
          <w:lang w:eastAsia="es-ES_tradnl"/>
        </w:rPr>
        <w:t>relación</w:t>
      </w:r>
      <w:proofErr w:type="spellEnd"/>
      <w:r w:rsidRPr="004E2B39">
        <w:rPr>
          <w:lang w:eastAsia="es-ES_tradnl"/>
        </w:rPr>
        <w:t xml:space="preserve"> con los </w:t>
      </w:r>
      <w:proofErr w:type="spellStart"/>
      <w:r w:rsidRPr="004E2B39">
        <w:rPr>
          <w:lang w:eastAsia="es-ES_tradnl"/>
        </w:rPr>
        <w:t>artículos</w:t>
      </w:r>
      <w:proofErr w:type="spellEnd"/>
      <w:r w:rsidRPr="004E2B39">
        <w:rPr>
          <w:lang w:eastAsia="es-ES_tradnl"/>
        </w:rPr>
        <w:t xml:space="preserve"> 1.1, 3, 5, 7, 11, 22 y 19 del mismo instrumento; ii) el artículo 6.1 de la Convención Americana, en </w:t>
      </w:r>
      <w:proofErr w:type="spellStart"/>
      <w:r w:rsidRPr="004E2B39">
        <w:rPr>
          <w:lang w:eastAsia="es-ES_tradnl"/>
        </w:rPr>
        <w:t>relación</w:t>
      </w:r>
      <w:proofErr w:type="spellEnd"/>
      <w:r w:rsidRPr="004E2B39">
        <w:rPr>
          <w:lang w:eastAsia="es-ES_tradnl"/>
        </w:rPr>
        <w:t xml:space="preserve"> con el artículo 1.1 del mismo instrumento, producida en el marco de una situación de discriminación estructural </w:t>
      </w:r>
      <w:proofErr w:type="spellStart"/>
      <w:r w:rsidRPr="004E2B39">
        <w:rPr>
          <w:lang w:eastAsia="es-ES_tradnl"/>
        </w:rPr>
        <w:t>histórica</w:t>
      </w:r>
      <w:proofErr w:type="spellEnd"/>
      <w:r w:rsidRPr="004E2B39">
        <w:rPr>
          <w:lang w:eastAsia="es-ES_tradnl"/>
        </w:rPr>
        <w:t xml:space="preserve"> en </w:t>
      </w:r>
      <w:proofErr w:type="spellStart"/>
      <w:r w:rsidRPr="004E2B39">
        <w:rPr>
          <w:lang w:eastAsia="es-ES_tradnl"/>
        </w:rPr>
        <w:t>razón</w:t>
      </w:r>
      <w:proofErr w:type="spellEnd"/>
      <w:r w:rsidRPr="004E2B39">
        <w:rPr>
          <w:lang w:eastAsia="es-ES_tradnl"/>
        </w:rPr>
        <w:t xml:space="preserve"> de la </w:t>
      </w:r>
      <w:proofErr w:type="spellStart"/>
      <w:r w:rsidRPr="004E2B39">
        <w:rPr>
          <w:lang w:eastAsia="es-ES_tradnl"/>
        </w:rPr>
        <w:t>posición</w:t>
      </w:r>
      <w:proofErr w:type="spellEnd"/>
      <w:r w:rsidRPr="004E2B39">
        <w:rPr>
          <w:lang w:eastAsia="es-ES_tradnl"/>
        </w:rPr>
        <w:t xml:space="preserve"> </w:t>
      </w:r>
      <w:proofErr w:type="spellStart"/>
      <w:r w:rsidRPr="004E2B39">
        <w:rPr>
          <w:lang w:eastAsia="es-ES_tradnl"/>
        </w:rPr>
        <w:t>económica</w:t>
      </w:r>
      <w:proofErr w:type="spellEnd"/>
      <w:r w:rsidRPr="004E2B39">
        <w:rPr>
          <w:lang w:eastAsia="es-ES_tradnl"/>
        </w:rPr>
        <w:t xml:space="preserve">; iii) las </w:t>
      </w:r>
      <w:proofErr w:type="spellStart"/>
      <w:r w:rsidRPr="004E2B39">
        <w:rPr>
          <w:lang w:eastAsia="es-ES_tradnl"/>
        </w:rPr>
        <w:t>garantías</w:t>
      </w:r>
      <w:proofErr w:type="spellEnd"/>
      <w:r w:rsidRPr="004E2B39">
        <w:rPr>
          <w:lang w:eastAsia="es-ES_tradnl"/>
        </w:rPr>
        <w:t xml:space="preserve"> judiciales de debida diligencia y de plazo razonable, previstas en el artículo 8.1 de la Convención Americana sobre Derechos Humanos, en </w:t>
      </w:r>
      <w:proofErr w:type="spellStart"/>
      <w:r w:rsidRPr="004E2B39">
        <w:rPr>
          <w:lang w:eastAsia="es-ES_tradnl"/>
        </w:rPr>
        <w:t>relación</w:t>
      </w:r>
      <w:proofErr w:type="spellEnd"/>
      <w:r w:rsidRPr="004E2B39">
        <w:rPr>
          <w:lang w:eastAsia="es-ES_tradnl"/>
        </w:rPr>
        <w:t xml:space="preserve"> con el artículo 1.1 del mismo instrumento y, iv) el derecho a la protección judicial, previsto en el artículo 25 de la Convención Americana sobre Derechos Humanos, en </w:t>
      </w:r>
      <w:proofErr w:type="spellStart"/>
      <w:r w:rsidRPr="004E2B39">
        <w:rPr>
          <w:lang w:eastAsia="es-ES_tradnl"/>
        </w:rPr>
        <w:t>relación</w:t>
      </w:r>
      <w:proofErr w:type="spellEnd"/>
      <w:r w:rsidRPr="004E2B39">
        <w:rPr>
          <w:lang w:eastAsia="es-ES_tradnl"/>
        </w:rPr>
        <w:t xml:space="preserve"> con los </w:t>
      </w:r>
      <w:proofErr w:type="spellStart"/>
      <w:r w:rsidRPr="004E2B39">
        <w:rPr>
          <w:lang w:eastAsia="es-ES_tradnl"/>
        </w:rPr>
        <w:t>artículos</w:t>
      </w:r>
      <w:proofErr w:type="spellEnd"/>
      <w:r w:rsidRPr="004E2B39">
        <w:rPr>
          <w:lang w:eastAsia="es-ES_tradnl"/>
        </w:rPr>
        <w:t xml:space="preserve"> 1.1 y 2 del mismo instrumento. Por </w:t>
      </w:r>
      <w:proofErr w:type="spellStart"/>
      <w:r w:rsidRPr="004E2B39">
        <w:rPr>
          <w:lang w:eastAsia="es-ES_tradnl"/>
        </w:rPr>
        <w:t>último</w:t>
      </w:r>
      <w:proofErr w:type="spellEnd"/>
      <w:r w:rsidRPr="004E2B39">
        <w:rPr>
          <w:lang w:eastAsia="es-ES_tradnl"/>
        </w:rPr>
        <w:t xml:space="preserve">, la Corte ordenó al Estado la </w:t>
      </w:r>
      <w:proofErr w:type="spellStart"/>
      <w:r w:rsidRPr="004E2B39">
        <w:rPr>
          <w:lang w:eastAsia="es-ES_tradnl"/>
        </w:rPr>
        <w:t>adopción</w:t>
      </w:r>
      <w:proofErr w:type="spellEnd"/>
      <w:r w:rsidRPr="004E2B39">
        <w:rPr>
          <w:lang w:eastAsia="es-ES_tradnl"/>
        </w:rPr>
        <w:t xml:space="preserve"> de diversas medidas de </w:t>
      </w:r>
      <w:proofErr w:type="spellStart"/>
      <w:r w:rsidRPr="004E2B39">
        <w:rPr>
          <w:lang w:eastAsia="es-ES_tradnl"/>
        </w:rPr>
        <w:t>reparación</w:t>
      </w:r>
      <w:proofErr w:type="spellEnd"/>
      <w:r w:rsidRPr="004E2B39">
        <w:rPr>
          <w:lang w:eastAsia="es-ES_tradnl"/>
        </w:rPr>
        <w:t>.</w:t>
      </w:r>
    </w:p>
  </w:footnote>
  <w:footnote w:id="31">
    <w:p w14:paraId="7875E8AE" w14:textId="77777777" w:rsidR="007269CF" w:rsidRPr="004E2B39" w:rsidRDefault="007269CF" w:rsidP="004E2B39">
      <w:pPr>
        <w:pStyle w:val="Footnotes"/>
      </w:pPr>
      <w:r w:rsidRPr="004E2B39">
        <w:rPr>
          <w:rStyle w:val="Refdenotaalpie"/>
        </w:rPr>
        <w:footnoteRef/>
      </w:r>
      <w:r w:rsidRPr="004E2B39">
        <w:rPr>
          <w:rStyle w:val="Refdenotaalpie"/>
        </w:rPr>
        <w:t xml:space="preserve"> </w:t>
      </w:r>
      <w:r w:rsidRPr="004E2B39">
        <w:t xml:space="preserve">El 8 de marzo de 2018 la Corte Interamericana de Derechos Humanos </w:t>
      </w:r>
      <w:proofErr w:type="spellStart"/>
      <w:r w:rsidRPr="004E2B39">
        <w:t>emitio</w:t>
      </w:r>
      <w:proofErr w:type="spellEnd"/>
      <w:r w:rsidRPr="004E2B39">
        <w:t xml:space="preserve">́ una Sentencia, mediante la cual declaró responsable internacionalmente a la </w:t>
      </w:r>
      <w:proofErr w:type="spellStart"/>
      <w:r w:rsidRPr="004E2B39">
        <w:t>República</w:t>
      </w:r>
      <w:proofErr w:type="spellEnd"/>
      <w:r w:rsidRPr="004E2B39">
        <w:t xml:space="preserve"> de Nicaragua por la </w:t>
      </w:r>
      <w:proofErr w:type="spellStart"/>
      <w:r w:rsidRPr="004E2B39">
        <w:t>violación</w:t>
      </w:r>
      <w:proofErr w:type="spellEnd"/>
      <w:r w:rsidRPr="004E2B39">
        <w:t xml:space="preserve"> de los derechos a la integridad personal y </w:t>
      </w:r>
      <w:proofErr w:type="spellStart"/>
      <w:r w:rsidRPr="004E2B39">
        <w:t>prohibición</w:t>
      </w:r>
      <w:proofErr w:type="spellEnd"/>
      <w:r w:rsidRPr="004E2B39">
        <w:t xml:space="preserve"> de tratos crueles, inhumanos y degradantes, a las </w:t>
      </w:r>
      <w:proofErr w:type="spellStart"/>
      <w:r w:rsidRPr="004E2B39">
        <w:t>garantías</w:t>
      </w:r>
      <w:proofErr w:type="spellEnd"/>
      <w:r w:rsidRPr="004E2B39">
        <w:t xml:space="preserve"> judiciales, a la vida privada y familiar, a la protección de la familia, de residencia y a la protección judicial, en </w:t>
      </w:r>
      <w:proofErr w:type="spellStart"/>
      <w:r w:rsidRPr="004E2B39">
        <w:t>relación</w:t>
      </w:r>
      <w:proofErr w:type="spellEnd"/>
      <w:r w:rsidRPr="004E2B39">
        <w:t xml:space="preserve"> con las obligaciones generales de respeto, </w:t>
      </w:r>
      <w:proofErr w:type="spellStart"/>
      <w:r w:rsidRPr="004E2B39">
        <w:t>garantía</w:t>
      </w:r>
      <w:proofErr w:type="spellEnd"/>
      <w:r w:rsidRPr="004E2B39">
        <w:t xml:space="preserve">, no discriminación y protección especial de </w:t>
      </w:r>
      <w:proofErr w:type="spellStart"/>
      <w:r w:rsidRPr="004E2B39">
        <w:t>niñas</w:t>
      </w:r>
      <w:proofErr w:type="spellEnd"/>
      <w:r w:rsidRPr="004E2B39">
        <w:t xml:space="preserve">, </w:t>
      </w:r>
      <w:proofErr w:type="spellStart"/>
      <w:r w:rsidRPr="004E2B39">
        <w:t>niños</w:t>
      </w:r>
      <w:proofErr w:type="spellEnd"/>
      <w:r w:rsidRPr="004E2B39">
        <w:t xml:space="preserve"> y adolescentes, </w:t>
      </w:r>
      <w:proofErr w:type="spellStart"/>
      <w:r w:rsidRPr="004E2B39">
        <w:t>asi</w:t>
      </w:r>
      <w:proofErr w:type="spellEnd"/>
      <w:r w:rsidRPr="004E2B39">
        <w:t xml:space="preserve">́ como por el incumplimiento de las obligaciones derivadas del artículo 7.b) de la Convención Interamericana para Prevenir, Sancionar y Erradicar la Violencia contra la Mujer o Convención de </w:t>
      </w:r>
      <w:proofErr w:type="spellStart"/>
      <w:r w:rsidRPr="004E2B39">
        <w:t>Belém</w:t>
      </w:r>
      <w:proofErr w:type="spellEnd"/>
      <w:r w:rsidRPr="004E2B39">
        <w:t xml:space="preserve"> do Pará, en perjuicio de V.R.P. y de su grupo familiar.</w:t>
      </w:r>
    </w:p>
  </w:footnote>
  <w:footnote w:id="32">
    <w:p w14:paraId="057CD28B" w14:textId="0C8D6362" w:rsidR="007269CF" w:rsidRPr="004E2B39" w:rsidRDefault="007269CF" w:rsidP="004E2B39">
      <w:pPr>
        <w:pStyle w:val="Footnotes"/>
      </w:pPr>
      <w:r w:rsidRPr="004E2B39">
        <w:rPr>
          <w:rStyle w:val="Refdenotaalpie"/>
        </w:rPr>
        <w:footnoteRef/>
      </w:r>
      <w:r w:rsidRPr="004E2B39">
        <w:t xml:space="preserve"> El 24 de junio de 2020 la Corte Interamericana de Derechos Humanos dictó una Sentencia mediante la cual declaró la responsabilidad internacional del Estado de Ecuador por: (i) la violencia sexual sufrida por la adolescente Paola del Rosario </w:t>
      </w:r>
      <w:proofErr w:type="spellStart"/>
      <w:r w:rsidRPr="004E2B39">
        <w:t>Guzmán</w:t>
      </w:r>
      <w:proofErr w:type="spellEnd"/>
      <w:r w:rsidRPr="004E2B39">
        <w:t xml:space="preserve"> </w:t>
      </w:r>
      <w:proofErr w:type="spellStart"/>
      <w:r w:rsidRPr="004E2B39">
        <w:t>Albarracín</w:t>
      </w:r>
      <w:proofErr w:type="spellEnd"/>
      <w:r w:rsidRPr="004E2B39">
        <w:t xml:space="preserve"> en el </w:t>
      </w:r>
      <w:proofErr w:type="spellStart"/>
      <w:r w:rsidRPr="004E2B39">
        <w:t>ámbito</w:t>
      </w:r>
      <w:proofErr w:type="spellEnd"/>
      <w:r w:rsidRPr="004E2B39">
        <w:t xml:space="preserve"> educativo estatal, cometida por el Vicerrector del colegio al que </w:t>
      </w:r>
      <w:proofErr w:type="spellStart"/>
      <w:r w:rsidRPr="004E2B39">
        <w:t>asistía</w:t>
      </w:r>
      <w:proofErr w:type="spellEnd"/>
      <w:r w:rsidRPr="004E2B39">
        <w:t xml:space="preserve">, que tuvo </w:t>
      </w:r>
      <w:proofErr w:type="spellStart"/>
      <w:r w:rsidRPr="004E2B39">
        <w:t>relación</w:t>
      </w:r>
      <w:proofErr w:type="spellEnd"/>
      <w:r w:rsidRPr="004E2B39">
        <w:t xml:space="preserve"> con el suicido de la </w:t>
      </w:r>
      <w:proofErr w:type="spellStart"/>
      <w:r w:rsidRPr="004E2B39">
        <w:t>niña</w:t>
      </w:r>
      <w:proofErr w:type="spellEnd"/>
      <w:r w:rsidRPr="004E2B39">
        <w:t xml:space="preserve">; (ii) la </w:t>
      </w:r>
      <w:proofErr w:type="spellStart"/>
      <w:r w:rsidRPr="004E2B39">
        <w:t>violación</w:t>
      </w:r>
      <w:proofErr w:type="spellEnd"/>
      <w:r w:rsidRPr="004E2B39">
        <w:t xml:space="preserve"> de las </w:t>
      </w:r>
      <w:proofErr w:type="spellStart"/>
      <w:r w:rsidRPr="004E2B39">
        <w:t>garantías</w:t>
      </w:r>
      <w:proofErr w:type="spellEnd"/>
      <w:r w:rsidRPr="004E2B39">
        <w:t xml:space="preserve"> judiciales y del derecho a la protección judicial, en </w:t>
      </w:r>
      <w:proofErr w:type="spellStart"/>
      <w:r w:rsidRPr="004E2B39">
        <w:t>relación</w:t>
      </w:r>
      <w:proofErr w:type="spellEnd"/>
      <w:r w:rsidRPr="004E2B39">
        <w:t xml:space="preserve"> con el derecho a la igualdad ante la ley, en perjuicio de la madre y la hermana de Paola, </w:t>
      </w:r>
      <w:proofErr w:type="spellStart"/>
      <w:r w:rsidRPr="004E2B39">
        <w:t>Petita</w:t>
      </w:r>
      <w:proofErr w:type="spellEnd"/>
      <w:r w:rsidRPr="004E2B39">
        <w:t xml:space="preserve"> Paulina </w:t>
      </w:r>
      <w:proofErr w:type="spellStart"/>
      <w:r w:rsidRPr="004E2B39">
        <w:t>Albarracín</w:t>
      </w:r>
      <w:proofErr w:type="spellEnd"/>
      <w:r w:rsidRPr="004E2B39">
        <w:t xml:space="preserve"> </w:t>
      </w:r>
      <w:proofErr w:type="spellStart"/>
      <w:r w:rsidRPr="004E2B39">
        <w:t>Albán</w:t>
      </w:r>
      <w:proofErr w:type="spellEnd"/>
      <w:r w:rsidRPr="004E2B39">
        <w:t xml:space="preserve"> y Denisse Selena </w:t>
      </w:r>
      <w:proofErr w:type="spellStart"/>
      <w:r w:rsidRPr="004E2B39">
        <w:t>Guzmán</w:t>
      </w:r>
      <w:proofErr w:type="spellEnd"/>
      <w:r w:rsidRPr="004E2B39">
        <w:t xml:space="preserve"> </w:t>
      </w:r>
      <w:proofErr w:type="spellStart"/>
      <w:r w:rsidRPr="004E2B39">
        <w:t>Albarracín</w:t>
      </w:r>
      <w:proofErr w:type="spellEnd"/>
      <w:r w:rsidRPr="004E2B39">
        <w:t xml:space="preserve">, y (iii) la </w:t>
      </w:r>
      <w:proofErr w:type="spellStart"/>
      <w:r w:rsidRPr="004E2B39">
        <w:t>violación</w:t>
      </w:r>
      <w:proofErr w:type="spellEnd"/>
      <w:r w:rsidRPr="004E2B39">
        <w:t xml:space="preserve"> del derecho a la integridad personal de las </w:t>
      </w:r>
      <w:proofErr w:type="spellStart"/>
      <w:r w:rsidRPr="004E2B39">
        <w:t>últimas</w:t>
      </w:r>
      <w:proofErr w:type="spellEnd"/>
      <w:r w:rsidRPr="004E2B39">
        <w:t xml:space="preserve"> dos personas nombradas. La Corte concluyó que el Estado de Ecuador es responsable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4.1 (derecho a la vida), 5.1 (derecho a la integridad personal) y 11 (derecho a la protección de la honra y de la dignidad) de la Convención Americana sobre Derechos Humanos, y 13 del Protocolo de San Salvador (derecho a la </w:t>
      </w:r>
      <w:proofErr w:type="spellStart"/>
      <w:r w:rsidRPr="004E2B39">
        <w:t>educación</w:t>
      </w:r>
      <w:proofErr w:type="spellEnd"/>
      <w:r w:rsidRPr="004E2B39">
        <w:t xml:space="preserve">), en </w:t>
      </w:r>
      <w:proofErr w:type="spellStart"/>
      <w:r w:rsidRPr="004E2B39">
        <w:t>relación</w:t>
      </w:r>
      <w:proofErr w:type="spellEnd"/>
      <w:r w:rsidRPr="004E2B39">
        <w:t xml:space="preserve"> con las obligaciones establecidas en los </w:t>
      </w:r>
      <w:proofErr w:type="spellStart"/>
      <w:r w:rsidRPr="004E2B39">
        <w:t>artículos</w:t>
      </w:r>
      <w:proofErr w:type="spellEnd"/>
      <w:r w:rsidRPr="004E2B39">
        <w:t xml:space="preserve"> 1.1 (respetar y garantizar los derechos sin discriminación) y 19 (derechos del </w:t>
      </w:r>
      <w:proofErr w:type="spellStart"/>
      <w:r w:rsidRPr="004E2B39">
        <w:t>niño</w:t>
      </w:r>
      <w:proofErr w:type="spellEnd"/>
      <w:r w:rsidRPr="004E2B39">
        <w:t xml:space="preserve">) de la Convención Americana sobre Derechos Humanos, y el incumplimiento de las obligaciones de prevenir actos de violencia contra la mujer y abstenerse de realizarlos, conforme con los </w:t>
      </w:r>
      <w:proofErr w:type="spellStart"/>
      <w:r w:rsidRPr="004E2B39">
        <w:t>artículos</w:t>
      </w:r>
      <w:proofErr w:type="spellEnd"/>
      <w:r w:rsidRPr="004E2B39">
        <w:t xml:space="preserve"> 7.a, 7.b y 7.c de la Convención de </w:t>
      </w:r>
      <w:proofErr w:type="spellStart"/>
      <w:r w:rsidRPr="004E2B39">
        <w:t>Belém</w:t>
      </w:r>
      <w:proofErr w:type="spellEnd"/>
      <w:r w:rsidRPr="004E2B39">
        <w:t xml:space="preserve"> do Pará, en perjuicio de Paola del Rosario </w:t>
      </w:r>
      <w:proofErr w:type="spellStart"/>
      <w:r w:rsidRPr="004E2B39">
        <w:t>Guzmán</w:t>
      </w:r>
      <w:proofErr w:type="spellEnd"/>
      <w:r w:rsidRPr="004E2B39">
        <w:t xml:space="preserve"> </w:t>
      </w:r>
      <w:proofErr w:type="spellStart"/>
      <w:r w:rsidRPr="004E2B39">
        <w:t>Albarracín</w:t>
      </w:r>
      <w:proofErr w:type="spellEnd"/>
      <w:r w:rsidRPr="004E2B39">
        <w:t xml:space="preserve">. Asimismo, este Tribunal concluyó que el Estado es responsable, en perjuicio de la madre y la hermana de la adolescente, por la </w:t>
      </w:r>
      <w:proofErr w:type="spellStart"/>
      <w:r w:rsidRPr="004E2B39">
        <w:t>violación</w:t>
      </w:r>
      <w:proofErr w:type="spellEnd"/>
      <w:r w:rsidRPr="004E2B39">
        <w:t xml:space="preserve"> de los derechos reconocidos en los </w:t>
      </w:r>
      <w:proofErr w:type="spellStart"/>
      <w:r w:rsidRPr="004E2B39">
        <w:t>artículos</w:t>
      </w:r>
      <w:proofErr w:type="spellEnd"/>
      <w:r w:rsidRPr="004E2B39">
        <w:t xml:space="preserve"> 8.1 (</w:t>
      </w:r>
      <w:proofErr w:type="spellStart"/>
      <w:r w:rsidRPr="004E2B39">
        <w:t>garantías</w:t>
      </w:r>
      <w:proofErr w:type="spellEnd"/>
      <w:r w:rsidRPr="004E2B39">
        <w:t xml:space="preserve"> judiciales) y 25.1 (protección judicial) de la Convención Americana, en </w:t>
      </w:r>
      <w:proofErr w:type="spellStart"/>
      <w:r w:rsidRPr="004E2B39">
        <w:t>relación</w:t>
      </w:r>
      <w:proofErr w:type="spellEnd"/>
      <w:r w:rsidRPr="004E2B39">
        <w:t xml:space="preserve"> con el artículo 24 del mismo tratado (derecho a la igualdad ante la ley), y con las obligaciones previstas en el artículo 1.1 de la misma Convención y en su artículo 2, que establece el deber de adoptar disposiciones de derecho interno, y el artículo 7.b de la Convención de </w:t>
      </w:r>
      <w:proofErr w:type="spellStart"/>
      <w:r w:rsidRPr="004E2B39">
        <w:t>Belém</w:t>
      </w:r>
      <w:proofErr w:type="spellEnd"/>
      <w:r w:rsidRPr="004E2B39">
        <w:t xml:space="preserve"> do Pará (obligación de actuar con debida diligencia para prevenir, investigar y sancionar la violencia contra la mujer). En perjuicio de las mismas personas la Corte determinó también la </w:t>
      </w:r>
      <w:proofErr w:type="spellStart"/>
      <w:r w:rsidRPr="004E2B39">
        <w:t>violación</w:t>
      </w:r>
      <w:proofErr w:type="spellEnd"/>
      <w:r w:rsidRPr="004E2B39">
        <w:t xml:space="preserve"> del artículo 5.1 (derecho a la integridad personal) de la Convención Americana.</w:t>
      </w:r>
    </w:p>
  </w:footnote>
  <w:footnote w:id="33">
    <w:p w14:paraId="61D563F4" w14:textId="77777777" w:rsidR="007269CF" w:rsidRPr="004E2B39" w:rsidRDefault="007269CF" w:rsidP="004E2B39">
      <w:pPr>
        <w:pStyle w:val="Footnotes"/>
        <w:rPr>
          <w:rStyle w:val="Refdenotaalpie"/>
          <w:vertAlign w:val="baseline"/>
        </w:rPr>
      </w:pPr>
      <w:r w:rsidRPr="004E2B39">
        <w:rPr>
          <w:rStyle w:val="Refdenotaalpie"/>
        </w:rPr>
        <w:footnoteRef/>
      </w:r>
      <w:r w:rsidRPr="004E2B39">
        <w:rPr>
          <w:rStyle w:val="Refdenotaalpie"/>
        </w:rPr>
        <w:t xml:space="preserve"> </w:t>
      </w:r>
      <w:r w:rsidRPr="004E2B39">
        <w:t xml:space="preserve">El 8 de febrero de 2018 la Corte Interamericana de Derechos Humanos dictó una Sentencia, mediante la cual declaró responsable internacionalmente al Estado de Venezuela por la </w:t>
      </w:r>
      <w:proofErr w:type="spellStart"/>
      <w:r w:rsidRPr="004E2B39">
        <w:t>terminación</w:t>
      </w:r>
      <w:proofErr w:type="spellEnd"/>
      <w:r w:rsidRPr="004E2B39">
        <w:t xml:space="preserve"> arbitraria de los contratos laborales que las </w:t>
      </w:r>
      <w:proofErr w:type="spellStart"/>
      <w:r w:rsidRPr="004E2B39">
        <w:t>señoras</w:t>
      </w:r>
      <w:proofErr w:type="spellEnd"/>
      <w:r w:rsidRPr="004E2B39">
        <w:t xml:space="preserve"> </w:t>
      </w:r>
      <w:proofErr w:type="spellStart"/>
      <w:r w:rsidRPr="004E2B39">
        <w:t>Rocío</w:t>
      </w:r>
      <w:proofErr w:type="spellEnd"/>
      <w:r w:rsidRPr="004E2B39">
        <w:t xml:space="preserve"> San Miguel Sosa, </w:t>
      </w:r>
      <w:proofErr w:type="spellStart"/>
      <w:r w:rsidRPr="004E2B39">
        <w:t>Magally</w:t>
      </w:r>
      <w:proofErr w:type="spellEnd"/>
      <w:r w:rsidRPr="004E2B39">
        <w:t xml:space="preserve"> Chang </w:t>
      </w:r>
      <w:proofErr w:type="spellStart"/>
      <w:r w:rsidRPr="004E2B39">
        <w:t>Girón</w:t>
      </w:r>
      <w:proofErr w:type="spellEnd"/>
      <w:r w:rsidRPr="004E2B39">
        <w:t xml:space="preserve"> y Thais Coromoto </w:t>
      </w:r>
      <w:proofErr w:type="spellStart"/>
      <w:r w:rsidRPr="004E2B39">
        <w:t>Peña</w:t>
      </w:r>
      <w:proofErr w:type="spellEnd"/>
      <w:r w:rsidRPr="004E2B39">
        <w:t xml:space="preserve"> </w:t>
      </w:r>
      <w:proofErr w:type="spellStart"/>
      <w:r w:rsidRPr="004E2B39">
        <w:t>tenían</w:t>
      </w:r>
      <w:proofErr w:type="spellEnd"/>
      <w:r w:rsidRPr="004E2B39">
        <w:t xml:space="preserve"> con el Consejo Nacional de Fronteras, organismo adscrito al Ministerio de Relaciones Exteriores de Venezuela. Ello se dio como consecuencia de una </w:t>
      </w:r>
      <w:proofErr w:type="spellStart"/>
      <w:r w:rsidRPr="004E2B39">
        <w:t>desviación</w:t>
      </w:r>
      <w:proofErr w:type="spellEnd"/>
      <w:r w:rsidRPr="004E2B39">
        <w:t xml:space="preserve"> de poder motivada por una voluntad de represalia en su contra por haber firmado una solicitud de </w:t>
      </w:r>
      <w:proofErr w:type="spellStart"/>
      <w:r w:rsidRPr="004E2B39">
        <w:t>referéndum</w:t>
      </w:r>
      <w:proofErr w:type="spellEnd"/>
      <w:r w:rsidRPr="004E2B39">
        <w:t xml:space="preserve"> revocatorio del mandato del entonces Presidente de la </w:t>
      </w:r>
      <w:proofErr w:type="spellStart"/>
      <w:r w:rsidRPr="004E2B39">
        <w:t>República</w:t>
      </w:r>
      <w:proofErr w:type="spellEnd"/>
      <w:r w:rsidRPr="004E2B39">
        <w:t xml:space="preserve"> Hugo </w:t>
      </w:r>
      <w:proofErr w:type="spellStart"/>
      <w:r w:rsidRPr="004E2B39">
        <w:t>Cháves</w:t>
      </w:r>
      <w:proofErr w:type="spellEnd"/>
      <w:r w:rsidRPr="004E2B39">
        <w:t xml:space="preserve"> </w:t>
      </w:r>
      <w:proofErr w:type="spellStart"/>
      <w:r w:rsidRPr="004E2B39">
        <w:t>Frías</w:t>
      </w:r>
      <w:proofErr w:type="spellEnd"/>
      <w:r w:rsidRPr="004E2B39">
        <w:t xml:space="preserve"> en diciembre de 2003, en un contexto de denuncias de represalias y </w:t>
      </w:r>
      <w:proofErr w:type="spellStart"/>
      <w:r w:rsidRPr="004E2B39">
        <w:t>persecución</w:t>
      </w:r>
      <w:proofErr w:type="spellEnd"/>
      <w:r w:rsidRPr="004E2B39">
        <w:t xml:space="preserve"> </w:t>
      </w:r>
      <w:proofErr w:type="spellStart"/>
      <w:r w:rsidRPr="004E2B39">
        <w:t>política</w:t>
      </w:r>
      <w:proofErr w:type="spellEnd"/>
      <w:r w:rsidRPr="004E2B39">
        <w:t xml:space="preserve"> y en particular luego de haber aparecido sus nombres en la llamada “lista </w:t>
      </w:r>
      <w:proofErr w:type="spellStart"/>
      <w:r w:rsidRPr="004E2B39">
        <w:t>Tascón</w:t>
      </w:r>
      <w:proofErr w:type="spellEnd"/>
      <w:r w:rsidRPr="004E2B39">
        <w:t xml:space="preserve">”. Por lo anterior, la Corte declaró que el Estado es responsable por la </w:t>
      </w:r>
      <w:proofErr w:type="spellStart"/>
      <w:r w:rsidRPr="004E2B39">
        <w:t>violación</w:t>
      </w:r>
      <w:proofErr w:type="spellEnd"/>
      <w:r w:rsidRPr="004E2B39">
        <w:t xml:space="preserve"> de sus derechos a la </w:t>
      </w:r>
      <w:proofErr w:type="spellStart"/>
      <w:r w:rsidRPr="004E2B39">
        <w:t>participación</w:t>
      </w:r>
      <w:proofErr w:type="spellEnd"/>
      <w:r w:rsidRPr="004E2B39">
        <w:t xml:space="preserve"> </w:t>
      </w:r>
      <w:proofErr w:type="spellStart"/>
      <w:r w:rsidRPr="004E2B39">
        <w:t>política</w:t>
      </w:r>
      <w:proofErr w:type="spellEnd"/>
      <w:r w:rsidRPr="004E2B39">
        <w:t xml:space="preserve"> y libertad de pensamiento y </w:t>
      </w:r>
      <w:proofErr w:type="spellStart"/>
      <w:r w:rsidRPr="004E2B39">
        <w:t>expresión</w:t>
      </w:r>
      <w:proofErr w:type="spellEnd"/>
      <w:r w:rsidRPr="004E2B39">
        <w:t xml:space="preserve">, en </w:t>
      </w:r>
      <w:proofErr w:type="spellStart"/>
      <w:r w:rsidRPr="004E2B39">
        <w:t>relación</w:t>
      </w:r>
      <w:proofErr w:type="spellEnd"/>
      <w:r w:rsidRPr="004E2B39">
        <w:t xml:space="preserve"> con el principio de no discriminación. </w:t>
      </w:r>
      <w:proofErr w:type="spellStart"/>
      <w:r w:rsidRPr="004E2B39">
        <w:t>Además</w:t>
      </w:r>
      <w:proofErr w:type="spellEnd"/>
      <w:r w:rsidRPr="004E2B39">
        <w:t xml:space="preserve">, la Corte concluyó que el Estado es responsable por haber incumplido su obligación de garantizar los derechos de acceso a la justicia y a un recurso efectivo para tutelar los derechos de las </w:t>
      </w:r>
      <w:proofErr w:type="spellStart"/>
      <w:r w:rsidRPr="004E2B39">
        <w:t>víctimas</w:t>
      </w:r>
      <w:proofErr w:type="spellEnd"/>
      <w:r w:rsidRPr="004E2B39">
        <w:t xml:space="preserve"> y, en </w:t>
      </w:r>
      <w:proofErr w:type="spellStart"/>
      <w:r w:rsidRPr="004E2B39">
        <w:t>razón</w:t>
      </w:r>
      <w:proofErr w:type="spellEnd"/>
      <w:r w:rsidRPr="004E2B39">
        <w:t xml:space="preserve"> de la </w:t>
      </w:r>
      <w:proofErr w:type="spellStart"/>
      <w:r w:rsidRPr="004E2B39">
        <w:t>terminación</w:t>
      </w:r>
      <w:proofErr w:type="spellEnd"/>
      <w:r w:rsidRPr="004E2B39">
        <w:t xml:space="preserve"> arbitraria de su </w:t>
      </w:r>
      <w:proofErr w:type="spellStart"/>
      <w:r w:rsidRPr="004E2B39">
        <w:t>relación</w:t>
      </w:r>
      <w:proofErr w:type="spellEnd"/>
      <w:r w:rsidRPr="004E2B39">
        <w:t xml:space="preserve"> laboral, por la </w:t>
      </w:r>
      <w:proofErr w:type="spellStart"/>
      <w:r w:rsidRPr="004E2B39">
        <w:t>violación</w:t>
      </w:r>
      <w:proofErr w:type="spellEnd"/>
      <w:r w:rsidRPr="004E2B39">
        <w:t xml:space="preserve"> de su derecho al trabajo.</w:t>
      </w:r>
    </w:p>
  </w:footnote>
  <w:footnote w:id="34">
    <w:p w14:paraId="52686560" w14:textId="77777777" w:rsidR="007269CF" w:rsidRPr="004E2B39" w:rsidRDefault="007269CF" w:rsidP="004E2B39">
      <w:pPr>
        <w:pStyle w:val="Footnotes"/>
      </w:pPr>
      <w:r w:rsidRPr="004E2B39">
        <w:rPr>
          <w:rStyle w:val="Refdenotaalpie"/>
        </w:rPr>
        <w:footnoteRef/>
      </w:r>
      <w:r w:rsidRPr="004E2B39">
        <w:rPr>
          <w:rStyle w:val="Refdenotaalpie"/>
        </w:rPr>
        <w:t xml:space="preserve"> </w:t>
      </w:r>
      <w:r w:rsidRPr="004E2B39">
        <w:t xml:space="preserve">El 20 de noviembre de 2018 la Corte Interamericana de Derechos Humanos dictó una Sentencia, mediante la cual declaró responsable internacionalmente al Estado de Colombia por la </w:t>
      </w:r>
      <w:proofErr w:type="spellStart"/>
      <w:r w:rsidRPr="004E2B39">
        <w:t>desaparición</w:t>
      </w:r>
      <w:proofErr w:type="spellEnd"/>
      <w:r w:rsidRPr="004E2B39">
        <w:t xml:space="preserve"> forzada del </w:t>
      </w:r>
      <w:proofErr w:type="spellStart"/>
      <w:r w:rsidRPr="004E2B39">
        <w:t>señor</w:t>
      </w:r>
      <w:proofErr w:type="spellEnd"/>
      <w:r w:rsidRPr="004E2B39">
        <w:t xml:space="preserve"> </w:t>
      </w:r>
      <w:proofErr w:type="spellStart"/>
      <w:r w:rsidRPr="004E2B39">
        <w:t>Víctor</w:t>
      </w:r>
      <w:proofErr w:type="spellEnd"/>
      <w:r w:rsidRPr="004E2B39">
        <w:t xml:space="preserve"> Manuel Isaza Uribe, ocurrida el 19 de noviembre de 1987en el municipio de Puerto </w:t>
      </w:r>
      <w:proofErr w:type="spellStart"/>
      <w:r w:rsidRPr="004E2B39">
        <w:t>Nare</w:t>
      </w:r>
      <w:proofErr w:type="spellEnd"/>
      <w:r w:rsidRPr="004E2B39">
        <w:t xml:space="preserve">, Departamento de Antioquia, cuando un grupo de hombres no identificados lo sustrajeron de la </w:t>
      </w:r>
      <w:proofErr w:type="spellStart"/>
      <w:r w:rsidRPr="004E2B39">
        <w:t>cárcel</w:t>
      </w:r>
      <w:proofErr w:type="spellEnd"/>
      <w:r w:rsidRPr="004E2B39">
        <w:t xml:space="preserve"> del municipio, mientras se encontraba en </w:t>
      </w:r>
      <w:proofErr w:type="spellStart"/>
      <w:r w:rsidRPr="004E2B39">
        <w:t>detención</w:t>
      </w:r>
      <w:proofErr w:type="spellEnd"/>
      <w:r w:rsidRPr="004E2B39">
        <w:t xml:space="preserve"> preventiva. </w:t>
      </w:r>
      <w:proofErr w:type="spellStart"/>
      <w:r w:rsidRPr="004E2B39">
        <w:t>Él</w:t>
      </w:r>
      <w:proofErr w:type="spellEnd"/>
      <w:r w:rsidRPr="004E2B39">
        <w:t xml:space="preserve"> era miembro del Sindicato </w:t>
      </w:r>
      <w:proofErr w:type="spellStart"/>
      <w:r w:rsidRPr="004E2B39">
        <w:t>Único</w:t>
      </w:r>
      <w:proofErr w:type="spellEnd"/>
      <w:r w:rsidRPr="004E2B39">
        <w:t xml:space="preserve"> de Trabajadores de la Industria de Materiales de la </w:t>
      </w:r>
      <w:proofErr w:type="spellStart"/>
      <w:r w:rsidRPr="004E2B39">
        <w:t>Construcción</w:t>
      </w:r>
      <w:proofErr w:type="spellEnd"/>
      <w:r w:rsidRPr="004E2B39">
        <w:t xml:space="preserve"> (SUTIMAC) y simpatizante del partido </w:t>
      </w:r>
      <w:proofErr w:type="spellStart"/>
      <w:r w:rsidRPr="004E2B39">
        <w:t>político</w:t>
      </w:r>
      <w:proofErr w:type="spellEnd"/>
      <w:r w:rsidRPr="004E2B39">
        <w:t xml:space="preserve"> </w:t>
      </w:r>
      <w:proofErr w:type="spellStart"/>
      <w:r w:rsidRPr="004E2B39">
        <w:t>Unión</w:t>
      </w:r>
      <w:proofErr w:type="spellEnd"/>
      <w:r w:rsidRPr="004E2B39">
        <w:t xml:space="preserve"> </w:t>
      </w:r>
      <w:proofErr w:type="spellStart"/>
      <w:r w:rsidRPr="004E2B39">
        <w:t>Patriótica</w:t>
      </w:r>
      <w:proofErr w:type="spellEnd"/>
      <w:r w:rsidRPr="004E2B39">
        <w:t xml:space="preserve"> (UP). En </w:t>
      </w:r>
      <w:proofErr w:type="spellStart"/>
      <w:r w:rsidRPr="004E2B39">
        <w:t>relación</w:t>
      </w:r>
      <w:proofErr w:type="spellEnd"/>
      <w:r w:rsidRPr="004E2B39">
        <w:t xml:space="preserve"> con las versiones sobre </w:t>
      </w:r>
      <w:proofErr w:type="spellStart"/>
      <w:r w:rsidRPr="004E2B39">
        <w:t>cómo</w:t>
      </w:r>
      <w:proofErr w:type="spellEnd"/>
      <w:r w:rsidRPr="004E2B39">
        <w:t xml:space="preserve"> ocurrieron los hechos, la Corte consideró que existen elementos para calificarlos como una </w:t>
      </w:r>
      <w:proofErr w:type="spellStart"/>
      <w:r w:rsidRPr="004E2B39">
        <w:t>desaparición</w:t>
      </w:r>
      <w:proofErr w:type="spellEnd"/>
      <w:r w:rsidRPr="004E2B39">
        <w:t xml:space="preserve"> forzada llevada a cabo por miembros de grupos paramilitares con aquiescencia de agentes estatales, en un contexto en que estaban vigentes marcos normativos que propiciaron el paramilitarismo y la </w:t>
      </w:r>
      <w:proofErr w:type="spellStart"/>
      <w:r w:rsidRPr="004E2B39">
        <w:t>identificación</w:t>
      </w:r>
      <w:proofErr w:type="spellEnd"/>
      <w:r w:rsidRPr="004E2B39">
        <w:t xml:space="preserve"> de sindicalistas dentro de la </w:t>
      </w:r>
      <w:proofErr w:type="spellStart"/>
      <w:r w:rsidRPr="004E2B39">
        <w:t>noción</w:t>
      </w:r>
      <w:proofErr w:type="spellEnd"/>
      <w:r w:rsidRPr="004E2B39">
        <w:t xml:space="preserve"> de “enemigo interno”. La Corte consideró responsable al Estado por la </w:t>
      </w:r>
      <w:proofErr w:type="spellStart"/>
      <w:r w:rsidRPr="004E2B39">
        <w:t>violación</w:t>
      </w:r>
      <w:proofErr w:type="spellEnd"/>
      <w:r w:rsidRPr="004E2B39">
        <w:t xml:space="preserve"> de los derechos a la personalidad </w:t>
      </w:r>
      <w:proofErr w:type="spellStart"/>
      <w:r w:rsidRPr="004E2B39">
        <w:t>jurídica</w:t>
      </w:r>
      <w:proofErr w:type="spellEnd"/>
      <w:r w:rsidRPr="004E2B39">
        <w:t xml:space="preserve">, a la vida, a la integridad personal, a la libertad personal y a la libertad sindical por ese hecho, </w:t>
      </w:r>
      <w:proofErr w:type="spellStart"/>
      <w:r w:rsidRPr="004E2B39">
        <w:t>asi</w:t>
      </w:r>
      <w:proofErr w:type="spellEnd"/>
      <w:r w:rsidRPr="004E2B39">
        <w:t xml:space="preserve">́ como de los derechos a las </w:t>
      </w:r>
      <w:proofErr w:type="spellStart"/>
      <w:r w:rsidRPr="004E2B39">
        <w:t>garantías</w:t>
      </w:r>
      <w:proofErr w:type="spellEnd"/>
      <w:r w:rsidRPr="004E2B39">
        <w:t xml:space="preserve"> judiciales, a la protección judicial y a conocer la verdad y del derecho a la integridad personal de los familiares.</w:t>
      </w:r>
    </w:p>
  </w:footnote>
  <w:footnote w:id="35">
    <w:p w14:paraId="4640858C" w14:textId="77777777"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rStyle w:val="Refdenotaalpie"/>
          <w:vertAlign w:val="baseline"/>
        </w:rPr>
        <w:t xml:space="preserve"> </w:t>
      </w:r>
      <w:r w:rsidRPr="004E2B39">
        <w:rPr>
          <w:lang w:eastAsia="es-ES_tradnl"/>
        </w:rPr>
        <w:t xml:space="preserve">El 26 de febrero de 2016 la Corte Interamericana de Derechos Humanos dictó una Sentencia, mediante la cual declaró responsable internacionalmente al Estado de Colombia por la </w:t>
      </w:r>
      <w:proofErr w:type="spellStart"/>
      <w:r w:rsidRPr="004E2B39">
        <w:rPr>
          <w:lang w:eastAsia="es-ES_tradnl"/>
        </w:rPr>
        <w:t>violación</w:t>
      </w:r>
      <w:proofErr w:type="spellEnd"/>
      <w:r w:rsidRPr="004E2B39">
        <w:rPr>
          <w:lang w:eastAsia="es-ES_tradnl"/>
        </w:rPr>
        <w:t xml:space="preserve"> al derecho a la igualdad ante la ley y a la no discriminación en perjuicio de </w:t>
      </w:r>
      <w:proofErr w:type="spellStart"/>
      <w:r w:rsidRPr="004E2B39">
        <w:rPr>
          <w:lang w:eastAsia="es-ES_tradnl"/>
        </w:rPr>
        <w:t>Angel</w:t>
      </w:r>
      <w:proofErr w:type="spellEnd"/>
      <w:r w:rsidRPr="004E2B39">
        <w:rPr>
          <w:lang w:eastAsia="es-ES_tradnl"/>
        </w:rPr>
        <w:t xml:space="preserve"> Alberto Duque, por no haberle permitido acceder en condiciones de igualdad a la </w:t>
      </w:r>
      <w:proofErr w:type="spellStart"/>
      <w:r w:rsidRPr="004E2B39">
        <w:rPr>
          <w:lang w:eastAsia="es-ES_tradnl"/>
        </w:rPr>
        <w:t>pensión</w:t>
      </w:r>
      <w:proofErr w:type="spellEnd"/>
      <w:r w:rsidRPr="004E2B39">
        <w:rPr>
          <w:lang w:eastAsia="es-ES_tradnl"/>
        </w:rPr>
        <w:t xml:space="preserve"> de sobrevivencia, luego de la </w:t>
      </w:r>
      <w:proofErr w:type="spellStart"/>
      <w:r w:rsidRPr="004E2B39">
        <w:rPr>
          <w:lang w:eastAsia="es-ES_tradnl"/>
        </w:rPr>
        <w:t>defunción</w:t>
      </w:r>
      <w:proofErr w:type="spellEnd"/>
      <w:r w:rsidRPr="004E2B39">
        <w:rPr>
          <w:lang w:eastAsia="es-ES_tradnl"/>
        </w:rPr>
        <w:t xml:space="preserve"> de su pareja, con base en el hecho de que se trataba de una pareja del mismo sexo. En aquel momento, la normatividad interna colombiana </w:t>
      </w:r>
      <w:proofErr w:type="spellStart"/>
      <w:r w:rsidRPr="004E2B39">
        <w:rPr>
          <w:lang w:eastAsia="es-ES_tradnl"/>
        </w:rPr>
        <w:t>disponía</w:t>
      </w:r>
      <w:proofErr w:type="spellEnd"/>
      <w:r w:rsidRPr="004E2B39">
        <w:rPr>
          <w:lang w:eastAsia="es-ES_tradnl"/>
        </w:rPr>
        <w:t xml:space="preserve"> que </w:t>
      </w:r>
      <w:proofErr w:type="spellStart"/>
      <w:r w:rsidRPr="004E2B39">
        <w:rPr>
          <w:lang w:eastAsia="es-ES_tradnl"/>
        </w:rPr>
        <w:t>únicamente</w:t>
      </w:r>
      <w:proofErr w:type="spellEnd"/>
      <w:r w:rsidRPr="004E2B39">
        <w:rPr>
          <w:lang w:eastAsia="es-ES_tradnl"/>
        </w:rPr>
        <w:t xml:space="preserve"> el </w:t>
      </w:r>
      <w:proofErr w:type="spellStart"/>
      <w:r w:rsidRPr="004E2B39">
        <w:rPr>
          <w:lang w:eastAsia="es-ES_tradnl"/>
        </w:rPr>
        <w:t>cónyuge</w:t>
      </w:r>
      <w:proofErr w:type="spellEnd"/>
      <w:r w:rsidRPr="004E2B39">
        <w:rPr>
          <w:lang w:eastAsia="es-ES_tradnl"/>
        </w:rPr>
        <w:t xml:space="preserve"> o el </w:t>
      </w:r>
      <w:proofErr w:type="spellStart"/>
      <w:r w:rsidRPr="004E2B39">
        <w:rPr>
          <w:lang w:eastAsia="es-ES_tradnl"/>
        </w:rPr>
        <w:t>compañero</w:t>
      </w:r>
      <w:proofErr w:type="spellEnd"/>
      <w:r w:rsidRPr="004E2B39">
        <w:rPr>
          <w:lang w:eastAsia="es-ES_tradnl"/>
        </w:rPr>
        <w:t xml:space="preserve"> o </w:t>
      </w:r>
      <w:proofErr w:type="spellStart"/>
      <w:r w:rsidRPr="004E2B39">
        <w:rPr>
          <w:lang w:eastAsia="es-ES_tradnl"/>
        </w:rPr>
        <w:t>compañera</w:t>
      </w:r>
      <w:proofErr w:type="spellEnd"/>
      <w:r w:rsidRPr="004E2B39">
        <w:rPr>
          <w:lang w:eastAsia="es-ES_tradnl"/>
        </w:rPr>
        <w:t xml:space="preserve"> permanente sobreviviente de sexo diferente al del causante </w:t>
      </w:r>
      <w:proofErr w:type="spellStart"/>
      <w:r w:rsidRPr="004E2B39">
        <w:rPr>
          <w:lang w:eastAsia="es-ES_tradnl"/>
        </w:rPr>
        <w:t>tenía</w:t>
      </w:r>
      <w:proofErr w:type="spellEnd"/>
      <w:r w:rsidRPr="004E2B39">
        <w:rPr>
          <w:lang w:eastAsia="es-ES_tradnl"/>
        </w:rPr>
        <w:t xml:space="preserve"> derecho a la </w:t>
      </w:r>
      <w:proofErr w:type="spellStart"/>
      <w:r w:rsidRPr="004E2B39">
        <w:rPr>
          <w:lang w:eastAsia="es-ES_tradnl"/>
        </w:rPr>
        <w:t>pensión</w:t>
      </w:r>
      <w:proofErr w:type="spellEnd"/>
      <w:r w:rsidRPr="004E2B39">
        <w:rPr>
          <w:lang w:eastAsia="es-ES_tradnl"/>
        </w:rPr>
        <w:t xml:space="preserve"> de sobrevivencia. </w:t>
      </w:r>
    </w:p>
  </w:footnote>
  <w:footnote w:id="36">
    <w:p w14:paraId="3450204E" w14:textId="77777777" w:rsidR="007269CF" w:rsidRPr="004E2B39" w:rsidRDefault="007269CF" w:rsidP="004E2B39">
      <w:pPr>
        <w:pStyle w:val="Footnotes"/>
      </w:pPr>
      <w:r w:rsidRPr="004E2B39">
        <w:rPr>
          <w:rStyle w:val="Refdenotaalpie"/>
          <w:vertAlign w:val="baseline"/>
        </w:rPr>
        <w:footnoteRef/>
      </w:r>
      <w:r w:rsidRPr="004E2B39">
        <w:rPr>
          <w:rStyle w:val="Refdenotaalpie"/>
          <w:vertAlign w:val="baseline"/>
        </w:rPr>
        <w:t xml:space="preserve"> </w:t>
      </w:r>
      <w:r w:rsidRPr="004E2B39">
        <w:rPr>
          <w:rStyle w:val="Refdenotaalpie"/>
          <w:vertAlign w:val="baseline"/>
        </w:rPr>
        <w:tab/>
      </w:r>
      <w:r w:rsidRPr="004E2B39">
        <w:t xml:space="preserve">Caso Perozo y otros Vs. Venezuela. Excepciones Preliminares, Fondo, Reparaciones y Costas. Sentencia de 28 de enero de 2009. Serie C No. 195, párr. 380, y Caso Ríos y otros vs. Venezuela. Excepciones Preliminares, Fondo, Reparaciones y Costas. Sentencia de 28 de enero de 2009. Serie C No. 194, párr. 349. </w:t>
      </w:r>
    </w:p>
  </w:footnote>
  <w:footnote w:id="37">
    <w:p w14:paraId="74C8F45B" w14:textId="7F5380B2" w:rsidR="007269CF" w:rsidRPr="004E2B39" w:rsidRDefault="007269CF" w:rsidP="004E2B39">
      <w:pPr>
        <w:pStyle w:val="Footnotes"/>
      </w:pPr>
      <w:r w:rsidRPr="004E2B39">
        <w:rPr>
          <w:rStyle w:val="Refdenotaalpie"/>
        </w:rPr>
        <w:footnoteRef/>
      </w:r>
      <w:r w:rsidRPr="004E2B39">
        <w:rPr>
          <w:vertAlign w:val="superscript"/>
        </w:rPr>
        <w:t xml:space="preserve"> </w:t>
      </w:r>
      <w:r w:rsidRPr="004E2B39">
        <w:t xml:space="preserve">El 3 de junio de 2021 la Corte Interamericana de Derechos Humanos dictó Sentencia mediante la cual declaró internacionalmente responsable a la </w:t>
      </w:r>
      <w:proofErr w:type="spellStart"/>
      <w:r w:rsidRPr="004E2B39">
        <w:t>República</w:t>
      </w:r>
      <w:proofErr w:type="spellEnd"/>
      <w:r w:rsidRPr="004E2B39">
        <w:t xml:space="preserve"> Bolivariana de Venezuela por la </w:t>
      </w:r>
      <w:proofErr w:type="spellStart"/>
      <w:r w:rsidRPr="004E2B39">
        <w:t>violación</w:t>
      </w:r>
      <w:proofErr w:type="spellEnd"/>
      <w:r w:rsidRPr="004E2B39">
        <w:t xml:space="preserve">: i) en perjuicio de Jimmy Guerrero,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4.1, 5.1, 5.2, 7.1, 7.2, 7.3, 7.4, 7.5, 8.1 y 25.1 de la Convención Americana sobre Derechos Humanos, en </w:t>
      </w:r>
      <w:proofErr w:type="spellStart"/>
      <w:r w:rsidRPr="004E2B39">
        <w:t>relación</w:t>
      </w:r>
      <w:proofErr w:type="spellEnd"/>
      <w:r w:rsidRPr="004E2B39">
        <w:t xml:space="preserve"> con su artículo 1.1, </w:t>
      </w:r>
      <w:proofErr w:type="spellStart"/>
      <w:r w:rsidRPr="004E2B39">
        <w:t>asi</w:t>
      </w:r>
      <w:proofErr w:type="spellEnd"/>
      <w:r w:rsidRPr="004E2B39">
        <w:t xml:space="preserve">́ como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1, 6 y 8 de la Convención Interamericana para Prevenir y Sancionar la Tortura; ii) en perjuicio de </w:t>
      </w:r>
      <w:proofErr w:type="spellStart"/>
      <w:r w:rsidRPr="004E2B39">
        <w:t>Ramón</w:t>
      </w:r>
      <w:proofErr w:type="spellEnd"/>
      <w:r w:rsidRPr="004E2B39">
        <w:t xml:space="preserve"> Molina, por la </w:t>
      </w:r>
      <w:proofErr w:type="spellStart"/>
      <w:r w:rsidRPr="004E2B39">
        <w:t>violación</w:t>
      </w:r>
      <w:proofErr w:type="spellEnd"/>
      <w:r w:rsidRPr="004E2B39">
        <w:t xml:space="preserve"> del artículo 4.1 de la Convención Americana en </w:t>
      </w:r>
      <w:proofErr w:type="spellStart"/>
      <w:r w:rsidRPr="004E2B39">
        <w:t>relación</w:t>
      </w:r>
      <w:proofErr w:type="spellEnd"/>
      <w:r w:rsidRPr="004E2B39">
        <w:t xml:space="preserve"> con su artículo 1.1, y iii) de los </w:t>
      </w:r>
      <w:proofErr w:type="spellStart"/>
      <w:r w:rsidRPr="004E2B39">
        <w:t>artículos</w:t>
      </w:r>
      <w:proofErr w:type="spellEnd"/>
      <w:r w:rsidRPr="004E2B39">
        <w:t xml:space="preserve"> 5.1, 8.1 y 25.1 de la Convención Americana, en </w:t>
      </w:r>
      <w:proofErr w:type="spellStart"/>
      <w:r w:rsidRPr="004E2B39">
        <w:t>relación</w:t>
      </w:r>
      <w:proofErr w:type="spellEnd"/>
      <w:r w:rsidRPr="004E2B39">
        <w:t xml:space="preserve"> con su artículo 1.1, y los </w:t>
      </w:r>
      <w:proofErr w:type="spellStart"/>
      <w:r w:rsidRPr="004E2B39">
        <w:t>artículos</w:t>
      </w:r>
      <w:proofErr w:type="spellEnd"/>
      <w:r w:rsidRPr="004E2B39">
        <w:t xml:space="preserve"> 1, 6 y 8 de la Convención Interamericana para Prevenir y Sancionar la Tortura, en perjuicio de los familiares de Jimmy Guerrero y </w:t>
      </w:r>
      <w:proofErr w:type="spellStart"/>
      <w:r w:rsidRPr="004E2B39">
        <w:t>Ramón</w:t>
      </w:r>
      <w:proofErr w:type="spellEnd"/>
      <w:r w:rsidRPr="004E2B39">
        <w:t xml:space="preserve"> Molina.</w:t>
      </w:r>
    </w:p>
  </w:footnote>
  <w:footnote w:id="38">
    <w:p w14:paraId="26AE4DF8" w14:textId="1A4C3877" w:rsidR="007269CF" w:rsidRPr="004E2B39" w:rsidRDefault="007269CF" w:rsidP="004E2B39">
      <w:pPr>
        <w:pStyle w:val="Footnotes"/>
      </w:pPr>
      <w:r w:rsidRPr="004E2B39">
        <w:rPr>
          <w:rStyle w:val="Refdenotaalpie"/>
        </w:rPr>
        <w:footnoteRef/>
      </w:r>
      <w:r w:rsidRPr="004E2B39">
        <w:rPr>
          <w:rStyle w:val="Refdenotaalpie"/>
          <w:vertAlign w:val="baseline"/>
        </w:rPr>
        <w:t xml:space="preserve"> </w:t>
      </w:r>
      <w:r w:rsidRPr="004E2B39">
        <w:t xml:space="preserve">El 26 de septiembre de 2018 la Corte Interamericana de Derechos Humanos </w:t>
      </w:r>
      <w:proofErr w:type="spellStart"/>
      <w:r w:rsidRPr="004E2B39">
        <w:t>emitio</w:t>
      </w:r>
      <w:proofErr w:type="spellEnd"/>
      <w:r w:rsidRPr="004E2B39">
        <w:t xml:space="preserve">́ una Sentencia, mediante la cual declaró responsable internacionalmente a la </w:t>
      </w:r>
      <w:proofErr w:type="spellStart"/>
      <w:r w:rsidRPr="004E2B39">
        <w:t>República</w:t>
      </w:r>
      <w:proofErr w:type="spellEnd"/>
      <w:r w:rsidRPr="004E2B39">
        <w:t xml:space="preserve"> Bolivariana de Venezuela por la </w:t>
      </w:r>
      <w:proofErr w:type="spellStart"/>
      <w:r w:rsidRPr="004E2B39">
        <w:t>violación</w:t>
      </w:r>
      <w:proofErr w:type="spellEnd"/>
      <w:r w:rsidRPr="004E2B39">
        <w:t xml:space="preserve"> de los derechos al reconocimiento de la personalidad </w:t>
      </w:r>
      <w:proofErr w:type="spellStart"/>
      <w:r w:rsidRPr="004E2B39">
        <w:t>jurídica</w:t>
      </w:r>
      <w:proofErr w:type="spellEnd"/>
      <w:r w:rsidRPr="004E2B39">
        <w:t xml:space="preserve">, integridad personal, </w:t>
      </w:r>
      <w:proofErr w:type="spellStart"/>
      <w:r w:rsidRPr="004E2B39">
        <w:t>prohibición</w:t>
      </w:r>
      <w:proofErr w:type="spellEnd"/>
      <w:r w:rsidRPr="004E2B39">
        <w:t xml:space="preserve"> de la tortura y otros tratos crueles, inhumanos o degradantes, </w:t>
      </w:r>
      <w:proofErr w:type="spellStart"/>
      <w:r w:rsidRPr="004E2B39">
        <w:t>prohibición</w:t>
      </w:r>
      <w:proofErr w:type="spellEnd"/>
      <w:r w:rsidRPr="004E2B39">
        <w:t xml:space="preserve"> de la esclavitud, libertad personal, </w:t>
      </w:r>
      <w:proofErr w:type="spellStart"/>
      <w:r w:rsidRPr="004E2B39">
        <w:t>garantías</w:t>
      </w:r>
      <w:proofErr w:type="spellEnd"/>
      <w:r w:rsidRPr="004E2B39">
        <w:t xml:space="preserve"> judiciales, dignidad, </w:t>
      </w:r>
      <w:proofErr w:type="spellStart"/>
      <w:r w:rsidRPr="004E2B39">
        <w:t>autonomía</w:t>
      </w:r>
      <w:proofErr w:type="spellEnd"/>
      <w:r w:rsidRPr="004E2B39">
        <w:t xml:space="preserve"> y vida privada, </w:t>
      </w:r>
      <w:proofErr w:type="spellStart"/>
      <w:r w:rsidRPr="004E2B39">
        <w:t>circulación</w:t>
      </w:r>
      <w:proofErr w:type="spellEnd"/>
      <w:r w:rsidRPr="004E2B39">
        <w:t xml:space="preserve"> y residencia, igualdad ante la ley y protección judicial, en </w:t>
      </w:r>
      <w:proofErr w:type="spellStart"/>
      <w:r w:rsidRPr="004E2B39">
        <w:t>relación</w:t>
      </w:r>
      <w:proofErr w:type="spellEnd"/>
      <w:r w:rsidRPr="004E2B39">
        <w:t xml:space="preserve"> con las obligaciones de respetar y garantizar los derechos, de no discriminar, y de adoptar medidas de derecho interno, </w:t>
      </w:r>
      <w:proofErr w:type="spellStart"/>
      <w:r w:rsidRPr="004E2B39">
        <w:t>asi</w:t>
      </w:r>
      <w:proofErr w:type="spellEnd"/>
      <w:r w:rsidRPr="004E2B39">
        <w:t xml:space="preserve">́ como por el incumplimiento de las obligaciones derivadas del artículo 7 de la Convención Interamericana para Prevenir, Sancionar y Erradicar la Violencia contra la Mujer o Convención de </w:t>
      </w:r>
      <w:proofErr w:type="spellStart"/>
      <w:r w:rsidRPr="004E2B39">
        <w:t>Belém</w:t>
      </w:r>
      <w:proofErr w:type="spellEnd"/>
      <w:r w:rsidRPr="004E2B39">
        <w:t xml:space="preserve"> do Pará y de los </w:t>
      </w:r>
      <w:proofErr w:type="spellStart"/>
      <w:r w:rsidRPr="004E2B39">
        <w:t>artículos</w:t>
      </w:r>
      <w:proofErr w:type="spellEnd"/>
      <w:r w:rsidRPr="004E2B39">
        <w:t xml:space="preserve"> 1, 6 y 8 de la Convención Interamericana para Prevenir y Sancionar la Tortura, en perjuicio de Linda Loaiza </w:t>
      </w:r>
      <w:proofErr w:type="spellStart"/>
      <w:r w:rsidRPr="004E2B39">
        <w:t>López</w:t>
      </w:r>
      <w:proofErr w:type="spellEnd"/>
      <w:r w:rsidRPr="004E2B39">
        <w:t xml:space="preserve"> Soto. Asimismo, declaró la responsabilidad del Estado por la </w:t>
      </w:r>
      <w:proofErr w:type="spellStart"/>
      <w:r w:rsidRPr="004E2B39">
        <w:t>violación</w:t>
      </w:r>
      <w:proofErr w:type="spellEnd"/>
      <w:r w:rsidRPr="004E2B39">
        <w:t xml:space="preserve"> del derecho a la integridad personal de su grupo familiar.</w:t>
      </w:r>
    </w:p>
  </w:footnote>
  <w:footnote w:id="39">
    <w:p w14:paraId="07F1F7C4" w14:textId="77777777" w:rsidR="007269CF" w:rsidRPr="004E2B39" w:rsidRDefault="007269CF" w:rsidP="004E2B39">
      <w:pPr>
        <w:pStyle w:val="Footnotes"/>
      </w:pPr>
      <w:r w:rsidRPr="004E2B39">
        <w:rPr>
          <w:rStyle w:val="Refdenotaalpie"/>
        </w:rPr>
        <w:footnoteRef/>
      </w:r>
      <w:r w:rsidRPr="004E2B39">
        <w:rPr>
          <w:rStyle w:val="Refdenotaalpie"/>
          <w:vertAlign w:val="baseline"/>
        </w:rPr>
        <w:t xml:space="preserve"> </w:t>
      </w:r>
      <w:r w:rsidRPr="004E2B39">
        <w:t xml:space="preserve">El 8 de marzo de 2018 la Corte Interamericana de Derechos Humanos dictó Sentencia en la que declaró por unanimidad la responsabilidad internacional del Estado chileno por no garantizar al </w:t>
      </w:r>
      <w:proofErr w:type="spellStart"/>
      <w:r w:rsidRPr="004E2B39">
        <w:t>señor</w:t>
      </w:r>
      <w:proofErr w:type="spellEnd"/>
      <w:r w:rsidRPr="004E2B39">
        <w:t xml:space="preserve"> Vinicio Antonio Poblete Vilches su derecho a la salud sin discriminación, mediante servicios necesarios </w:t>
      </w:r>
      <w:proofErr w:type="spellStart"/>
      <w:r w:rsidRPr="004E2B39">
        <w:t>básicos</w:t>
      </w:r>
      <w:proofErr w:type="spellEnd"/>
      <w:r w:rsidRPr="004E2B39">
        <w:t xml:space="preserve"> y urgentes en atención a su situación especial de vulnerabilidad como persona adulta mayor, lo cual derivó en su muerte (</w:t>
      </w:r>
      <w:proofErr w:type="spellStart"/>
      <w:r w:rsidRPr="004E2B39">
        <w:t>artículos</w:t>
      </w:r>
      <w:proofErr w:type="spellEnd"/>
      <w:r w:rsidRPr="004E2B39">
        <w:t xml:space="preserve"> 26, 1.1 y 4 de la Convención Americana sobre Derechos Humanos, en adelante “la Convención”), </w:t>
      </w:r>
      <w:proofErr w:type="spellStart"/>
      <w:r w:rsidRPr="004E2B39">
        <w:t>asi</w:t>
      </w:r>
      <w:proofErr w:type="spellEnd"/>
      <w:r w:rsidRPr="004E2B39">
        <w:t xml:space="preserve">́ como por los sufrimientos derivados de la </w:t>
      </w:r>
      <w:proofErr w:type="spellStart"/>
      <w:r w:rsidRPr="004E2B39">
        <w:t>desatención</w:t>
      </w:r>
      <w:proofErr w:type="spellEnd"/>
      <w:r w:rsidRPr="004E2B39">
        <w:t xml:space="preserve"> del paciente (artículo 5 de la misma). Asimismo, la Corte declaró que el Estado vulneró el derecho a obtener el consentimiento informado por </w:t>
      </w:r>
      <w:proofErr w:type="spellStart"/>
      <w:r w:rsidRPr="004E2B39">
        <w:t>sustitución</w:t>
      </w:r>
      <w:proofErr w:type="spellEnd"/>
      <w:r w:rsidRPr="004E2B39">
        <w:t xml:space="preserve"> y al acceso a la </w:t>
      </w:r>
      <w:proofErr w:type="spellStart"/>
      <w:r w:rsidRPr="004E2B39">
        <w:t>información</w:t>
      </w:r>
      <w:proofErr w:type="spellEnd"/>
      <w:r w:rsidRPr="004E2B39">
        <w:t xml:space="preserve"> en materia de salud, en perjuicio del </w:t>
      </w:r>
      <w:proofErr w:type="spellStart"/>
      <w:r w:rsidRPr="004E2B39">
        <w:t>señor</w:t>
      </w:r>
      <w:proofErr w:type="spellEnd"/>
      <w:r w:rsidRPr="004E2B39">
        <w:t xml:space="preserve"> Poblete y de sus familiares (</w:t>
      </w:r>
      <w:proofErr w:type="spellStart"/>
      <w:r w:rsidRPr="004E2B39">
        <w:t>artículos</w:t>
      </w:r>
      <w:proofErr w:type="spellEnd"/>
      <w:r w:rsidRPr="004E2B39">
        <w:t xml:space="preserve"> 26, 13, 7 y 11, en </w:t>
      </w:r>
      <w:proofErr w:type="spellStart"/>
      <w:r w:rsidRPr="004E2B39">
        <w:t>relación</w:t>
      </w:r>
      <w:proofErr w:type="spellEnd"/>
      <w:r w:rsidRPr="004E2B39">
        <w:t xml:space="preserve"> con el artículo 1.1 de la Convención), </w:t>
      </w:r>
      <w:proofErr w:type="spellStart"/>
      <w:r w:rsidRPr="004E2B39">
        <w:t>asi</w:t>
      </w:r>
      <w:proofErr w:type="spellEnd"/>
      <w:r w:rsidRPr="004E2B39">
        <w:t>́ como el derecho al acceso a la justicia (</w:t>
      </w:r>
      <w:proofErr w:type="spellStart"/>
      <w:r w:rsidRPr="004E2B39">
        <w:t>artículos</w:t>
      </w:r>
      <w:proofErr w:type="spellEnd"/>
      <w:r w:rsidRPr="004E2B39">
        <w:t xml:space="preserve"> 8 y 25 de la misma) e integridad personal, en perjuicio de los familiares del </w:t>
      </w:r>
      <w:proofErr w:type="spellStart"/>
      <w:r w:rsidRPr="004E2B39">
        <w:t>señor</w:t>
      </w:r>
      <w:proofErr w:type="spellEnd"/>
      <w:r w:rsidRPr="004E2B39">
        <w:t xml:space="preserve"> Poblete (artículo 5 de la misma). La Corte se pronunció por primera </w:t>
      </w:r>
      <w:proofErr w:type="spellStart"/>
      <w:r w:rsidRPr="004E2B39">
        <w:t>ocasión</w:t>
      </w:r>
      <w:proofErr w:type="spellEnd"/>
      <w:r w:rsidRPr="004E2B39">
        <w:t xml:space="preserve"> respecto el derecho a la salud de manera </w:t>
      </w:r>
      <w:proofErr w:type="spellStart"/>
      <w:r w:rsidRPr="004E2B39">
        <w:t>autónoma</w:t>
      </w:r>
      <w:proofErr w:type="spellEnd"/>
      <w:r w:rsidRPr="004E2B39">
        <w:t xml:space="preserve">, como parte integrante de los derechos </w:t>
      </w:r>
      <w:proofErr w:type="spellStart"/>
      <w:r w:rsidRPr="004E2B39">
        <w:t>económicos</w:t>
      </w:r>
      <w:proofErr w:type="spellEnd"/>
      <w:r w:rsidRPr="004E2B39">
        <w:t xml:space="preserve">, sociales, culturales y ambientales (DESCA), en </w:t>
      </w:r>
      <w:proofErr w:type="spellStart"/>
      <w:r w:rsidRPr="004E2B39">
        <w:t>interpretación</w:t>
      </w:r>
      <w:proofErr w:type="spellEnd"/>
      <w:r w:rsidRPr="004E2B39">
        <w:t xml:space="preserve"> del artículo 26 de la Convención, </w:t>
      </w:r>
      <w:proofErr w:type="spellStart"/>
      <w:r w:rsidRPr="004E2B39">
        <w:t>asi</w:t>
      </w:r>
      <w:proofErr w:type="spellEnd"/>
      <w:r w:rsidRPr="004E2B39">
        <w:t>́ como respecto de los derechos de las personas adultas mayores (en adelante personas mayores).</w:t>
      </w:r>
    </w:p>
  </w:footnote>
  <w:footnote w:id="40">
    <w:p w14:paraId="4503064F" w14:textId="07789D56" w:rsidR="001710F6" w:rsidRPr="001710F6" w:rsidRDefault="001710F6">
      <w:pPr>
        <w:pStyle w:val="Textonotapie"/>
        <w:rPr>
          <w:lang w:val="es-CL"/>
        </w:rPr>
      </w:pPr>
      <w:r>
        <w:rPr>
          <w:rStyle w:val="Refdenotaalpie"/>
        </w:rPr>
        <w:footnoteRef/>
      </w:r>
      <w:r w:rsidRPr="001710F6">
        <w:rPr>
          <w:lang w:val="es-CL"/>
        </w:rPr>
        <w:t xml:space="preserve"> El 1 de octubre de 2021, la Corte Interamericana de Derechos Humanos dictó sentencia mediante la cual declaró la responsabilidad internacional del Estado de Chile por las violaciones a diversos derechos en perjuicio de Martina Vera Rojas, y del derecho a la integridad personal de sus padres, Carolina Andrea del Pilar Rojas </w:t>
      </w:r>
      <w:proofErr w:type="spellStart"/>
      <w:r w:rsidRPr="001710F6">
        <w:rPr>
          <w:lang w:val="es-CL"/>
        </w:rPr>
        <w:t>Farías</w:t>
      </w:r>
      <w:proofErr w:type="spellEnd"/>
      <w:r w:rsidRPr="001710F6">
        <w:rPr>
          <w:lang w:val="es-CL"/>
        </w:rPr>
        <w:t xml:space="preserve"> y Ramiro </w:t>
      </w:r>
      <w:proofErr w:type="spellStart"/>
      <w:r w:rsidRPr="001710F6">
        <w:rPr>
          <w:lang w:val="es-CL"/>
        </w:rPr>
        <w:t>Álvaro</w:t>
      </w:r>
      <w:proofErr w:type="spellEnd"/>
      <w:r w:rsidRPr="001710F6">
        <w:rPr>
          <w:lang w:val="es-CL"/>
        </w:rPr>
        <w:t xml:space="preserve"> Vera Rojas. En particular, la Corte </w:t>
      </w:r>
      <w:proofErr w:type="spellStart"/>
      <w:r w:rsidRPr="001710F6">
        <w:rPr>
          <w:lang w:val="es-CL"/>
        </w:rPr>
        <w:t>encontro</w:t>
      </w:r>
      <w:proofErr w:type="spellEnd"/>
      <w:r w:rsidRPr="001710F6">
        <w:rPr>
          <w:lang w:val="es-CL"/>
        </w:rPr>
        <w:t xml:space="preserve">́ que los derechos a la vida, la vida digna, la integridad personal, la </w:t>
      </w:r>
      <w:proofErr w:type="spellStart"/>
      <w:r w:rsidRPr="001710F6">
        <w:rPr>
          <w:lang w:val="es-CL"/>
        </w:rPr>
        <w:t>niñez</w:t>
      </w:r>
      <w:proofErr w:type="spellEnd"/>
      <w:r w:rsidRPr="001710F6">
        <w:rPr>
          <w:lang w:val="es-CL"/>
        </w:rPr>
        <w:t xml:space="preserve">, la salud y la seguridad social, en </w:t>
      </w:r>
      <w:proofErr w:type="spellStart"/>
      <w:r w:rsidRPr="001710F6">
        <w:rPr>
          <w:lang w:val="es-CL"/>
        </w:rPr>
        <w:t>relación</w:t>
      </w:r>
      <w:proofErr w:type="spellEnd"/>
      <w:r w:rsidRPr="001710F6">
        <w:rPr>
          <w:lang w:val="es-CL"/>
        </w:rPr>
        <w:t xml:space="preserve"> con la obligación de garantizar los derechos sin discriminación, y el deber de adoptar disposiciones de derecho interno, se vieron afectados como consecuencia de la </w:t>
      </w:r>
      <w:proofErr w:type="spellStart"/>
      <w:r w:rsidRPr="001710F6">
        <w:rPr>
          <w:lang w:val="es-CL"/>
        </w:rPr>
        <w:t>decisión</w:t>
      </w:r>
      <w:proofErr w:type="spellEnd"/>
      <w:r w:rsidRPr="001710F6">
        <w:rPr>
          <w:lang w:val="es-CL"/>
        </w:rPr>
        <w:t xml:space="preserve"> de la aseguradora privada </w:t>
      </w:r>
      <w:proofErr w:type="spellStart"/>
      <w:r w:rsidRPr="001710F6">
        <w:rPr>
          <w:lang w:val="es-CL"/>
        </w:rPr>
        <w:t>Isapre</w:t>
      </w:r>
      <w:proofErr w:type="spellEnd"/>
      <w:r w:rsidRPr="001710F6">
        <w:rPr>
          <w:lang w:val="es-CL"/>
        </w:rPr>
        <w:t xml:space="preserve"> </w:t>
      </w:r>
      <w:proofErr w:type="spellStart"/>
      <w:r w:rsidRPr="001710F6">
        <w:rPr>
          <w:lang w:val="es-CL"/>
        </w:rPr>
        <w:t>MasVida</w:t>
      </w:r>
      <w:proofErr w:type="spellEnd"/>
      <w:r w:rsidRPr="001710F6">
        <w:rPr>
          <w:lang w:val="es-CL"/>
        </w:rPr>
        <w:t xml:space="preserve">, en virtud de la cual se determinó el retiro de la </w:t>
      </w:r>
      <w:proofErr w:type="spellStart"/>
      <w:r w:rsidRPr="001710F6">
        <w:rPr>
          <w:lang w:val="es-CL"/>
        </w:rPr>
        <w:t>hospitalización</w:t>
      </w:r>
      <w:proofErr w:type="spellEnd"/>
      <w:r w:rsidRPr="001710F6">
        <w:rPr>
          <w:lang w:val="es-CL"/>
        </w:rPr>
        <w:t xml:space="preserve"> domiciliaria de Martina Vera, la cual era necesaria para su adecuado tratamiento </w:t>
      </w:r>
      <w:proofErr w:type="spellStart"/>
      <w:r w:rsidRPr="001710F6">
        <w:rPr>
          <w:lang w:val="es-CL"/>
        </w:rPr>
        <w:t>médico</w:t>
      </w:r>
      <w:proofErr w:type="spellEnd"/>
      <w:r w:rsidRPr="001710F6">
        <w:rPr>
          <w:lang w:val="es-CL"/>
        </w:rPr>
        <w:t xml:space="preserve">. La </w:t>
      </w:r>
      <w:proofErr w:type="spellStart"/>
      <w:r w:rsidRPr="001710F6">
        <w:rPr>
          <w:lang w:val="es-CL"/>
        </w:rPr>
        <w:t>decisión</w:t>
      </w:r>
      <w:proofErr w:type="spellEnd"/>
      <w:r w:rsidRPr="001710F6">
        <w:rPr>
          <w:lang w:val="es-CL"/>
        </w:rPr>
        <w:t xml:space="preserve"> de la aseguradora fue adoptada sobre la base de una </w:t>
      </w:r>
      <w:proofErr w:type="spellStart"/>
      <w:r w:rsidRPr="001710F6">
        <w:rPr>
          <w:lang w:val="es-CL"/>
        </w:rPr>
        <w:t>disposición</w:t>
      </w:r>
      <w:proofErr w:type="spellEnd"/>
      <w:r w:rsidRPr="001710F6">
        <w:rPr>
          <w:lang w:val="es-CL"/>
        </w:rPr>
        <w:t xml:space="preserve"> reglamentaria de la Superintendencia de Salud que </w:t>
      </w:r>
      <w:proofErr w:type="spellStart"/>
      <w:r w:rsidRPr="001710F6">
        <w:rPr>
          <w:lang w:val="es-CL"/>
        </w:rPr>
        <w:t>permitía</w:t>
      </w:r>
      <w:proofErr w:type="spellEnd"/>
      <w:r w:rsidRPr="001710F6">
        <w:rPr>
          <w:lang w:val="es-CL"/>
        </w:rPr>
        <w:t xml:space="preserve"> dicho retiro, por lo que la Corte determinó que el Estado </w:t>
      </w:r>
      <w:proofErr w:type="spellStart"/>
      <w:r w:rsidRPr="001710F6">
        <w:rPr>
          <w:lang w:val="es-CL"/>
        </w:rPr>
        <w:t>incumplio</w:t>
      </w:r>
      <w:proofErr w:type="spellEnd"/>
      <w:r w:rsidRPr="001710F6">
        <w:rPr>
          <w:lang w:val="es-CL"/>
        </w:rPr>
        <w:t xml:space="preserve">́ con su deber de regulación de los servicios de salud. Asimismo, el Tribunal determinó que los sufrimientos de los padres de Martina constituyeron una </w:t>
      </w:r>
      <w:proofErr w:type="spellStart"/>
      <w:r w:rsidRPr="001710F6">
        <w:rPr>
          <w:lang w:val="es-CL"/>
        </w:rPr>
        <w:t>violación</w:t>
      </w:r>
      <w:proofErr w:type="spellEnd"/>
      <w:r w:rsidRPr="001710F6">
        <w:rPr>
          <w:lang w:val="es-CL"/>
        </w:rPr>
        <w:t xml:space="preserve"> a su derecho a la integridad personal. En consecuencia, la Corte concluyó que el Estado es responsable por la </w:t>
      </w:r>
      <w:proofErr w:type="spellStart"/>
      <w:r w:rsidRPr="001710F6">
        <w:rPr>
          <w:lang w:val="es-CL"/>
        </w:rPr>
        <w:t>violación</w:t>
      </w:r>
      <w:proofErr w:type="spellEnd"/>
      <w:r w:rsidRPr="001710F6">
        <w:rPr>
          <w:lang w:val="es-CL"/>
        </w:rPr>
        <w:t xml:space="preserve"> de los </w:t>
      </w:r>
      <w:proofErr w:type="spellStart"/>
      <w:r w:rsidRPr="001710F6">
        <w:rPr>
          <w:lang w:val="es-CL"/>
        </w:rPr>
        <w:t>artículos</w:t>
      </w:r>
      <w:proofErr w:type="spellEnd"/>
      <w:r w:rsidRPr="001710F6">
        <w:rPr>
          <w:lang w:val="es-CL"/>
        </w:rPr>
        <w:t xml:space="preserve"> 4, 5, 19 y 26 de la Convención Americana sobre Derechos Humanos, en </w:t>
      </w:r>
      <w:proofErr w:type="spellStart"/>
      <w:r w:rsidRPr="001710F6">
        <w:rPr>
          <w:lang w:val="es-CL"/>
        </w:rPr>
        <w:t>relación</w:t>
      </w:r>
      <w:proofErr w:type="spellEnd"/>
      <w:r w:rsidRPr="001710F6">
        <w:rPr>
          <w:lang w:val="es-CL"/>
        </w:rPr>
        <w:t xml:space="preserve"> con los </w:t>
      </w:r>
      <w:proofErr w:type="spellStart"/>
      <w:r w:rsidRPr="001710F6">
        <w:rPr>
          <w:lang w:val="es-CL"/>
        </w:rPr>
        <w:t>artículos</w:t>
      </w:r>
      <w:proofErr w:type="spellEnd"/>
      <w:r w:rsidRPr="001710F6">
        <w:rPr>
          <w:lang w:val="es-CL"/>
        </w:rPr>
        <w:t xml:space="preserve"> 1.1 y 2 del mismo instrumento.</w:t>
      </w:r>
    </w:p>
  </w:footnote>
  <w:footnote w:id="41">
    <w:p w14:paraId="4842534C"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falta de diligencia en las investigaciones relacionadas a la desaparición y muerte de Claudia Ivette Gonzáles, Esmeralda Herrera Monreal y Laura Berenice Ramos </w:t>
      </w:r>
      <w:proofErr w:type="spellStart"/>
      <w:r w:rsidRPr="004E2B39">
        <w:rPr>
          <w:rFonts w:ascii="Verdana" w:hAnsi="Verdana"/>
          <w:sz w:val="16"/>
          <w:szCs w:val="16"/>
          <w:lang w:val="es-CL"/>
        </w:rPr>
        <w:t>Monárrez</w:t>
      </w:r>
      <w:proofErr w:type="spellEnd"/>
      <w:r w:rsidRPr="004E2B39">
        <w:rPr>
          <w:rFonts w:ascii="Verdana" w:hAnsi="Verdana"/>
          <w:sz w:val="16"/>
          <w:szCs w:val="16"/>
          <w:lang w:val="es-CL"/>
        </w:rPr>
        <w:t>. La Corte que estableció la responsabilidad internacional del Estado por la violación de los siguientes derechos convencionales: Artículo 1 (Obligación de respetar los derechos), Artículo 11 (Derecho a la honra y dignidad), Artículo 19 (Derecho de niño), Artículo 2 (Deber de adoptar disposiciones de derecho interno), Artículo 25 (Protección Judicial), Artículo 4 (Derecho a la vida), Artículo 5 (Derecho a la Integridad Personal), Artículo 8 (Garantías Judiciales).</w:t>
      </w:r>
    </w:p>
    <w:p w14:paraId="338254A4" w14:textId="77777777" w:rsidR="007269CF" w:rsidRPr="004E2B39" w:rsidRDefault="007269CF" w:rsidP="004E2B39">
      <w:pPr>
        <w:pStyle w:val="Textonotapie"/>
        <w:rPr>
          <w:rFonts w:ascii="Verdana" w:hAnsi="Verdana"/>
          <w:sz w:val="16"/>
          <w:szCs w:val="16"/>
          <w:lang w:val="es-CL"/>
        </w:rPr>
      </w:pPr>
    </w:p>
  </w:footnote>
  <w:footnote w:id="42">
    <w:p w14:paraId="2A046607"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19 de mayo de 2014 la Corte Interamericana de Derechos Humanos dict6 Sentencia en el caso Veliz Franco y otros Vs. Guatemala. La Corte declare que Guatemala vulneró, en perjuicio de la niña </w:t>
      </w:r>
      <w:proofErr w:type="spellStart"/>
      <w:r w:rsidRPr="004E2B39">
        <w:rPr>
          <w:rFonts w:ascii="Verdana" w:hAnsi="Verdana"/>
          <w:sz w:val="16"/>
          <w:szCs w:val="16"/>
          <w:lang w:val="es-CL"/>
        </w:rPr>
        <w:t>Marfa</w:t>
      </w:r>
      <w:proofErr w:type="spellEnd"/>
      <w:r w:rsidRPr="004E2B39">
        <w:rPr>
          <w:rFonts w:ascii="Verdana" w:hAnsi="Verdana"/>
          <w:sz w:val="16"/>
          <w:szCs w:val="16"/>
          <w:lang w:val="es-CL"/>
        </w:rPr>
        <w:t xml:space="preserve"> Isabel Veliz Franco, de 15 años de edad al </w:t>
      </w:r>
      <w:proofErr w:type="spellStart"/>
      <w:r w:rsidRPr="004E2B39">
        <w:rPr>
          <w:rFonts w:ascii="Verdana" w:hAnsi="Verdana"/>
          <w:sz w:val="16"/>
          <w:szCs w:val="16"/>
          <w:lang w:val="es-CL"/>
        </w:rPr>
        <w:t>momenta</w:t>
      </w:r>
      <w:proofErr w:type="spellEnd"/>
      <w:r w:rsidRPr="004E2B39">
        <w:rPr>
          <w:rFonts w:ascii="Verdana" w:hAnsi="Verdana"/>
          <w:sz w:val="16"/>
          <w:szCs w:val="16"/>
          <w:lang w:val="es-CL"/>
        </w:rPr>
        <w:t xml:space="preserve"> de los hechos, el deber de garantizar el libre y pleno ejercicio de los derechos a la vida (artículo 4.1) e integridad personal (artículo 5.1), en relación con los derechos del niño (artículo 19) y con la obligación general de garantizar los derechos sin discriminación ( artículo 1.1) de la Convención Americana, y la obligaci6n de actuar con la debida diligencia para prevenir e investigar la violencia contra la mujer (artículo 7.b) de la Convención Interamericana para Prevenir, Sancionar y Erradicar la Violencia contra la Mujer. Asimismo, el Estado violó los derechos a las garantías judiciales (artículo 8.1), a la protección judicial (artículo 25.1) y a la igualdad ante la ley (artículo 24) de la Convención Americana, en relación con las obligaciones generales de respetar y garantizar los derechos ( artículo 1.1) y adoptar disposiciones de derecho interno (artículo 2) de dicho tratado, y con los deberes de actuar con diligencia para investigar y sancionar la violencia contra la mujer (artículo 7.b y 7.c) de la Convención Interamericana para Prevenir, Sancionar y Erradicar la Violencia contra la Mujer, en perjuicio de la madre de la niña, Rosa Elvira Franco Sandoval, de los hermanos de </w:t>
      </w:r>
      <w:proofErr w:type="spellStart"/>
      <w:r w:rsidRPr="004E2B39">
        <w:rPr>
          <w:rFonts w:ascii="Verdana" w:hAnsi="Verdana"/>
          <w:sz w:val="16"/>
          <w:szCs w:val="16"/>
          <w:lang w:val="es-CL"/>
        </w:rPr>
        <w:t>Marfa</w:t>
      </w:r>
      <w:proofErr w:type="spellEnd"/>
      <w:r w:rsidRPr="004E2B39">
        <w:rPr>
          <w:rFonts w:ascii="Verdana" w:hAnsi="Verdana"/>
          <w:sz w:val="16"/>
          <w:szCs w:val="16"/>
          <w:lang w:val="es-CL"/>
        </w:rPr>
        <w:t xml:space="preserve"> Isabel, Leonel Enrique Veliz Franco, </w:t>
      </w:r>
      <w:proofErr w:type="spellStart"/>
      <w:r w:rsidRPr="004E2B39">
        <w:rPr>
          <w:rFonts w:ascii="Verdana" w:hAnsi="Verdana"/>
          <w:sz w:val="16"/>
          <w:szCs w:val="16"/>
          <w:lang w:val="es-CL"/>
        </w:rPr>
        <w:t>Jose</w:t>
      </w:r>
      <w:proofErr w:type="spellEnd"/>
      <w:r w:rsidRPr="004E2B39">
        <w:rPr>
          <w:rFonts w:ascii="Verdana" w:hAnsi="Verdana"/>
          <w:sz w:val="16"/>
          <w:szCs w:val="16"/>
          <w:lang w:val="es-CL"/>
        </w:rPr>
        <w:t xml:space="preserve"> Roberto Franco, y de los abuelos de esta, actualmente fallecidos, Cruz Elvira Sandoval Polanco y Roberto </w:t>
      </w:r>
      <w:proofErr w:type="spellStart"/>
      <w:r w:rsidRPr="004E2B39">
        <w:rPr>
          <w:rFonts w:ascii="Verdana" w:hAnsi="Verdana"/>
          <w:sz w:val="16"/>
          <w:szCs w:val="16"/>
          <w:lang w:val="es-CL"/>
        </w:rPr>
        <w:t>Perez</w:t>
      </w:r>
      <w:proofErr w:type="spellEnd"/>
      <w:r w:rsidRPr="004E2B39">
        <w:rPr>
          <w:rFonts w:ascii="Verdana" w:hAnsi="Verdana"/>
          <w:sz w:val="16"/>
          <w:szCs w:val="16"/>
          <w:lang w:val="es-CL"/>
        </w:rPr>
        <w:t xml:space="preserve">. </w:t>
      </w:r>
      <w:proofErr w:type="spellStart"/>
      <w:r w:rsidRPr="004E2B39">
        <w:rPr>
          <w:rFonts w:ascii="Verdana" w:hAnsi="Verdana"/>
          <w:sz w:val="16"/>
          <w:szCs w:val="16"/>
          <w:lang w:val="es-CL"/>
        </w:rPr>
        <w:t>Ademas</w:t>
      </w:r>
      <w:proofErr w:type="spellEnd"/>
      <w:r w:rsidRPr="004E2B39">
        <w:rPr>
          <w:rFonts w:ascii="Verdana" w:hAnsi="Verdana"/>
          <w:sz w:val="16"/>
          <w:szCs w:val="16"/>
          <w:lang w:val="es-CL"/>
        </w:rPr>
        <w:t xml:space="preserve">, Guatemala violó el derecho a la integridad personal (artículo 5.1) de la Convención Americana, en relación con el </w:t>
      </w:r>
      <w:proofErr w:type="spellStart"/>
      <w:r w:rsidRPr="004E2B39">
        <w:rPr>
          <w:rFonts w:ascii="Verdana" w:hAnsi="Verdana"/>
          <w:sz w:val="16"/>
          <w:szCs w:val="16"/>
          <w:lang w:val="es-CL"/>
        </w:rPr>
        <w:t>artfculo</w:t>
      </w:r>
      <w:proofErr w:type="spellEnd"/>
      <w:r w:rsidRPr="004E2B39">
        <w:rPr>
          <w:rFonts w:ascii="Verdana" w:hAnsi="Verdana"/>
          <w:sz w:val="16"/>
          <w:szCs w:val="16"/>
          <w:lang w:val="es-CL"/>
        </w:rPr>
        <w:t xml:space="preserve"> 1.1 de la misma, en perjuicio de la señora Franco Sandoval. </w:t>
      </w:r>
    </w:p>
  </w:footnote>
  <w:footnote w:id="43">
    <w:p w14:paraId="4A691451" w14:textId="241EA585" w:rsidR="006D285F" w:rsidRPr="006D285F" w:rsidRDefault="006D285F" w:rsidP="006D285F">
      <w:pPr>
        <w:pStyle w:val="Textonotapie"/>
        <w:rPr>
          <w:lang w:val="es-CL"/>
        </w:rPr>
      </w:pPr>
      <w:r>
        <w:rPr>
          <w:rStyle w:val="Refdenotaalpie"/>
        </w:rPr>
        <w:footnoteRef/>
      </w:r>
      <w:r w:rsidRPr="006D285F">
        <w:rPr>
          <w:lang w:val="es-CL"/>
        </w:rPr>
        <w:t xml:space="preserve"> El 20 de septiembre de 2021 la Corte Interamericana de Derechos Humanos dictó una Sentencia mediante la cual declaró internacionalmente responsable a la </w:t>
      </w:r>
      <w:proofErr w:type="spellStart"/>
      <w:r w:rsidRPr="006D285F">
        <w:rPr>
          <w:lang w:val="es-CL"/>
        </w:rPr>
        <w:t>República</w:t>
      </w:r>
      <w:proofErr w:type="spellEnd"/>
      <w:r w:rsidRPr="006D285F">
        <w:rPr>
          <w:lang w:val="es-CL"/>
        </w:rPr>
        <w:t xml:space="preserve"> Bolivariana de Venezuela por la </w:t>
      </w:r>
      <w:proofErr w:type="spellStart"/>
      <w:r w:rsidRPr="006D285F">
        <w:rPr>
          <w:lang w:val="es-CL"/>
        </w:rPr>
        <w:t>violación</w:t>
      </w:r>
      <w:proofErr w:type="spellEnd"/>
      <w:r w:rsidRPr="006D285F">
        <w:rPr>
          <w:lang w:val="es-CL"/>
        </w:rPr>
        <w:t xml:space="preserve"> de los </w:t>
      </w:r>
      <w:proofErr w:type="spellStart"/>
      <w:r w:rsidRPr="006D285F">
        <w:rPr>
          <w:lang w:val="es-CL"/>
        </w:rPr>
        <w:t>artículos</w:t>
      </w:r>
      <w:proofErr w:type="spellEnd"/>
      <w:r w:rsidRPr="006D285F">
        <w:rPr>
          <w:lang w:val="es-CL"/>
        </w:rPr>
        <w:t xml:space="preserve"> 7.1, 7.2, 5.1 y 5.4 de la Convención Americana sobre Derechos Humanos en </w:t>
      </w:r>
      <w:proofErr w:type="spellStart"/>
      <w:r w:rsidRPr="006D285F">
        <w:rPr>
          <w:lang w:val="es-CL"/>
        </w:rPr>
        <w:t>relación</w:t>
      </w:r>
      <w:proofErr w:type="spellEnd"/>
      <w:r w:rsidRPr="006D285F">
        <w:rPr>
          <w:lang w:val="es-CL"/>
        </w:rPr>
        <w:t xml:space="preserve"> con el artículo 1.1 del mismo instrumento internacional respecto de las primeras seis personas nombradas, que fueron privadas de su libertad. Asimismo, determinó que el Estado es responsable por la </w:t>
      </w:r>
      <w:proofErr w:type="spellStart"/>
      <w:r w:rsidRPr="006D285F">
        <w:rPr>
          <w:lang w:val="es-CL"/>
        </w:rPr>
        <w:t>violación</w:t>
      </w:r>
      <w:proofErr w:type="spellEnd"/>
      <w:r w:rsidRPr="006D285F">
        <w:rPr>
          <w:lang w:val="es-CL"/>
        </w:rPr>
        <w:t xml:space="preserve"> de los </w:t>
      </w:r>
      <w:proofErr w:type="spellStart"/>
      <w:r w:rsidRPr="006D285F">
        <w:rPr>
          <w:lang w:val="es-CL"/>
        </w:rPr>
        <w:t>artículos</w:t>
      </w:r>
      <w:proofErr w:type="spellEnd"/>
      <w:r w:rsidRPr="006D285F">
        <w:rPr>
          <w:lang w:val="es-CL"/>
        </w:rPr>
        <w:t xml:space="preserve"> 7.3 y 8.2 de la Convención, en </w:t>
      </w:r>
      <w:proofErr w:type="spellStart"/>
      <w:r w:rsidRPr="006D285F">
        <w:rPr>
          <w:lang w:val="es-CL"/>
        </w:rPr>
        <w:t>relación</w:t>
      </w:r>
      <w:proofErr w:type="spellEnd"/>
      <w:r w:rsidRPr="006D285F">
        <w:rPr>
          <w:lang w:val="es-CL"/>
        </w:rPr>
        <w:t xml:space="preserve"> con los </w:t>
      </w:r>
      <w:proofErr w:type="spellStart"/>
      <w:r w:rsidRPr="006D285F">
        <w:rPr>
          <w:lang w:val="es-CL"/>
        </w:rPr>
        <w:t>artículos</w:t>
      </w:r>
      <w:proofErr w:type="spellEnd"/>
      <w:r w:rsidRPr="006D285F">
        <w:rPr>
          <w:lang w:val="es-CL"/>
        </w:rPr>
        <w:t xml:space="preserve"> 1.1 y 2 del mismo instrumento, respecto a las mismas personas. Igualmente, el Tribunal declaró que el Estado es responsable por la </w:t>
      </w:r>
      <w:proofErr w:type="spellStart"/>
      <w:r w:rsidRPr="006D285F">
        <w:rPr>
          <w:lang w:val="es-CL"/>
        </w:rPr>
        <w:t>violación</w:t>
      </w:r>
      <w:proofErr w:type="spellEnd"/>
      <w:r w:rsidRPr="006D285F">
        <w:rPr>
          <w:lang w:val="es-CL"/>
        </w:rPr>
        <w:t xml:space="preserve"> de los </w:t>
      </w:r>
      <w:proofErr w:type="spellStart"/>
      <w:r w:rsidRPr="006D285F">
        <w:rPr>
          <w:lang w:val="es-CL"/>
        </w:rPr>
        <w:t>artículos</w:t>
      </w:r>
      <w:proofErr w:type="spellEnd"/>
      <w:r w:rsidRPr="006D285F">
        <w:rPr>
          <w:lang w:val="es-CL"/>
        </w:rPr>
        <w:t xml:space="preserve"> 7.1 y 7.6 de la Convención en perjuicio de en perjuicio de Wilmer Antonio </w:t>
      </w:r>
      <w:proofErr w:type="spellStart"/>
      <w:r w:rsidRPr="006D285F">
        <w:rPr>
          <w:lang w:val="es-CL"/>
        </w:rPr>
        <w:t>Barliza</w:t>
      </w:r>
      <w:proofErr w:type="spellEnd"/>
      <w:r w:rsidRPr="006D285F">
        <w:rPr>
          <w:lang w:val="es-CL"/>
        </w:rPr>
        <w:t xml:space="preserve"> </w:t>
      </w:r>
      <w:proofErr w:type="spellStart"/>
      <w:r w:rsidRPr="006D285F">
        <w:rPr>
          <w:lang w:val="es-CL"/>
        </w:rPr>
        <w:t>González</w:t>
      </w:r>
      <w:proofErr w:type="spellEnd"/>
      <w:r w:rsidRPr="006D285F">
        <w:rPr>
          <w:lang w:val="es-CL"/>
        </w:rPr>
        <w:t xml:space="preserve">, Fernando </w:t>
      </w:r>
      <w:proofErr w:type="spellStart"/>
      <w:r w:rsidRPr="006D285F">
        <w:rPr>
          <w:lang w:val="es-CL"/>
        </w:rPr>
        <w:t>González</w:t>
      </w:r>
      <w:proofErr w:type="spellEnd"/>
      <w:r w:rsidRPr="006D285F">
        <w:rPr>
          <w:lang w:val="es-CL"/>
        </w:rPr>
        <w:t xml:space="preserve">, </w:t>
      </w:r>
      <w:proofErr w:type="spellStart"/>
      <w:r w:rsidRPr="006D285F">
        <w:rPr>
          <w:lang w:val="es-CL"/>
        </w:rPr>
        <w:t>María</w:t>
      </w:r>
      <w:proofErr w:type="spellEnd"/>
      <w:r w:rsidRPr="006D285F">
        <w:rPr>
          <w:lang w:val="es-CL"/>
        </w:rPr>
        <w:t xml:space="preserve"> </w:t>
      </w:r>
      <w:proofErr w:type="spellStart"/>
      <w:r w:rsidRPr="006D285F">
        <w:rPr>
          <w:lang w:val="es-CL"/>
        </w:rPr>
        <w:t>Angélica</w:t>
      </w:r>
      <w:proofErr w:type="spellEnd"/>
      <w:r w:rsidRPr="006D285F">
        <w:rPr>
          <w:lang w:val="es-CL"/>
        </w:rPr>
        <w:t xml:space="preserve"> </w:t>
      </w:r>
      <w:proofErr w:type="spellStart"/>
      <w:r w:rsidRPr="006D285F">
        <w:rPr>
          <w:lang w:val="es-CL"/>
        </w:rPr>
        <w:t>González</w:t>
      </w:r>
      <w:proofErr w:type="spellEnd"/>
      <w:r w:rsidRPr="006D285F">
        <w:rPr>
          <w:lang w:val="es-CL"/>
        </w:rPr>
        <w:t xml:space="preserve"> y Belkis </w:t>
      </w:r>
      <w:proofErr w:type="spellStart"/>
      <w:r w:rsidRPr="006D285F">
        <w:rPr>
          <w:lang w:val="es-CL"/>
        </w:rPr>
        <w:t>Mirelis</w:t>
      </w:r>
      <w:proofErr w:type="spellEnd"/>
      <w:r w:rsidRPr="006D285F">
        <w:rPr>
          <w:lang w:val="es-CL"/>
        </w:rPr>
        <w:t xml:space="preserve"> </w:t>
      </w:r>
      <w:proofErr w:type="spellStart"/>
      <w:r w:rsidRPr="006D285F">
        <w:rPr>
          <w:lang w:val="es-CL"/>
        </w:rPr>
        <w:t>González</w:t>
      </w:r>
      <w:proofErr w:type="spellEnd"/>
      <w:r w:rsidRPr="006D285F">
        <w:rPr>
          <w:lang w:val="es-CL"/>
        </w:rPr>
        <w:t xml:space="preserve">; </w:t>
      </w:r>
      <w:proofErr w:type="spellStart"/>
      <w:r w:rsidRPr="006D285F">
        <w:rPr>
          <w:lang w:val="es-CL"/>
        </w:rPr>
        <w:t>asi</w:t>
      </w:r>
      <w:proofErr w:type="spellEnd"/>
      <w:r w:rsidRPr="006D285F">
        <w:rPr>
          <w:lang w:val="es-CL"/>
        </w:rPr>
        <w:t xml:space="preserve">́ como del artículo 8.1, en </w:t>
      </w:r>
      <w:proofErr w:type="spellStart"/>
      <w:r w:rsidRPr="006D285F">
        <w:rPr>
          <w:lang w:val="es-CL"/>
        </w:rPr>
        <w:t>relación</w:t>
      </w:r>
      <w:proofErr w:type="spellEnd"/>
      <w:r w:rsidRPr="006D285F">
        <w:rPr>
          <w:lang w:val="es-CL"/>
        </w:rPr>
        <w:t xml:space="preserve"> con el artículo 1.1 del mismo instrumento internacional, en perjuicio de </w:t>
      </w:r>
      <w:proofErr w:type="spellStart"/>
      <w:r w:rsidRPr="006D285F">
        <w:rPr>
          <w:lang w:val="es-CL"/>
        </w:rPr>
        <w:t>María</w:t>
      </w:r>
      <w:proofErr w:type="spellEnd"/>
      <w:r w:rsidRPr="006D285F">
        <w:rPr>
          <w:lang w:val="es-CL"/>
        </w:rPr>
        <w:t xml:space="preserve"> </w:t>
      </w:r>
      <w:proofErr w:type="spellStart"/>
      <w:r w:rsidRPr="006D285F">
        <w:rPr>
          <w:lang w:val="es-CL"/>
        </w:rPr>
        <w:t>Angélica</w:t>
      </w:r>
      <w:proofErr w:type="spellEnd"/>
      <w:r w:rsidRPr="006D285F">
        <w:rPr>
          <w:lang w:val="es-CL"/>
        </w:rPr>
        <w:t xml:space="preserve"> </w:t>
      </w:r>
      <w:proofErr w:type="spellStart"/>
      <w:r w:rsidRPr="006D285F">
        <w:rPr>
          <w:lang w:val="es-CL"/>
        </w:rPr>
        <w:t>González</w:t>
      </w:r>
      <w:proofErr w:type="spellEnd"/>
      <w:r w:rsidRPr="006D285F">
        <w:rPr>
          <w:lang w:val="es-CL"/>
        </w:rPr>
        <w:t xml:space="preserve">, Belkis </w:t>
      </w:r>
      <w:proofErr w:type="spellStart"/>
      <w:r w:rsidRPr="006D285F">
        <w:rPr>
          <w:lang w:val="es-CL"/>
        </w:rPr>
        <w:t>Mirelis</w:t>
      </w:r>
      <w:proofErr w:type="spellEnd"/>
      <w:r w:rsidRPr="006D285F">
        <w:rPr>
          <w:lang w:val="es-CL"/>
        </w:rPr>
        <w:t xml:space="preserve"> </w:t>
      </w:r>
      <w:proofErr w:type="spellStart"/>
      <w:r w:rsidRPr="006D285F">
        <w:rPr>
          <w:lang w:val="es-CL"/>
        </w:rPr>
        <w:t>González</w:t>
      </w:r>
      <w:proofErr w:type="spellEnd"/>
      <w:r w:rsidRPr="006D285F">
        <w:rPr>
          <w:lang w:val="es-CL"/>
        </w:rPr>
        <w:t xml:space="preserve">, Fernando </w:t>
      </w:r>
      <w:proofErr w:type="spellStart"/>
      <w:r w:rsidRPr="006D285F">
        <w:rPr>
          <w:lang w:val="es-CL"/>
        </w:rPr>
        <w:t>González</w:t>
      </w:r>
      <w:proofErr w:type="spellEnd"/>
      <w:r w:rsidRPr="006D285F">
        <w:rPr>
          <w:lang w:val="es-CL"/>
        </w:rPr>
        <w:t xml:space="preserve">, Luis Guillermo </w:t>
      </w:r>
      <w:proofErr w:type="spellStart"/>
      <w:r w:rsidRPr="006D285F">
        <w:rPr>
          <w:lang w:val="es-CL"/>
        </w:rPr>
        <w:t>González</w:t>
      </w:r>
      <w:proofErr w:type="spellEnd"/>
      <w:r w:rsidRPr="006D285F">
        <w:rPr>
          <w:lang w:val="es-CL"/>
        </w:rPr>
        <w:t xml:space="preserve">, Wilmer Antonio </w:t>
      </w:r>
      <w:proofErr w:type="spellStart"/>
      <w:r w:rsidRPr="006D285F">
        <w:rPr>
          <w:lang w:val="es-CL"/>
        </w:rPr>
        <w:t>Barliza</w:t>
      </w:r>
      <w:proofErr w:type="spellEnd"/>
      <w:r w:rsidRPr="006D285F">
        <w:rPr>
          <w:lang w:val="es-CL"/>
        </w:rPr>
        <w:t xml:space="preserve"> </w:t>
      </w:r>
      <w:proofErr w:type="spellStart"/>
      <w:r w:rsidRPr="006D285F">
        <w:rPr>
          <w:lang w:val="es-CL"/>
        </w:rPr>
        <w:t>González</w:t>
      </w:r>
      <w:proofErr w:type="spellEnd"/>
      <w:r w:rsidRPr="006D285F">
        <w:rPr>
          <w:lang w:val="es-CL"/>
        </w:rPr>
        <w:t xml:space="preserve"> y Aura </w:t>
      </w:r>
      <w:proofErr w:type="spellStart"/>
      <w:r w:rsidRPr="006D285F">
        <w:rPr>
          <w:lang w:val="es-CL"/>
        </w:rPr>
        <w:t>González</w:t>
      </w:r>
      <w:proofErr w:type="spellEnd"/>
      <w:r w:rsidRPr="006D285F">
        <w:rPr>
          <w:lang w:val="es-CL"/>
        </w:rPr>
        <w:t xml:space="preserve">. Finalmente, la Corte determinó que el Estado es responsable por la </w:t>
      </w:r>
      <w:proofErr w:type="spellStart"/>
      <w:r w:rsidRPr="006D285F">
        <w:rPr>
          <w:lang w:val="es-CL"/>
        </w:rPr>
        <w:t>violación</w:t>
      </w:r>
      <w:proofErr w:type="spellEnd"/>
      <w:r w:rsidRPr="006D285F">
        <w:rPr>
          <w:lang w:val="es-CL"/>
        </w:rPr>
        <w:t xml:space="preserve"> a los </w:t>
      </w:r>
      <w:proofErr w:type="spellStart"/>
      <w:r w:rsidRPr="006D285F">
        <w:rPr>
          <w:lang w:val="es-CL"/>
        </w:rPr>
        <w:t>artículos</w:t>
      </w:r>
      <w:proofErr w:type="spellEnd"/>
      <w:r w:rsidRPr="006D285F">
        <w:rPr>
          <w:lang w:val="es-CL"/>
        </w:rPr>
        <w:t xml:space="preserve"> 5.1 y 5.2 de la Convención, en </w:t>
      </w:r>
      <w:proofErr w:type="spellStart"/>
      <w:r w:rsidRPr="006D285F">
        <w:rPr>
          <w:lang w:val="es-CL"/>
        </w:rPr>
        <w:t>relación</w:t>
      </w:r>
      <w:proofErr w:type="spellEnd"/>
      <w:r w:rsidRPr="006D285F">
        <w:rPr>
          <w:lang w:val="es-CL"/>
        </w:rPr>
        <w:t xml:space="preserve"> con el artículo 1.1 del mismo tratado y 6 de la Convención Interamericana para Prevenir y Sancionar la Tortura en perjuicio de </w:t>
      </w:r>
      <w:proofErr w:type="spellStart"/>
      <w:r w:rsidRPr="006D285F">
        <w:rPr>
          <w:lang w:val="es-CL"/>
        </w:rPr>
        <w:t>María</w:t>
      </w:r>
      <w:proofErr w:type="spellEnd"/>
      <w:r w:rsidRPr="006D285F">
        <w:rPr>
          <w:lang w:val="es-CL"/>
        </w:rPr>
        <w:t xml:space="preserve"> </w:t>
      </w:r>
      <w:proofErr w:type="spellStart"/>
      <w:r w:rsidRPr="006D285F">
        <w:rPr>
          <w:lang w:val="es-CL"/>
        </w:rPr>
        <w:t>Angélica</w:t>
      </w:r>
      <w:proofErr w:type="spellEnd"/>
      <w:r w:rsidRPr="006D285F">
        <w:rPr>
          <w:lang w:val="es-CL"/>
        </w:rPr>
        <w:t xml:space="preserve"> </w:t>
      </w:r>
      <w:proofErr w:type="spellStart"/>
      <w:r w:rsidRPr="006D285F">
        <w:rPr>
          <w:lang w:val="es-CL"/>
        </w:rPr>
        <w:t>González</w:t>
      </w:r>
      <w:proofErr w:type="spellEnd"/>
      <w:r w:rsidRPr="006D285F">
        <w:rPr>
          <w:lang w:val="es-CL"/>
        </w:rPr>
        <w:t xml:space="preserve"> y Belkis </w:t>
      </w:r>
      <w:proofErr w:type="spellStart"/>
      <w:r w:rsidRPr="006D285F">
        <w:rPr>
          <w:lang w:val="es-CL"/>
        </w:rPr>
        <w:t>Mirelis</w:t>
      </w:r>
      <w:proofErr w:type="spellEnd"/>
      <w:r w:rsidRPr="006D285F">
        <w:rPr>
          <w:lang w:val="es-CL"/>
        </w:rPr>
        <w:t xml:space="preserve"> </w:t>
      </w:r>
      <w:proofErr w:type="spellStart"/>
      <w:r w:rsidRPr="006D285F">
        <w:rPr>
          <w:lang w:val="es-CL"/>
        </w:rPr>
        <w:t>González</w:t>
      </w:r>
      <w:proofErr w:type="spellEnd"/>
      <w:r w:rsidRPr="006D285F">
        <w:rPr>
          <w:lang w:val="es-CL"/>
        </w:rPr>
        <w:t>.</w:t>
      </w:r>
    </w:p>
  </w:footnote>
  <w:footnote w:id="44">
    <w:p w14:paraId="42314384"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muerte y maltratos a los que fue sometido </w:t>
      </w:r>
      <w:proofErr w:type="spellStart"/>
      <w:r w:rsidRPr="004E2B39">
        <w:rPr>
          <w:rFonts w:ascii="Verdana" w:hAnsi="Verdana"/>
          <w:sz w:val="16"/>
          <w:szCs w:val="16"/>
          <w:lang w:val="es-CL"/>
        </w:rPr>
        <w:t>Ximenes</w:t>
      </w:r>
      <w:proofErr w:type="spellEnd"/>
      <w:r w:rsidRPr="004E2B39">
        <w:rPr>
          <w:rFonts w:ascii="Verdana" w:hAnsi="Verdana"/>
          <w:sz w:val="16"/>
          <w:szCs w:val="16"/>
          <w:lang w:val="es-CL"/>
        </w:rPr>
        <w:t xml:space="preserve"> </w:t>
      </w:r>
      <w:proofErr w:type="spellStart"/>
      <w:r w:rsidRPr="004E2B39">
        <w:rPr>
          <w:rFonts w:ascii="Verdana" w:hAnsi="Verdana"/>
          <w:sz w:val="16"/>
          <w:szCs w:val="16"/>
          <w:lang w:val="es-CL"/>
        </w:rPr>
        <w:t>Lopes</w:t>
      </w:r>
      <w:proofErr w:type="spellEnd"/>
      <w:r w:rsidRPr="004E2B39">
        <w:rPr>
          <w:rFonts w:ascii="Verdana" w:hAnsi="Verdana"/>
          <w:sz w:val="16"/>
          <w:szCs w:val="16"/>
          <w:lang w:val="es-CL"/>
        </w:rPr>
        <w:t xml:space="preserve"> en una institución mental, así como por la falta de investigación y sanción de los responsables. La Corte estableció la violación de los siguientes derechos convencionales: Artículo 1 (Obligación de respetar los derechos), Artículo 25 (Protección Judicial), Artículo 4 (Derecho a la vida), Artículo 5 (Derecho a la Integridad Personal), Artículo 8 (Garantías Judiciales).</w:t>
      </w:r>
    </w:p>
    <w:p w14:paraId="76F8072D" w14:textId="77777777" w:rsidR="007269CF" w:rsidRPr="004E2B39" w:rsidRDefault="007269CF" w:rsidP="004E2B39">
      <w:pPr>
        <w:pStyle w:val="Textonotapie"/>
        <w:rPr>
          <w:rFonts w:ascii="Verdana" w:hAnsi="Verdana"/>
          <w:sz w:val="16"/>
          <w:szCs w:val="16"/>
          <w:lang w:val="es-CL"/>
        </w:rPr>
      </w:pPr>
    </w:p>
  </w:footnote>
  <w:footnote w:id="45">
    <w:p w14:paraId="41D68133" w14:textId="77777777"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rStyle w:val="Refdenotaalpie"/>
        </w:rPr>
        <w:t xml:space="preserve"> </w:t>
      </w:r>
      <w:r w:rsidRPr="004E2B39">
        <w:rPr>
          <w:lang w:eastAsia="es-ES_tradnl"/>
        </w:rPr>
        <w:t xml:space="preserve">El 29 de febrero de 2016 la Corte Interamericana de Derechos Humanos dictó una Sentencia, mediante la cual declaró responsable internacionalmente al Estado de Guatemala por el incumplimiento de la obligación de garantizar los derechos a la integridad personal, a la vida, a las </w:t>
      </w:r>
      <w:proofErr w:type="spellStart"/>
      <w:r w:rsidRPr="004E2B39">
        <w:rPr>
          <w:lang w:eastAsia="es-ES_tradnl"/>
        </w:rPr>
        <w:t>garantías</w:t>
      </w:r>
      <w:proofErr w:type="spellEnd"/>
      <w:r w:rsidRPr="004E2B39">
        <w:rPr>
          <w:lang w:eastAsia="es-ES_tradnl"/>
        </w:rPr>
        <w:t xml:space="preserve"> judiciales y a la protección judicial, reconocidos en los </w:t>
      </w:r>
      <w:proofErr w:type="spellStart"/>
      <w:r w:rsidRPr="004E2B39">
        <w:rPr>
          <w:lang w:eastAsia="es-ES_tradnl"/>
        </w:rPr>
        <w:t>artículos</w:t>
      </w:r>
      <w:proofErr w:type="spellEnd"/>
      <w:r w:rsidRPr="004E2B39">
        <w:rPr>
          <w:lang w:eastAsia="es-ES_tradnl"/>
        </w:rPr>
        <w:t xml:space="preserve"> 5.1, 4.1, 8.1 y 25 de la Convención Americana sobre Derechos Humanos, en </w:t>
      </w:r>
      <w:proofErr w:type="spellStart"/>
      <w:r w:rsidRPr="004E2B39">
        <w:rPr>
          <w:lang w:eastAsia="es-ES_tradnl"/>
        </w:rPr>
        <w:t>relación</w:t>
      </w:r>
      <w:proofErr w:type="spellEnd"/>
      <w:r w:rsidRPr="004E2B39">
        <w:rPr>
          <w:lang w:eastAsia="es-ES_tradnl"/>
        </w:rPr>
        <w:t xml:space="preserve"> con el artículo 1.1 de la misma, en perjuicio de la </w:t>
      </w:r>
      <w:proofErr w:type="spellStart"/>
      <w:r w:rsidRPr="004E2B39">
        <w:rPr>
          <w:lang w:eastAsia="es-ES_tradnl"/>
        </w:rPr>
        <w:t>señora</w:t>
      </w:r>
      <w:proofErr w:type="spellEnd"/>
      <w:r w:rsidRPr="004E2B39">
        <w:rPr>
          <w:lang w:eastAsia="es-ES_tradnl"/>
        </w:rPr>
        <w:t xml:space="preserve"> </w:t>
      </w:r>
      <w:proofErr w:type="spellStart"/>
      <w:r w:rsidRPr="004E2B39">
        <w:rPr>
          <w:lang w:eastAsia="es-ES_tradnl"/>
        </w:rPr>
        <w:t>María</w:t>
      </w:r>
      <w:proofErr w:type="spellEnd"/>
      <w:r w:rsidRPr="004E2B39">
        <w:rPr>
          <w:lang w:eastAsia="es-ES_tradnl"/>
        </w:rPr>
        <w:t xml:space="preserve"> </w:t>
      </w:r>
      <w:proofErr w:type="spellStart"/>
      <w:r w:rsidRPr="004E2B39">
        <w:rPr>
          <w:lang w:eastAsia="es-ES_tradnl"/>
        </w:rPr>
        <w:t>Inés</w:t>
      </w:r>
      <w:proofErr w:type="spellEnd"/>
      <w:r w:rsidRPr="004E2B39">
        <w:rPr>
          <w:lang w:eastAsia="es-ES_tradnl"/>
        </w:rPr>
        <w:t xml:space="preserve"> Chinchilla Sandoval, quien </w:t>
      </w:r>
      <w:proofErr w:type="spellStart"/>
      <w:r w:rsidRPr="004E2B39">
        <w:rPr>
          <w:lang w:eastAsia="es-ES_tradnl"/>
        </w:rPr>
        <w:t>padecio</w:t>
      </w:r>
      <w:proofErr w:type="spellEnd"/>
      <w:r w:rsidRPr="004E2B39">
        <w:rPr>
          <w:lang w:eastAsia="es-ES_tradnl"/>
        </w:rPr>
        <w:t xml:space="preserve">́ varios problemas de salud y una situación de discapacidad </w:t>
      </w:r>
      <w:proofErr w:type="spellStart"/>
      <w:r w:rsidRPr="004E2B39">
        <w:rPr>
          <w:lang w:eastAsia="es-ES_tradnl"/>
        </w:rPr>
        <w:t>física</w:t>
      </w:r>
      <w:proofErr w:type="spellEnd"/>
      <w:r w:rsidRPr="004E2B39">
        <w:rPr>
          <w:lang w:eastAsia="es-ES_tradnl"/>
        </w:rPr>
        <w:t xml:space="preserve"> sobrevenida, que terminaron con su muerte, mientras se encontraba privada de libertad cumpliendo una condena penal.</w:t>
      </w:r>
    </w:p>
  </w:footnote>
  <w:footnote w:id="46">
    <w:p w14:paraId="3C74C7A0" w14:textId="6F4FE73C" w:rsidR="007269CF" w:rsidRPr="004E2B39" w:rsidRDefault="007269CF" w:rsidP="004E2B39">
      <w:pPr>
        <w:pStyle w:val="Footnotes"/>
      </w:pPr>
      <w:r w:rsidRPr="004E2B39">
        <w:rPr>
          <w:rStyle w:val="Refdenotaalpie"/>
        </w:rPr>
        <w:footnoteRef/>
      </w:r>
      <w:r w:rsidRPr="004E2B39">
        <w:rPr>
          <w:vertAlign w:val="superscript"/>
        </w:rPr>
        <w:t xml:space="preserve"> </w:t>
      </w:r>
      <w:r w:rsidRPr="004E2B39">
        <w:t xml:space="preserve">El 31 de agosto de 2020, la Corte Interamericana de Derechos Humanos dictó sentencia mediante la cual declaró la responsabilidad internacional de la </w:t>
      </w:r>
      <w:proofErr w:type="spellStart"/>
      <w:r w:rsidRPr="004E2B39">
        <w:t>República</w:t>
      </w:r>
      <w:proofErr w:type="spellEnd"/>
      <w:r w:rsidRPr="004E2B39">
        <w:t xml:space="preserve"> Argentina por las violaciones a diversos derechos en perjuicio del </w:t>
      </w:r>
      <w:proofErr w:type="spellStart"/>
      <w:r w:rsidRPr="004E2B39">
        <w:t>señor</w:t>
      </w:r>
      <w:proofErr w:type="spellEnd"/>
      <w:r w:rsidRPr="004E2B39">
        <w:t xml:space="preserve"> </w:t>
      </w:r>
      <w:proofErr w:type="spellStart"/>
      <w:r w:rsidRPr="004E2B39">
        <w:t>Jose</w:t>
      </w:r>
      <w:proofErr w:type="spellEnd"/>
      <w:r w:rsidRPr="004E2B39">
        <w:t xml:space="preserve">́ </w:t>
      </w:r>
      <w:proofErr w:type="spellStart"/>
      <w:r w:rsidRPr="004E2B39">
        <w:t>Delfín</w:t>
      </w:r>
      <w:proofErr w:type="spellEnd"/>
      <w:r w:rsidRPr="004E2B39">
        <w:t xml:space="preserve"> Acosta </w:t>
      </w:r>
      <w:proofErr w:type="spellStart"/>
      <w:r w:rsidRPr="004E2B39">
        <w:t>Martínez</w:t>
      </w:r>
      <w:proofErr w:type="spellEnd"/>
      <w:r w:rsidRPr="004E2B39">
        <w:t xml:space="preserve"> y sus familiares: su madre, Blanca Rosa </w:t>
      </w:r>
      <w:proofErr w:type="spellStart"/>
      <w:r w:rsidRPr="004E2B39">
        <w:t>Martínez</w:t>
      </w:r>
      <w:proofErr w:type="spellEnd"/>
      <w:r w:rsidRPr="004E2B39">
        <w:t xml:space="preserve">, y su hermano, </w:t>
      </w:r>
      <w:proofErr w:type="spellStart"/>
      <w:r w:rsidRPr="004E2B39">
        <w:t>Ángel</w:t>
      </w:r>
      <w:proofErr w:type="spellEnd"/>
      <w:r w:rsidRPr="004E2B39">
        <w:t xml:space="preserve"> Acosta </w:t>
      </w:r>
      <w:proofErr w:type="spellStart"/>
      <w:r w:rsidRPr="004E2B39">
        <w:t>Martínez</w:t>
      </w:r>
      <w:proofErr w:type="spellEnd"/>
      <w:r w:rsidRPr="004E2B39">
        <w:t xml:space="preserve">. En particular, la Corte consideró que la </w:t>
      </w:r>
      <w:proofErr w:type="spellStart"/>
      <w:r w:rsidRPr="004E2B39">
        <w:t>privación</w:t>
      </w:r>
      <w:proofErr w:type="spellEnd"/>
      <w:r w:rsidRPr="004E2B39">
        <w:t xml:space="preserve"> de libertad a la que fue sometido </w:t>
      </w:r>
      <w:proofErr w:type="spellStart"/>
      <w:r w:rsidRPr="004E2B39">
        <w:t>Jose</w:t>
      </w:r>
      <w:proofErr w:type="spellEnd"/>
      <w:r w:rsidRPr="004E2B39">
        <w:t xml:space="preserve">́ </w:t>
      </w:r>
      <w:proofErr w:type="spellStart"/>
      <w:r w:rsidRPr="004E2B39">
        <w:t>Delfín</w:t>
      </w:r>
      <w:proofErr w:type="spellEnd"/>
      <w:r w:rsidRPr="004E2B39">
        <w:t xml:space="preserve"> Acosta </w:t>
      </w:r>
      <w:proofErr w:type="spellStart"/>
      <w:r w:rsidRPr="004E2B39">
        <w:t>Martínez</w:t>
      </w:r>
      <w:proofErr w:type="spellEnd"/>
      <w:r w:rsidRPr="004E2B39">
        <w:t xml:space="preserve"> fue ilegal, arbitraria y discriminatoria, ya que se basó en el uso de estereotipos raciales y en una </w:t>
      </w:r>
      <w:proofErr w:type="spellStart"/>
      <w:r w:rsidRPr="004E2B39">
        <w:t>legislación</w:t>
      </w:r>
      <w:proofErr w:type="spellEnd"/>
      <w:r w:rsidRPr="004E2B39">
        <w:t xml:space="preserve"> que no </w:t>
      </w:r>
      <w:proofErr w:type="spellStart"/>
      <w:r w:rsidRPr="004E2B39">
        <w:t>cumplía</w:t>
      </w:r>
      <w:proofErr w:type="spellEnd"/>
      <w:r w:rsidRPr="004E2B39">
        <w:t xml:space="preserve"> con los </w:t>
      </w:r>
      <w:proofErr w:type="spellStart"/>
      <w:r w:rsidRPr="004E2B39">
        <w:t>estándares</w:t>
      </w:r>
      <w:proofErr w:type="spellEnd"/>
      <w:r w:rsidRPr="004E2B39">
        <w:t xml:space="preserve"> convencionales. </w:t>
      </w:r>
      <w:proofErr w:type="spellStart"/>
      <w:r w:rsidRPr="004E2B39">
        <w:t>Además</w:t>
      </w:r>
      <w:proofErr w:type="spellEnd"/>
      <w:r w:rsidRPr="004E2B39">
        <w:t xml:space="preserve">, declaró la responsabilidad del Estado por la </w:t>
      </w:r>
      <w:proofErr w:type="spellStart"/>
      <w:r w:rsidRPr="004E2B39">
        <w:t>afectación</w:t>
      </w:r>
      <w:proofErr w:type="spellEnd"/>
      <w:r w:rsidRPr="004E2B39">
        <w:t xml:space="preserve"> a la integridad personal y posterior muerte de </w:t>
      </w:r>
      <w:proofErr w:type="spellStart"/>
      <w:r w:rsidRPr="004E2B39">
        <w:t>Jose</w:t>
      </w:r>
      <w:proofErr w:type="spellEnd"/>
      <w:r w:rsidRPr="004E2B39">
        <w:t xml:space="preserve">́ </w:t>
      </w:r>
      <w:proofErr w:type="spellStart"/>
      <w:r w:rsidRPr="004E2B39">
        <w:t>Delfín</w:t>
      </w:r>
      <w:proofErr w:type="spellEnd"/>
      <w:r w:rsidRPr="004E2B39">
        <w:t xml:space="preserve"> Acosta </w:t>
      </w:r>
      <w:proofErr w:type="spellStart"/>
      <w:r w:rsidRPr="004E2B39">
        <w:t>Martínez</w:t>
      </w:r>
      <w:proofErr w:type="spellEnd"/>
      <w:r w:rsidRPr="004E2B39">
        <w:t xml:space="preserve"> mientras se encontraba bajo custodia de autoridades estatales. Asimismo, el Tribunal concluyó que se dio una indebida </w:t>
      </w:r>
      <w:proofErr w:type="spellStart"/>
      <w:r w:rsidRPr="004E2B39">
        <w:t>investigación</w:t>
      </w:r>
      <w:proofErr w:type="spellEnd"/>
      <w:r w:rsidRPr="004E2B39">
        <w:t xml:space="preserve"> de los hechos y que se afectó la integridad personal de los familiares de </w:t>
      </w:r>
      <w:proofErr w:type="spellStart"/>
      <w:r w:rsidRPr="004E2B39">
        <w:t>Jose</w:t>
      </w:r>
      <w:proofErr w:type="spellEnd"/>
      <w:r w:rsidRPr="004E2B39">
        <w:t xml:space="preserve">́ </w:t>
      </w:r>
      <w:proofErr w:type="spellStart"/>
      <w:r w:rsidRPr="004E2B39">
        <w:t>Delfín</w:t>
      </w:r>
      <w:proofErr w:type="spellEnd"/>
      <w:r w:rsidRPr="004E2B39">
        <w:t xml:space="preserve"> Acosta </w:t>
      </w:r>
      <w:proofErr w:type="spellStart"/>
      <w:r w:rsidRPr="004E2B39">
        <w:t>Martínez</w:t>
      </w:r>
      <w:proofErr w:type="spellEnd"/>
      <w:r w:rsidRPr="004E2B39">
        <w:t xml:space="preserve">. En consecuencia, la Corte concluyó que el Estado era responsable por la </w:t>
      </w:r>
      <w:proofErr w:type="spellStart"/>
      <w:r w:rsidRPr="004E2B39">
        <w:t>violación</w:t>
      </w:r>
      <w:proofErr w:type="spellEnd"/>
      <w:r w:rsidRPr="004E2B39">
        <w:t xml:space="preserve"> de los </w:t>
      </w:r>
      <w:proofErr w:type="spellStart"/>
      <w:r w:rsidRPr="004E2B39">
        <w:t>artículos</w:t>
      </w:r>
      <w:proofErr w:type="spellEnd"/>
      <w:r w:rsidRPr="004E2B39">
        <w:t xml:space="preserve"> 4.1, 5.1, 5.2, 7.1, 7.2, 7.3, 7.4 y 24 de la Convención Americana sobre Derechos Humanos, en </w:t>
      </w:r>
      <w:proofErr w:type="spellStart"/>
      <w:r w:rsidRPr="004E2B39">
        <w:t>relación</w:t>
      </w:r>
      <w:proofErr w:type="spellEnd"/>
      <w:r w:rsidRPr="004E2B39">
        <w:t xml:space="preserve"> con los </w:t>
      </w:r>
      <w:proofErr w:type="spellStart"/>
      <w:r w:rsidRPr="004E2B39">
        <w:t>artículos</w:t>
      </w:r>
      <w:proofErr w:type="spellEnd"/>
      <w:r w:rsidRPr="004E2B39">
        <w:t xml:space="preserve"> 1.1 y 2 del mismo instrumento, en perjuicio de </w:t>
      </w:r>
      <w:proofErr w:type="spellStart"/>
      <w:r w:rsidRPr="004E2B39">
        <w:t>Jose</w:t>
      </w:r>
      <w:proofErr w:type="spellEnd"/>
      <w:r w:rsidRPr="004E2B39">
        <w:t xml:space="preserve">́ </w:t>
      </w:r>
      <w:proofErr w:type="spellStart"/>
      <w:r w:rsidRPr="004E2B39">
        <w:t>Delfín</w:t>
      </w:r>
      <w:proofErr w:type="spellEnd"/>
      <w:r w:rsidRPr="004E2B39">
        <w:t xml:space="preserve"> Acosta </w:t>
      </w:r>
      <w:proofErr w:type="spellStart"/>
      <w:r w:rsidRPr="004E2B39">
        <w:t>Martínez</w:t>
      </w:r>
      <w:proofErr w:type="spellEnd"/>
      <w:r w:rsidRPr="004E2B39">
        <w:t xml:space="preserve">, </w:t>
      </w:r>
      <w:proofErr w:type="spellStart"/>
      <w:r w:rsidRPr="004E2B39">
        <w:t>asi</w:t>
      </w:r>
      <w:proofErr w:type="spellEnd"/>
      <w:r w:rsidRPr="004E2B39">
        <w:t xml:space="preserve">́ como por la </w:t>
      </w:r>
      <w:proofErr w:type="spellStart"/>
      <w:r w:rsidRPr="004E2B39">
        <w:t>violación</w:t>
      </w:r>
      <w:proofErr w:type="spellEnd"/>
      <w:r w:rsidRPr="004E2B39">
        <w:t xml:space="preserve"> a los </w:t>
      </w:r>
      <w:proofErr w:type="spellStart"/>
      <w:r w:rsidRPr="004E2B39">
        <w:t>artículos</w:t>
      </w:r>
      <w:proofErr w:type="spellEnd"/>
      <w:r w:rsidRPr="004E2B39">
        <w:t xml:space="preserve"> 8.1 y 25.1 en </w:t>
      </w:r>
      <w:proofErr w:type="spellStart"/>
      <w:r w:rsidRPr="004E2B39">
        <w:t>relación</w:t>
      </w:r>
      <w:proofErr w:type="spellEnd"/>
      <w:r w:rsidRPr="004E2B39">
        <w:t xml:space="preserve"> con el artículo 1.1 de la Convención, en perjuicio de </w:t>
      </w:r>
      <w:proofErr w:type="spellStart"/>
      <w:r w:rsidRPr="004E2B39">
        <w:t>Ángel</w:t>
      </w:r>
      <w:proofErr w:type="spellEnd"/>
      <w:r w:rsidRPr="004E2B39">
        <w:t xml:space="preserve"> Acosta </w:t>
      </w:r>
      <w:proofErr w:type="spellStart"/>
      <w:r w:rsidRPr="004E2B39">
        <w:t>Martínez</w:t>
      </w:r>
      <w:proofErr w:type="spellEnd"/>
      <w:r w:rsidRPr="004E2B39">
        <w:t xml:space="preserve"> y Blanca Rosa </w:t>
      </w:r>
      <w:proofErr w:type="spellStart"/>
      <w:r w:rsidRPr="004E2B39">
        <w:t>Martínez</w:t>
      </w:r>
      <w:proofErr w:type="spellEnd"/>
      <w:r w:rsidRPr="004E2B39">
        <w:t>.</w:t>
      </w:r>
    </w:p>
  </w:footnote>
  <w:footnote w:id="47">
    <w:p w14:paraId="6B820E6A" w14:textId="77777777" w:rsidR="007269CF" w:rsidRPr="004E2B39" w:rsidRDefault="007269CF" w:rsidP="004E2B39">
      <w:pPr>
        <w:pStyle w:val="Textonotapie"/>
        <w:rPr>
          <w:rFonts w:ascii="Verdana" w:hAnsi="Verdana" w:cstheme="minorHAnsi"/>
          <w:sz w:val="16"/>
          <w:szCs w:val="16"/>
          <w:lang w:val="es-CL"/>
        </w:rPr>
      </w:pPr>
      <w:r w:rsidRPr="004E2B39">
        <w:rPr>
          <w:rStyle w:val="Refdenotaalpie"/>
          <w:rFonts w:ascii="Verdana" w:hAnsi="Verdana" w:cstheme="minorHAnsi"/>
          <w:sz w:val="16"/>
          <w:szCs w:val="16"/>
        </w:rPr>
        <w:footnoteRef/>
      </w:r>
      <w:r w:rsidRPr="004E2B39">
        <w:rPr>
          <w:rFonts w:ascii="Verdana" w:hAnsi="Verdana" w:cstheme="minorHAnsi"/>
          <w:sz w:val="16"/>
          <w:szCs w:val="16"/>
          <w:lang w:val="es-CL"/>
        </w:rPr>
        <w:t xml:space="preserve"> El caso se refiere a la responsabilidad internacional del Estado por la utilización excesiva de la fuerza que resultó en la muerte de decenas de presos, así como de numerosos heridos en el marco de un operativo en el centro penitenciario Miguel Castro </w:t>
      </w:r>
      <w:proofErr w:type="spellStart"/>
      <w:r w:rsidRPr="004E2B39">
        <w:rPr>
          <w:rFonts w:ascii="Verdana" w:hAnsi="Verdana" w:cstheme="minorHAnsi"/>
          <w:sz w:val="16"/>
          <w:szCs w:val="16"/>
          <w:lang w:val="es-CL"/>
        </w:rPr>
        <w:t>Castro</w:t>
      </w:r>
      <w:proofErr w:type="spellEnd"/>
      <w:r w:rsidRPr="004E2B39">
        <w:rPr>
          <w:rFonts w:ascii="Verdana" w:hAnsi="Verdana" w:cstheme="minorHAnsi"/>
          <w:sz w:val="16"/>
          <w:szCs w:val="16"/>
          <w:lang w:val="es-CL"/>
        </w:rPr>
        <w:t>. La Corte determinó la violación de los siguientes derechos: Artículo 1 (Obligación de respetar los derechos), Artículo 11 (Derecho a la honra y dignidad), Artículo 12 (Libertad de conciencia y de religión), Artículo 13 (Libertad de pensamiento y expresión), Artículo 25 (Protección Judicial), Artículo 4 (Derecho a la vida), Artículo 5 (Derecho a la Integridad Personal), Artículo 7 (Derecho a la libertad personal), Artículo 8 (Garantías Judiciales).</w:t>
      </w:r>
    </w:p>
    <w:p w14:paraId="776FD770" w14:textId="77777777" w:rsidR="007269CF" w:rsidRPr="004E2B39" w:rsidRDefault="007269CF" w:rsidP="004E2B39">
      <w:pPr>
        <w:pStyle w:val="Textonotapie"/>
        <w:rPr>
          <w:rFonts w:ascii="Verdana" w:hAnsi="Verdana" w:cstheme="minorHAnsi"/>
          <w:sz w:val="16"/>
          <w:szCs w:val="16"/>
          <w:lang w:val="es-CL"/>
        </w:rPr>
      </w:pPr>
    </w:p>
  </w:footnote>
  <w:footnote w:id="48">
    <w:p w14:paraId="7AB04CA0" w14:textId="77777777" w:rsidR="007269CF" w:rsidRPr="004E2B39" w:rsidRDefault="007269CF" w:rsidP="004E2B39">
      <w:pPr>
        <w:pStyle w:val="Footnotes"/>
      </w:pPr>
      <w:r w:rsidRPr="004E2B39">
        <w:rPr>
          <w:rStyle w:val="Refdenotaalpie"/>
          <w:color w:val="A6A6A6" w:themeColor="background1" w:themeShade="A6"/>
        </w:rPr>
        <w:footnoteRef/>
      </w:r>
      <w:r w:rsidRPr="004E2B39">
        <w:t xml:space="preserve"> Este caso se refiere a la responsabilidad internacional del Estado por las violaciones de derechos humanos cometidas por haber incumplido con su obligación de garantizar los derechos a la integridad personal y a no ser desplazado forzadamente, en perjuicio de los miembros de las Comunidades afrodescendientes desplazadas del Cacarica, en </w:t>
      </w:r>
      <w:proofErr w:type="spellStart"/>
      <w:r w:rsidRPr="004E2B39">
        <w:t>Riosucio</w:t>
      </w:r>
      <w:proofErr w:type="spellEnd"/>
      <w:r w:rsidRPr="004E2B39">
        <w:t xml:space="preserve">, Departamento del Chocó. Los hechos del caso también se refieren a la </w:t>
      </w:r>
      <w:proofErr w:type="spellStart"/>
      <w:r w:rsidRPr="004E2B39">
        <w:t>desposesión</w:t>
      </w:r>
      <w:proofErr w:type="spellEnd"/>
      <w:r w:rsidRPr="004E2B39">
        <w:t xml:space="preserve"> ilegal de los territorios ancestrales pertenecientes a las comunidades afrodescendientes de la cuenta del rio Cacarica. Del mismo modo, la Corte declaró que los actos crueles, inhumanos y degradantes a que fue sometido el </w:t>
      </w:r>
      <w:proofErr w:type="spellStart"/>
      <w:r w:rsidRPr="004E2B39">
        <w:t>señor</w:t>
      </w:r>
      <w:proofErr w:type="spellEnd"/>
      <w:r w:rsidRPr="004E2B39">
        <w:t xml:space="preserve"> Marino </w:t>
      </w:r>
      <w:proofErr w:type="spellStart"/>
      <w:r w:rsidRPr="004E2B39">
        <w:t>López</w:t>
      </w:r>
      <w:proofErr w:type="spellEnd"/>
      <w:r w:rsidRPr="004E2B39">
        <w:t xml:space="preserve"> en el poblado de Bijao, </w:t>
      </w:r>
      <w:proofErr w:type="spellStart"/>
      <w:r w:rsidRPr="004E2B39">
        <w:t>asi</w:t>
      </w:r>
      <w:proofErr w:type="spellEnd"/>
      <w:r w:rsidRPr="004E2B39">
        <w:t xml:space="preserve">́ como la </w:t>
      </w:r>
      <w:proofErr w:type="spellStart"/>
      <w:r w:rsidRPr="004E2B39">
        <w:t>privación</w:t>
      </w:r>
      <w:proofErr w:type="spellEnd"/>
      <w:r w:rsidRPr="004E2B39">
        <w:t xml:space="preserve"> de su vida, cometidos por miembros de grupos paramilitares, son atribuibles al Estado por la aquiescencia o </w:t>
      </w:r>
      <w:proofErr w:type="spellStart"/>
      <w:r w:rsidRPr="004E2B39">
        <w:t>colaboración</w:t>
      </w:r>
      <w:proofErr w:type="spellEnd"/>
      <w:r w:rsidRPr="004E2B39">
        <w:t xml:space="preserve"> que prestaron agentes de la fuerza </w:t>
      </w:r>
      <w:proofErr w:type="spellStart"/>
      <w:r w:rsidRPr="004E2B39">
        <w:t>pública</w:t>
      </w:r>
      <w:proofErr w:type="spellEnd"/>
      <w:r w:rsidRPr="004E2B39">
        <w:t xml:space="preserve"> para las operaciones de esos grupos, lo cual les facilitó las incursiones a las comunidades del Cacarica y propició o </w:t>
      </w:r>
      <w:proofErr w:type="spellStart"/>
      <w:r w:rsidRPr="004E2B39">
        <w:t>permitio</w:t>
      </w:r>
      <w:proofErr w:type="spellEnd"/>
      <w:r w:rsidRPr="004E2B39">
        <w:t xml:space="preserve">́ la </w:t>
      </w:r>
      <w:proofErr w:type="spellStart"/>
      <w:r w:rsidRPr="004E2B39">
        <w:t>comisión</w:t>
      </w:r>
      <w:proofErr w:type="spellEnd"/>
      <w:r w:rsidRPr="004E2B39">
        <w:t xml:space="preserve"> de este tipo de actos. Como consecuencia de lo anterior, la Corte concluyó que el Estado es responsable por la </w:t>
      </w:r>
      <w:proofErr w:type="spellStart"/>
      <w:r w:rsidRPr="004E2B39">
        <w:t>violación</w:t>
      </w:r>
      <w:proofErr w:type="spellEnd"/>
      <w:r w:rsidRPr="004E2B39">
        <w:t xml:space="preserve"> de los derechos reconocidos en los </w:t>
      </w:r>
      <w:proofErr w:type="spellStart"/>
      <w:r w:rsidRPr="004E2B39">
        <w:t>artículos</w:t>
      </w:r>
      <w:proofErr w:type="spellEnd"/>
      <w:r w:rsidRPr="004E2B39">
        <w:t xml:space="preserve"> 4, 5, 8.1, 19, 21, 22 y 25 de la Convención Americana.</w:t>
      </w:r>
    </w:p>
  </w:footnote>
  <w:footnote w:id="49">
    <w:p w14:paraId="554DC9D9" w14:textId="77777777"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27 de noviembre de 2013 la Corte Interamericana de Derechos Humanos emitió su sentencia sobre la excepción preliminar, fondo, reparaciones y costas en el presente caso, en la cual desestimó la excepción preliminar planteada por el Estado y declaró, por unanimidad, que el Estado es responsable por la violación del derecho a la libertad personal, de las garantías judiciales, de los derechos a la integridad personal, a la dignidad y a la vida privada, así como del incumplimiento de su obligación de garantizar dichos derechos, a través de una investigación efectiva de los hechos, en perjuicio de la señora J.</w:t>
      </w:r>
    </w:p>
  </w:footnote>
  <w:footnote w:id="50">
    <w:p w14:paraId="35A186E8" w14:textId="15ACA223" w:rsidR="007269CF" w:rsidRPr="004E2B39" w:rsidRDefault="007269CF"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caso se refiere a la responsabilidad internacional del Estado por la masacre de 268 personas en Plan de Sánchez, así como por la falta de investigación y sanción de los responsables. La Corte estableció la responsabilidad internacional del Estado por la violación de los siguientes derechos convencionales: Artículo 1 (Obligación de respetar los derecho</w:t>
      </w:r>
      <w:r w:rsidR="009D6D33" w:rsidRPr="004E2B39">
        <w:rPr>
          <w:rFonts w:ascii="Verdana" w:hAnsi="Verdana"/>
          <w:sz w:val="16"/>
          <w:szCs w:val="16"/>
          <w:lang w:val="es-CL"/>
        </w:rPr>
        <w:t>s),</w:t>
      </w:r>
      <w:r w:rsidRPr="004E2B39">
        <w:rPr>
          <w:rFonts w:ascii="Verdana" w:hAnsi="Verdana"/>
          <w:sz w:val="16"/>
          <w:szCs w:val="16"/>
          <w:lang w:val="es-CL"/>
        </w:rPr>
        <w:t xml:space="preserve"> Artículo 11 (Derecho a la honra y dignidad)</w:t>
      </w:r>
      <w:r w:rsidR="009D6D33" w:rsidRPr="004E2B39">
        <w:rPr>
          <w:rFonts w:ascii="Verdana" w:hAnsi="Verdana"/>
          <w:sz w:val="16"/>
          <w:szCs w:val="16"/>
          <w:lang w:val="es-CL"/>
        </w:rPr>
        <w:t>,</w:t>
      </w:r>
      <w:r w:rsidRPr="004E2B39">
        <w:rPr>
          <w:rFonts w:ascii="Verdana" w:hAnsi="Verdana"/>
          <w:sz w:val="16"/>
          <w:szCs w:val="16"/>
          <w:lang w:val="es-CL"/>
        </w:rPr>
        <w:t xml:space="preserve"> Artículo 12 (Libertad de conciencia y de religión)</w:t>
      </w:r>
      <w:r w:rsidR="009D6D33" w:rsidRPr="004E2B39">
        <w:rPr>
          <w:rFonts w:ascii="Verdana" w:hAnsi="Verdana"/>
          <w:sz w:val="16"/>
          <w:szCs w:val="16"/>
          <w:lang w:val="es-CL"/>
        </w:rPr>
        <w:t>,</w:t>
      </w:r>
      <w:r w:rsidRPr="004E2B39">
        <w:rPr>
          <w:rFonts w:ascii="Verdana" w:hAnsi="Verdana"/>
          <w:sz w:val="16"/>
          <w:szCs w:val="16"/>
          <w:lang w:val="es-CL"/>
        </w:rPr>
        <w:t xml:space="preserve"> Artículo 13 (Libertad de pensamiento y expresión)</w:t>
      </w:r>
      <w:r w:rsidR="009D6D33" w:rsidRPr="004E2B39">
        <w:rPr>
          <w:rFonts w:ascii="Verdana" w:hAnsi="Verdana"/>
          <w:sz w:val="16"/>
          <w:szCs w:val="16"/>
          <w:lang w:val="es-CL"/>
        </w:rPr>
        <w:t>,</w:t>
      </w:r>
      <w:r w:rsidRPr="004E2B39">
        <w:rPr>
          <w:rFonts w:ascii="Verdana" w:hAnsi="Verdana"/>
          <w:sz w:val="16"/>
          <w:szCs w:val="16"/>
          <w:lang w:val="es-CL"/>
        </w:rPr>
        <w:t xml:space="preserve"> Artículo 16 (Derecho a la Libertad de Asociación)</w:t>
      </w:r>
      <w:r w:rsidR="009D6D33" w:rsidRPr="004E2B39">
        <w:rPr>
          <w:rFonts w:ascii="Verdana" w:hAnsi="Verdana"/>
          <w:sz w:val="16"/>
          <w:szCs w:val="16"/>
          <w:lang w:val="es-CL"/>
        </w:rPr>
        <w:t>,</w:t>
      </w:r>
      <w:r w:rsidRPr="004E2B39">
        <w:rPr>
          <w:rFonts w:ascii="Verdana" w:hAnsi="Verdana"/>
          <w:sz w:val="16"/>
          <w:szCs w:val="16"/>
          <w:lang w:val="es-CL"/>
        </w:rPr>
        <w:t xml:space="preserve"> Artículo 24 (Igualdad ante la ley)</w:t>
      </w:r>
      <w:r w:rsidR="009D6D33" w:rsidRPr="004E2B39">
        <w:rPr>
          <w:rFonts w:ascii="Verdana" w:hAnsi="Verdana"/>
          <w:sz w:val="16"/>
          <w:szCs w:val="16"/>
          <w:lang w:val="es-CL"/>
        </w:rPr>
        <w:t>,</w:t>
      </w:r>
      <w:r w:rsidRPr="004E2B39">
        <w:rPr>
          <w:rFonts w:ascii="Verdana" w:hAnsi="Verdana"/>
          <w:sz w:val="16"/>
          <w:szCs w:val="16"/>
          <w:lang w:val="es-CL"/>
        </w:rPr>
        <w:t xml:space="preserve"> Artículo 25 (Protección Judicial)</w:t>
      </w:r>
      <w:r w:rsidR="009D6D33" w:rsidRPr="004E2B39">
        <w:rPr>
          <w:rFonts w:ascii="Verdana" w:hAnsi="Verdana"/>
          <w:sz w:val="16"/>
          <w:szCs w:val="16"/>
          <w:lang w:val="es-CL"/>
        </w:rPr>
        <w:t>,</w:t>
      </w:r>
      <w:r w:rsidRPr="004E2B39">
        <w:rPr>
          <w:rFonts w:ascii="Verdana" w:hAnsi="Verdana"/>
          <w:sz w:val="16"/>
          <w:szCs w:val="16"/>
          <w:lang w:val="es-CL"/>
        </w:rPr>
        <w:t xml:space="preserve"> Artículo 5 (Derecho a la Integridad Personal)</w:t>
      </w:r>
      <w:r w:rsidR="009D6D33" w:rsidRPr="004E2B39">
        <w:rPr>
          <w:rFonts w:ascii="Verdana" w:hAnsi="Verdana"/>
          <w:sz w:val="16"/>
          <w:szCs w:val="16"/>
          <w:lang w:val="es-CL"/>
        </w:rPr>
        <w:t>,</w:t>
      </w:r>
      <w:r w:rsidRPr="004E2B39">
        <w:rPr>
          <w:rFonts w:ascii="Verdana" w:hAnsi="Verdana"/>
          <w:sz w:val="16"/>
          <w:szCs w:val="16"/>
          <w:lang w:val="es-CL"/>
        </w:rPr>
        <w:t xml:space="preserve"> Artículo 8 (Garantías Judiciales).</w:t>
      </w:r>
    </w:p>
  </w:footnote>
  <w:footnote w:id="51">
    <w:p w14:paraId="73265BC3" w14:textId="432462AD" w:rsidR="007269CF" w:rsidRPr="004E2B39" w:rsidRDefault="007269CF" w:rsidP="004E2B39">
      <w:pPr>
        <w:pStyle w:val="Footnotes"/>
      </w:pPr>
      <w:r w:rsidRPr="004E2B39">
        <w:rPr>
          <w:rStyle w:val="Refdenotaalpie"/>
          <w:color w:val="A6A6A6" w:themeColor="background1" w:themeShade="A6"/>
        </w:rPr>
        <w:footnoteRef/>
      </w:r>
      <w:r w:rsidRPr="004E2B39">
        <w:t xml:space="preserve"> El caso se refiere a la responsabilidad internacional del Estado por la negación de la emisión de las actas de nacimiento a favor de </w:t>
      </w:r>
      <w:proofErr w:type="spellStart"/>
      <w:r w:rsidRPr="004E2B39">
        <w:t>Dilcia</w:t>
      </w:r>
      <w:proofErr w:type="spellEnd"/>
      <w:r w:rsidRPr="004E2B39">
        <w:t xml:space="preserve"> Oliven </w:t>
      </w:r>
      <w:proofErr w:type="spellStart"/>
      <w:r w:rsidRPr="004E2B39">
        <w:t>Yean</w:t>
      </w:r>
      <w:proofErr w:type="spellEnd"/>
      <w:r w:rsidRPr="004E2B39">
        <w:t xml:space="preserve"> y Violeta </w:t>
      </w:r>
      <w:proofErr w:type="spellStart"/>
      <w:r w:rsidRPr="004E2B39">
        <w:t>Bosico</w:t>
      </w:r>
      <w:proofErr w:type="spellEnd"/>
      <w:r w:rsidRPr="004E2B39">
        <w:t xml:space="preserve"> </w:t>
      </w:r>
      <w:proofErr w:type="spellStart"/>
      <w:r w:rsidRPr="004E2B39">
        <w:t>Cofi</w:t>
      </w:r>
      <w:proofErr w:type="spellEnd"/>
      <w:r w:rsidRPr="004E2B39">
        <w:t xml:space="preserve"> a través de las autoridades del Registro Civil, y las perjudiciales consecuencias que dicha situación generó en ellas. Derechos violados: Artículo 1 (Obligación de respetar los derecho</w:t>
      </w:r>
      <w:r w:rsidR="009D6D33" w:rsidRPr="004E2B39">
        <w:t>s)</w:t>
      </w:r>
      <w:r w:rsidRPr="004E2B39">
        <w:t>, Artículo 12 (Libertad de conciencia y de religión), Artículo 17 ( Protección a la Familia), Artículo 18 (Derecho al nombre), Artículo 19 (Derecho de niño), Artículo 2 (Deber de adoptar disposiciones de derecho interno), Artículo 20 (Derecho a la nacionalidad), Artículo 21 (Derecho a la propiedad privada), Artículo 24 (Igualdad ante la ley), Artículo 25 (Protección Judicial), Artículo 3 (Derecho al reconocimiento de la personalidad jurídica), Artículo 5 (Derecho a la Integridad Personal), Artículo 8 (Garantías Judiciales).</w:t>
      </w:r>
    </w:p>
  </w:footnote>
  <w:footnote w:id="52">
    <w:p w14:paraId="7E6710A6" w14:textId="528BB406" w:rsidR="007269CF" w:rsidRPr="004E2B39" w:rsidRDefault="007269CF" w:rsidP="004E2B39">
      <w:pPr>
        <w:pStyle w:val="Footnotes"/>
        <w:rPr>
          <w:rStyle w:val="Refdenotaalpie"/>
          <w:vertAlign w:val="baseline"/>
          <w:lang w:eastAsia="es-ES_tradnl"/>
        </w:rPr>
      </w:pPr>
      <w:r w:rsidRPr="004E2B39">
        <w:rPr>
          <w:rStyle w:val="Refdenotaalpie"/>
        </w:rPr>
        <w:footnoteRef/>
      </w:r>
      <w:r w:rsidRPr="004E2B39">
        <w:rPr>
          <w:rStyle w:val="Refdenotaalpie"/>
        </w:rPr>
        <w:t xml:space="preserve"> </w:t>
      </w:r>
      <w:r w:rsidRPr="004E2B39">
        <w:rPr>
          <w:lang w:eastAsia="es-ES_tradnl"/>
        </w:rPr>
        <w:t xml:space="preserve">El 30 de noviembre de 2016 la Corte Interamericana de Derechos Humanos dictó una Sentencia mediante la cual declaró responsable internacionalmente al Estado de Guatemala por la </w:t>
      </w:r>
      <w:proofErr w:type="spellStart"/>
      <w:r w:rsidRPr="004E2B39">
        <w:rPr>
          <w:lang w:eastAsia="es-ES_tradnl"/>
        </w:rPr>
        <w:t>violación</w:t>
      </w:r>
      <w:proofErr w:type="spellEnd"/>
      <w:r w:rsidRPr="004E2B39">
        <w:rPr>
          <w:lang w:eastAsia="es-ES_tradnl"/>
        </w:rPr>
        <w:t xml:space="preserve"> de: i) los derechos a la libertad personal, integridad personal, vida y al reconocimiento de la personalidad </w:t>
      </w:r>
      <w:proofErr w:type="spellStart"/>
      <w:r w:rsidRPr="004E2B39">
        <w:rPr>
          <w:lang w:eastAsia="es-ES_tradnl"/>
        </w:rPr>
        <w:t>jurídica</w:t>
      </w:r>
      <w:proofErr w:type="spellEnd"/>
      <w:r w:rsidRPr="004E2B39">
        <w:rPr>
          <w:lang w:eastAsia="es-ES_tradnl"/>
        </w:rPr>
        <w:t xml:space="preserve">, reconocidos en los </w:t>
      </w:r>
      <w:proofErr w:type="spellStart"/>
      <w:r w:rsidRPr="004E2B39">
        <w:rPr>
          <w:lang w:eastAsia="es-ES_tradnl"/>
        </w:rPr>
        <w:t>artículos</w:t>
      </w:r>
      <w:proofErr w:type="spellEnd"/>
      <w:r w:rsidRPr="004E2B39">
        <w:rPr>
          <w:lang w:eastAsia="es-ES_tradnl"/>
        </w:rPr>
        <w:t xml:space="preserve"> 7, 5.1 y 5.2, 4.1 y 3 de la Convención Americana, en </w:t>
      </w:r>
      <w:proofErr w:type="spellStart"/>
      <w:r w:rsidRPr="004E2B39">
        <w:rPr>
          <w:lang w:eastAsia="es-ES_tradnl"/>
        </w:rPr>
        <w:t>relación</w:t>
      </w:r>
      <w:proofErr w:type="spellEnd"/>
      <w:r w:rsidRPr="004E2B39">
        <w:rPr>
          <w:lang w:eastAsia="es-ES_tradnl"/>
        </w:rPr>
        <w:t xml:space="preserve"> con el artículo 1.1 del mismo instrumento y con el artículo </w:t>
      </w:r>
      <w:proofErr w:type="spellStart"/>
      <w:r w:rsidRPr="004E2B39">
        <w:rPr>
          <w:lang w:eastAsia="es-ES_tradnl"/>
        </w:rPr>
        <w:t>I.a</w:t>
      </w:r>
      <w:proofErr w:type="spellEnd"/>
      <w:r w:rsidRPr="004E2B39">
        <w:rPr>
          <w:lang w:eastAsia="es-ES_tradnl"/>
        </w:rPr>
        <w:t xml:space="preserve">) de la Convención Interamericana sobre </w:t>
      </w:r>
      <w:proofErr w:type="spellStart"/>
      <w:r w:rsidRPr="004E2B39">
        <w:rPr>
          <w:lang w:eastAsia="es-ES_tradnl"/>
        </w:rPr>
        <w:t>Desaparición</w:t>
      </w:r>
      <w:proofErr w:type="spellEnd"/>
      <w:r w:rsidRPr="004E2B39">
        <w:rPr>
          <w:lang w:eastAsia="es-ES_tradnl"/>
        </w:rPr>
        <w:t xml:space="preserve"> Forzada de Personas, en perjuicio de 22 </w:t>
      </w:r>
      <w:proofErr w:type="spellStart"/>
      <w:r w:rsidRPr="004E2B39">
        <w:rPr>
          <w:lang w:eastAsia="es-ES_tradnl"/>
        </w:rPr>
        <w:t>víctimas</w:t>
      </w:r>
      <w:proofErr w:type="spellEnd"/>
      <w:r w:rsidRPr="004E2B39">
        <w:rPr>
          <w:lang w:eastAsia="es-ES_tradnl"/>
        </w:rPr>
        <w:t xml:space="preserve"> de </w:t>
      </w:r>
      <w:proofErr w:type="spellStart"/>
      <w:r w:rsidRPr="004E2B39">
        <w:rPr>
          <w:lang w:eastAsia="es-ES_tradnl"/>
        </w:rPr>
        <w:t>desaparición</w:t>
      </w:r>
      <w:proofErr w:type="spellEnd"/>
      <w:r w:rsidRPr="004E2B39">
        <w:rPr>
          <w:lang w:eastAsia="es-ES_tradnl"/>
        </w:rPr>
        <w:t xml:space="preserve"> forzada; ii) los derechos a la integridad </w:t>
      </w:r>
      <w:proofErr w:type="spellStart"/>
      <w:r w:rsidRPr="004E2B39">
        <w:rPr>
          <w:lang w:eastAsia="es-ES_tradnl"/>
        </w:rPr>
        <w:t>psíquica</w:t>
      </w:r>
      <w:proofErr w:type="spellEnd"/>
      <w:r w:rsidRPr="004E2B39">
        <w:rPr>
          <w:lang w:eastAsia="es-ES_tradnl"/>
        </w:rPr>
        <w:t xml:space="preserve"> y moral y a la protección a la familia, establecidos en los </w:t>
      </w:r>
      <w:proofErr w:type="spellStart"/>
      <w:r w:rsidRPr="004E2B39">
        <w:rPr>
          <w:lang w:eastAsia="es-ES_tradnl"/>
        </w:rPr>
        <w:t>artículos</w:t>
      </w:r>
      <w:proofErr w:type="spellEnd"/>
      <w:r w:rsidRPr="004E2B39">
        <w:rPr>
          <w:lang w:eastAsia="es-ES_tradnl"/>
        </w:rPr>
        <w:t xml:space="preserve"> 5.1 y 17.1 de la Convención Americana, en </w:t>
      </w:r>
      <w:proofErr w:type="spellStart"/>
      <w:r w:rsidRPr="004E2B39">
        <w:rPr>
          <w:lang w:eastAsia="es-ES_tradnl"/>
        </w:rPr>
        <w:t>relación</w:t>
      </w:r>
      <w:proofErr w:type="spellEnd"/>
      <w:r w:rsidRPr="004E2B39">
        <w:rPr>
          <w:lang w:eastAsia="es-ES_tradnl"/>
        </w:rPr>
        <w:t xml:space="preserve"> con el artículo 1.1 del mismo instrumento, en perjuicio de los familiares de las </w:t>
      </w:r>
      <w:proofErr w:type="spellStart"/>
      <w:r w:rsidRPr="004E2B39">
        <w:rPr>
          <w:lang w:eastAsia="es-ES_tradnl"/>
        </w:rPr>
        <w:t>víctimas</w:t>
      </w:r>
      <w:proofErr w:type="spellEnd"/>
      <w:r w:rsidRPr="004E2B39">
        <w:rPr>
          <w:lang w:eastAsia="es-ES_tradnl"/>
        </w:rPr>
        <w:t xml:space="preserve"> de </w:t>
      </w:r>
      <w:proofErr w:type="spellStart"/>
      <w:r w:rsidRPr="004E2B39">
        <w:rPr>
          <w:lang w:eastAsia="es-ES_tradnl"/>
        </w:rPr>
        <w:t>desaparición</w:t>
      </w:r>
      <w:proofErr w:type="spellEnd"/>
      <w:r w:rsidRPr="004E2B39">
        <w:rPr>
          <w:lang w:eastAsia="es-ES_tradnl"/>
        </w:rPr>
        <w:t xml:space="preserve"> forzada; iii) el derecho a la </w:t>
      </w:r>
      <w:proofErr w:type="spellStart"/>
      <w:r w:rsidRPr="004E2B39">
        <w:rPr>
          <w:lang w:eastAsia="es-ES_tradnl"/>
        </w:rPr>
        <w:t>circulación</w:t>
      </w:r>
      <w:proofErr w:type="spellEnd"/>
      <w:r w:rsidRPr="004E2B39">
        <w:rPr>
          <w:lang w:eastAsia="es-ES_tradnl"/>
        </w:rPr>
        <w:t xml:space="preserve"> y residencia establecido en el artículo 22.1 de la Convención Americana, en perjuicio de las personas que permanecieron desplazadas luego del 9 de marzo de 1987, y iv) los derechos a las </w:t>
      </w:r>
      <w:proofErr w:type="spellStart"/>
      <w:r w:rsidRPr="004E2B39">
        <w:rPr>
          <w:lang w:eastAsia="es-ES_tradnl"/>
        </w:rPr>
        <w:t>garantías</w:t>
      </w:r>
      <w:proofErr w:type="spellEnd"/>
      <w:r w:rsidRPr="004E2B39">
        <w:rPr>
          <w:lang w:eastAsia="es-ES_tradnl"/>
        </w:rPr>
        <w:t xml:space="preserve"> y la protección judiciales reconocidos en los </w:t>
      </w:r>
      <w:proofErr w:type="spellStart"/>
      <w:r w:rsidRPr="004E2B39">
        <w:rPr>
          <w:lang w:eastAsia="es-ES_tradnl"/>
        </w:rPr>
        <w:t>artículos</w:t>
      </w:r>
      <w:proofErr w:type="spellEnd"/>
      <w:r w:rsidRPr="004E2B39">
        <w:rPr>
          <w:lang w:eastAsia="es-ES_tradnl"/>
        </w:rPr>
        <w:t xml:space="preserve"> 8.1 y 25.1 de la Convención Americana, en </w:t>
      </w:r>
      <w:proofErr w:type="spellStart"/>
      <w:r w:rsidRPr="004E2B39">
        <w:rPr>
          <w:lang w:eastAsia="es-ES_tradnl"/>
        </w:rPr>
        <w:t>relación</w:t>
      </w:r>
      <w:proofErr w:type="spellEnd"/>
      <w:r w:rsidRPr="004E2B39">
        <w:rPr>
          <w:lang w:eastAsia="es-ES_tradnl"/>
        </w:rPr>
        <w:t xml:space="preserve"> con el artículo 1.1 de la misma, </w:t>
      </w:r>
      <w:proofErr w:type="spellStart"/>
      <w:r w:rsidRPr="004E2B39">
        <w:rPr>
          <w:lang w:eastAsia="es-ES_tradnl"/>
        </w:rPr>
        <w:t>asi</w:t>
      </w:r>
      <w:proofErr w:type="spellEnd"/>
      <w:r w:rsidRPr="004E2B39">
        <w:rPr>
          <w:lang w:eastAsia="es-ES_tradnl"/>
        </w:rPr>
        <w:t xml:space="preserve">́ como por el incumplimiento de las obligaciones establecidas en los </w:t>
      </w:r>
      <w:proofErr w:type="spellStart"/>
      <w:r w:rsidRPr="004E2B39">
        <w:rPr>
          <w:lang w:eastAsia="es-ES_tradnl"/>
        </w:rPr>
        <w:t>artículos</w:t>
      </w:r>
      <w:proofErr w:type="spellEnd"/>
      <w:r w:rsidRPr="004E2B39">
        <w:rPr>
          <w:lang w:eastAsia="es-ES_tradnl"/>
        </w:rPr>
        <w:t xml:space="preserve"> 1, 6 y 8 de la Convención Interamericana para Prevenir y Sancionar la Tortura, el artículo </w:t>
      </w:r>
      <w:proofErr w:type="spellStart"/>
      <w:r w:rsidRPr="004E2B39">
        <w:rPr>
          <w:lang w:eastAsia="es-ES_tradnl"/>
        </w:rPr>
        <w:t>I.b</w:t>
      </w:r>
      <w:proofErr w:type="spellEnd"/>
      <w:r w:rsidRPr="004E2B39">
        <w:rPr>
          <w:lang w:eastAsia="es-ES_tradnl"/>
        </w:rPr>
        <w:t xml:space="preserve">) de la Convención Interamericana sobre </w:t>
      </w:r>
      <w:proofErr w:type="spellStart"/>
      <w:r w:rsidRPr="004E2B39">
        <w:rPr>
          <w:lang w:eastAsia="es-ES_tradnl"/>
        </w:rPr>
        <w:t>Desaparición</w:t>
      </w:r>
      <w:proofErr w:type="spellEnd"/>
      <w:r w:rsidRPr="004E2B39">
        <w:rPr>
          <w:lang w:eastAsia="es-ES_tradnl"/>
        </w:rPr>
        <w:t xml:space="preserve"> Forzada de Personas y el artículo 7.b de la Convención Interamericana para Prevenir, Sancionar y Erradicar la Violencia contra la Mujer, a partir del momento en que estas entraron en vigor en Guatemala. Todo ello, en perjuicio de las </w:t>
      </w:r>
      <w:proofErr w:type="spellStart"/>
      <w:r w:rsidRPr="004E2B39">
        <w:rPr>
          <w:lang w:eastAsia="es-ES_tradnl"/>
        </w:rPr>
        <w:t>víctimas</w:t>
      </w:r>
      <w:proofErr w:type="spellEnd"/>
      <w:r w:rsidRPr="004E2B39">
        <w:rPr>
          <w:lang w:eastAsia="es-ES_tradnl"/>
        </w:rPr>
        <w:t xml:space="preserve"> o sus familiares, en sus respectivas circunstancias. </w:t>
      </w:r>
      <w:proofErr w:type="spellStart"/>
      <w:r w:rsidRPr="004E2B39">
        <w:rPr>
          <w:lang w:eastAsia="es-ES_tradnl"/>
        </w:rPr>
        <w:t>Además</w:t>
      </w:r>
      <w:proofErr w:type="spellEnd"/>
      <w:r w:rsidRPr="004E2B39">
        <w:rPr>
          <w:lang w:eastAsia="es-ES_tradnl"/>
        </w:rPr>
        <w:t xml:space="preserve">, el Estado violó el derecho de los familiares de las </w:t>
      </w:r>
      <w:proofErr w:type="spellStart"/>
      <w:r w:rsidRPr="004E2B39">
        <w:rPr>
          <w:lang w:eastAsia="es-ES_tradnl"/>
        </w:rPr>
        <w:t>víctimas</w:t>
      </w:r>
      <w:proofErr w:type="spellEnd"/>
      <w:r w:rsidRPr="004E2B39">
        <w:rPr>
          <w:lang w:eastAsia="es-ES_tradnl"/>
        </w:rPr>
        <w:t xml:space="preserve"> desaparecidas a conocer la verdad. </w:t>
      </w:r>
    </w:p>
  </w:footnote>
  <w:footnote w:id="53">
    <w:p w14:paraId="2FEFC6FF" w14:textId="77777777" w:rsidR="00DB4AAB" w:rsidRPr="004E2B39" w:rsidRDefault="00DB4AAB" w:rsidP="004E2B39">
      <w:pPr>
        <w:pStyle w:val="Textonotapie"/>
        <w:rPr>
          <w:rFonts w:ascii="Verdana" w:hAnsi="Verdana"/>
          <w:sz w:val="16"/>
          <w:szCs w:val="16"/>
          <w:lang w:val="es-CL"/>
        </w:rPr>
      </w:pPr>
      <w:r w:rsidRPr="004E2B39">
        <w:rPr>
          <w:rStyle w:val="Refdenotaalpie"/>
          <w:rFonts w:ascii="Verdana" w:hAnsi="Verdana"/>
          <w:sz w:val="16"/>
          <w:szCs w:val="16"/>
        </w:rPr>
        <w:footnoteRef/>
      </w:r>
      <w:r w:rsidRPr="004E2B39">
        <w:rPr>
          <w:rFonts w:ascii="Verdana" w:hAnsi="Verdana"/>
          <w:sz w:val="16"/>
          <w:szCs w:val="16"/>
          <w:lang w:val="es-CL"/>
        </w:rPr>
        <w:t xml:space="preserve"> El 28 de noviembre de 2018 la Corte Interamericana de Derechos Humanos emitió una Sentencia, mediante la cual declaró responsable internacionalmente a los Estados Unidos Mexicanos por la violación de los derechos a (i) la integridad personal, a la vida privada, y a no ser sometido a tortura, consagrados en los artículos 5.1, 5.2 y 11 de la Convención, en relación con las obligaciones de respetar y garantizar dichos derechos sin discriminación, consagradas en los artículos 1.1 y 2 del mismo tratado, así como en los artículos 1 y 6 de la Convención Interamericana contra la Tortura y el artículo 7 de la Convención de Belém do Pará; (ii) el derecho a la libertad personal, consagrado en el artículo 7, numerales 1, 2, 3 y 4, y el derecho a la defensa, consagrado en el artículo 8.2, literales b, d y e, de la Convención Americana; (iii) los derechos a las garantías judiciales y a la protección judicial, reconocidos en los artículos 8.1 y 25.1 de la Convención Americana, en relación con las obligaciones generales contenidas en los artículos 1.1 y 2 de la misma, los artículos 1, 6 y 8 de la Convención Interamericana contra la Tortura, y el artículo 7.b de la Convención de Belem do Pará. Asimismo, la Corte encontró al Estado responsable por la violación del derecho de reunión, consagrado en el artículo 15 de la Convención, en relación con el artículo 1.1 del mismo tratado. Finalmente, la Corte declaró al Estado responsable por la violación del derecho a la integridad personal reconocido en el artículo 5.1 de la Convención Americana, en relación con el artículo 1.1 de la misma, en perjuicio de los familiares de las once mujeres víctimas de tortura sexual, enlistados en la sentencia.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74D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8244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1CF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FA2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EE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0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0E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65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BCC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D6F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990D8D6"/>
    <w:lvl w:ilvl="0">
      <w:numFmt w:val="bullet"/>
      <w:pStyle w:val="Estilo8"/>
      <w:lvlText w:val="*"/>
      <w:lvlJc w:val="left"/>
    </w:lvl>
  </w:abstractNum>
  <w:abstractNum w:abstractNumId="11" w15:restartNumberingAfterBreak="0">
    <w:nsid w:val="3E285041"/>
    <w:multiLevelType w:val="hybridMultilevel"/>
    <w:tmpl w:val="37284C20"/>
    <w:lvl w:ilvl="0" w:tplc="FB4086BE">
      <w:start w:val="1"/>
      <w:numFmt w:val="lowerRoman"/>
      <w:lvlText w:val="(%1)"/>
      <w:lvlJc w:val="left"/>
      <w:pPr>
        <w:ind w:left="1776"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2" w15:restartNumberingAfterBreak="0">
    <w:nsid w:val="4B6B7FAA"/>
    <w:multiLevelType w:val="hybridMultilevel"/>
    <w:tmpl w:val="014C2D58"/>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6F5C"/>
    <w:multiLevelType w:val="hybridMultilevel"/>
    <w:tmpl w:val="554EE8C4"/>
    <w:lvl w:ilvl="0" w:tplc="ED0459E8">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323EEAAC">
      <w:start w:val="7"/>
      <w:numFmt w:val="decimal"/>
      <w:lvlText w:val="%2."/>
      <w:lvlJc w:val="left"/>
      <w:pPr>
        <w:ind w:left="2160" w:hanging="360"/>
      </w:pPr>
      <w:rPr>
        <w:rFonts w:hint="default"/>
      </w:rPr>
    </w:lvl>
    <w:lvl w:ilvl="2" w:tplc="B96C1A40">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79354707"/>
    <w:multiLevelType w:val="hybridMultilevel"/>
    <w:tmpl w:val="A6E41CB0"/>
    <w:lvl w:ilvl="0" w:tplc="D406991C">
      <w:start w:val="1"/>
      <w:numFmt w:val="decimal"/>
      <w:lvlText w:val="%1."/>
      <w:lvlJc w:val="left"/>
      <w:pPr>
        <w:ind w:left="825" w:hanging="825"/>
      </w:pPr>
      <w:rPr>
        <w:rFonts w:ascii="Verdana" w:eastAsia="Verdana" w:hAnsi="Verdana" w:cs="Times New Roman" w:hint="default"/>
        <w:b w:val="0"/>
        <w:i w:val="0"/>
        <w:color w:val="auto"/>
        <w:sz w:val="20"/>
        <w:szCs w:val="20"/>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7CE64D32"/>
    <w:multiLevelType w:val="hybridMultilevel"/>
    <w:tmpl w:val="72D6F5E4"/>
    <w:lvl w:ilvl="0" w:tplc="8612C280">
      <w:start w:val="1"/>
      <w:numFmt w:val="decimal"/>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lvlOverride w:ilvl="0">
      <w:lvl w:ilvl="0">
        <w:start w:val="1"/>
        <w:numFmt w:val="bullet"/>
        <w:pStyle w:val="Estilo8"/>
        <w:lvlText w:val="—"/>
        <w:legacy w:legacy="1" w:legacySpace="120" w:legacyIndent="360"/>
        <w:lvlJc w:val="left"/>
        <w:pPr>
          <w:ind w:left="1080" w:hanging="360"/>
        </w:pPr>
        <w:rPr>
          <w:rFonts w:ascii="Times" w:hAnsi="Times" w:cs="Times" w:hint="default"/>
        </w:rPr>
      </w:lvl>
    </w:lvlOverride>
  </w:num>
  <w:num w:numId="2">
    <w:abstractNumId w:val="13"/>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1"/>
  </w:num>
  <w:num w:numId="8">
    <w:abstractNumId w:val="11"/>
    <w:lvlOverride w:ilvl="0">
      <w:startOverride w:val="1"/>
    </w:lvlOverride>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activeWritingStyle w:appName="MSWord" w:lang="pt-BR" w:vendorID="64" w:dllVersion="6" w:nlCheck="1" w:checkStyle="0"/>
  <w:activeWritingStyle w:appName="MSWord" w:lang="en-US" w:vendorID="64" w:dllVersion="6" w:nlCheck="1" w:checkStyle="0"/>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n-GB" w:vendorID="64" w:dllVersion="6" w:nlCheck="1" w:checkStyle="0"/>
  <w:activeWritingStyle w:appName="MSWord" w:lang="es-CR" w:vendorID="64" w:dllVersion="6" w:nlCheck="1" w:checkStyle="0"/>
  <w:activeWritingStyle w:appName="MSWord" w:lang="es-AR" w:vendorID="64" w:dllVersion="6" w:nlCheck="1" w:checkStyle="0"/>
  <w:activeWritingStyle w:appName="MSWord" w:lang="es-MX" w:vendorID="64" w:dllVersion="6" w:nlCheck="1" w:checkStyle="0"/>
  <w:activeWritingStyle w:appName="MSWord" w:lang="es-EC" w:vendorID="64" w:dllVersion="6" w:nlCheck="1" w:checkStyle="0"/>
  <w:activeWritingStyle w:appName="MSWord" w:lang="es-PR" w:vendorID="64" w:dllVersion="6" w:nlCheck="1" w:checkStyle="0"/>
  <w:activeWritingStyle w:appName="MSWord" w:lang="es-CO" w:vendorID="64" w:dllVersion="6" w:nlCheck="1" w:checkStyle="0"/>
  <w:activeWritingStyle w:appName="MSWord" w:lang="es-PA" w:vendorID="64" w:dllVersion="6" w:nlCheck="1" w:checkStyle="0"/>
  <w:activeWritingStyle w:appName="MSWord" w:lang="es-GT" w:vendorID="64" w:dllVersion="6" w:nlCheck="1" w:checkStyle="1"/>
  <w:activeWritingStyle w:appName="MSWord" w:lang="es-VE" w:vendorID="64" w:dllVersion="6" w:nlCheck="1" w:checkStyle="0"/>
  <w:activeWritingStyle w:appName="MSWord" w:lang="es-DO" w:vendorID="64" w:dllVersion="6" w:nlCheck="1" w:checkStyle="1"/>
  <w:activeWritingStyle w:appName="MSWord" w:lang="fr-FR" w:vendorID="64" w:dllVersion="6" w:nlCheck="1" w:checkStyle="1"/>
  <w:activeWritingStyle w:appName="MSWord" w:lang="nl-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83"/>
    <w:rsid w:val="0001046B"/>
    <w:rsid w:val="00013470"/>
    <w:rsid w:val="0001369E"/>
    <w:rsid w:val="00025383"/>
    <w:rsid w:val="00025BF6"/>
    <w:rsid w:val="000262BB"/>
    <w:rsid w:val="00033680"/>
    <w:rsid w:val="00034FC2"/>
    <w:rsid w:val="000360CF"/>
    <w:rsid w:val="000361F1"/>
    <w:rsid w:val="00037F70"/>
    <w:rsid w:val="0004180E"/>
    <w:rsid w:val="00042191"/>
    <w:rsid w:val="000445D1"/>
    <w:rsid w:val="00050C62"/>
    <w:rsid w:val="00053422"/>
    <w:rsid w:val="000537E4"/>
    <w:rsid w:val="00063918"/>
    <w:rsid w:val="00065564"/>
    <w:rsid w:val="00066A0C"/>
    <w:rsid w:val="00072DE3"/>
    <w:rsid w:val="000734D7"/>
    <w:rsid w:val="000734DA"/>
    <w:rsid w:val="0007518D"/>
    <w:rsid w:val="000810D5"/>
    <w:rsid w:val="00081EFB"/>
    <w:rsid w:val="00081F40"/>
    <w:rsid w:val="000831EB"/>
    <w:rsid w:val="00090DEE"/>
    <w:rsid w:val="00091604"/>
    <w:rsid w:val="0009211A"/>
    <w:rsid w:val="000A0E97"/>
    <w:rsid w:val="000A55D3"/>
    <w:rsid w:val="000A589F"/>
    <w:rsid w:val="000B208A"/>
    <w:rsid w:val="000B5470"/>
    <w:rsid w:val="000B6FB4"/>
    <w:rsid w:val="000B73F6"/>
    <w:rsid w:val="000B75D0"/>
    <w:rsid w:val="000C47B9"/>
    <w:rsid w:val="000D1AB9"/>
    <w:rsid w:val="000E6A69"/>
    <w:rsid w:val="000F1EB8"/>
    <w:rsid w:val="0010194D"/>
    <w:rsid w:val="0010319B"/>
    <w:rsid w:val="001062F1"/>
    <w:rsid w:val="00112465"/>
    <w:rsid w:val="00114134"/>
    <w:rsid w:val="0012188D"/>
    <w:rsid w:val="00126364"/>
    <w:rsid w:val="0013395F"/>
    <w:rsid w:val="00140DC1"/>
    <w:rsid w:val="00143090"/>
    <w:rsid w:val="00144170"/>
    <w:rsid w:val="00144A80"/>
    <w:rsid w:val="00147BFF"/>
    <w:rsid w:val="001520D3"/>
    <w:rsid w:val="001545B1"/>
    <w:rsid w:val="00157701"/>
    <w:rsid w:val="00160F25"/>
    <w:rsid w:val="001627DB"/>
    <w:rsid w:val="001643B8"/>
    <w:rsid w:val="001710F6"/>
    <w:rsid w:val="00173A96"/>
    <w:rsid w:val="00173EC4"/>
    <w:rsid w:val="0018209D"/>
    <w:rsid w:val="00183533"/>
    <w:rsid w:val="00183B0B"/>
    <w:rsid w:val="001853F1"/>
    <w:rsid w:val="00191E6F"/>
    <w:rsid w:val="0019398E"/>
    <w:rsid w:val="001A1BAC"/>
    <w:rsid w:val="001A1E43"/>
    <w:rsid w:val="001A224D"/>
    <w:rsid w:val="001A7225"/>
    <w:rsid w:val="001B0116"/>
    <w:rsid w:val="001B3CFC"/>
    <w:rsid w:val="001B5DF3"/>
    <w:rsid w:val="001C0D4E"/>
    <w:rsid w:val="001C2511"/>
    <w:rsid w:val="001D348A"/>
    <w:rsid w:val="001D37B7"/>
    <w:rsid w:val="001D3A7C"/>
    <w:rsid w:val="001D746B"/>
    <w:rsid w:val="001E5C96"/>
    <w:rsid w:val="001E7628"/>
    <w:rsid w:val="001E7BFA"/>
    <w:rsid w:val="001F1478"/>
    <w:rsid w:val="001F5FF6"/>
    <w:rsid w:val="001F7AE3"/>
    <w:rsid w:val="00207D30"/>
    <w:rsid w:val="00211881"/>
    <w:rsid w:val="00211F53"/>
    <w:rsid w:val="0021364C"/>
    <w:rsid w:val="00216475"/>
    <w:rsid w:val="002204B2"/>
    <w:rsid w:val="00223006"/>
    <w:rsid w:val="0022598A"/>
    <w:rsid w:val="00226095"/>
    <w:rsid w:val="002329E6"/>
    <w:rsid w:val="00234E1D"/>
    <w:rsid w:val="0023649D"/>
    <w:rsid w:val="00236636"/>
    <w:rsid w:val="00236B70"/>
    <w:rsid w:val="00237EE0"/>
    <w:rsid w:val="00241092"/>
    <w:rsid w:val="0024546F"/>
    <w:rsid w:val="0025074F"/>
    <w:rsid w:val="002626F8"/>
    <w:rsid w:val="002629B4"/>
    <w:rsid w:val="002643E8"/>
    <w:rsid w:val="002700DA"/>
    <w:rsid w:val="00274EE6"/>
    <w:rsid w:val="00275F75"/>
    <w:rsid w:val="0028104D"/>
    <w:rsid w:val="0028583A"/>
    <w:rsid w:val="0029666C"/>
    <w:rsid w:val="0029681D"/>
    <w:rsid w:val="002A17D0"/>
    <w:rsid w:val="002A57DB"/>
    <w:rsid w:val="002B0D45"/>
    <w:rsid w:val="002B485D"/>
    <w:rsid w:val="002B52E6"/>
    <w:rsid w:val="002B7434"/>
    <w:rsid w:val="002C5F30"/>
    <w:rsid w:val="002C7802"/>
    <w:rsid w:val="002C7BC1"/>
    <w:rsid w:val="002C7F1B"/>
    <w:rsid w:val="002C7FBE"/>
    <w:rsid w:val="002D0B62"/>
    <w:rsid w:val="002D2ADC"/>
    <w:rsid w:val="002D30C3"/>
    <w:rsid w:val="002D54B1"/>
    <w:rsid w:val="002D76B6"/>
    <w:rsid w:val="002D7D75"/>
    <w:rsid w:val="002E0960"/>
    <w:rsid w:val="002E1AFB"/>
    <w:rsid w:val="002E2383"/>
    <w:rsid w:val="002E29B9"/>
    <w:rsid w:val="002E4922"/>
    <w:rsid w:val="002E5869"/>
    <w:rsid w:val="002E6898"/>
    <w:rsid w:val="002E6F01"/>
    <w:rsid w:val="002E7972"/>
    <w:rsid w:val="002F43D4"/>
    <w:rsid w:val="002F6087"/>
    <w:rsid w:val="002F6214"/>
    <w:rsid w:val="00300E57"/>
    <w:rsid w:val="00301DED"/>
    <w:rsid w:val="003020C7"/>
    <w:rsid w:val="00304466"/>
    <w:rsid w:val="00304500"/>
    <w:rsid w:val="00305729"/>
    <w:rsid w:val="00306C18"/>
    <w:rsid w:val="0031044B"/>
    <w:rsid w:val="003104C3"/>
    <w:rsid w:val="003114DD"/>
    <w:rsid w:val="003115D1"/>
    <w:rsid w:val="00321BC7"/>
    <w:rsid w:val="00326300"/>
    <w:rsid w:val="003328EC"/>
    <w:rsid w:val="0033435F"/>
    <w:rsid w:val="00335B99"/>
    <w:rsid w:val="003379D5"/>
    <w:rsid w:val="00342A59"/>
    <w:rsid w:val="00345354"/>
    <w:rsid w:val="00351B37"/>
    <w:rsid w:val="00351E32"/>
    <w:rsid w:val="00354A8B"/>
    <w:rsid w:val="00355076"/>
    <w:rsid w:val="00356898"/>
    <w:rsid w:val="00356E6C"/>
    <w:rsid w:val="00356F86"/>
    <w:rsid w:val="003614CF"/>
    <w:rsid w:val="00361EDC"/>
    <w:rsid w:val="00375D83"/>
    <w:rsid w:val="00384B5C"/>
    <w:rsid w:val="00386954"/>
    <w:rsid w:val="003916A7"/>
    <w:rsid w:val="00394425"/>
    <w:rsid w:val="003A2494"/>
    <w:rsid w:val="003A3485"/>
    <w:rsid w:val="003A3588"/>
    <w:rsid w:val="003A3C4C"/>
    <w:rsid w:val="003B1015"/>
    <w:rsid w:val="003B2C88"/>
    <w:rsid w:val="003B7C6D"/>
    <w:rsid w:val="003C064C"/>
    <w:rsid w:val="003C08E9"/>
    <w:rsid w:val="003C0DBA"/>
    <w:rsid w:val="003C25BD"/>
    <w:rsid w:val="003C3808"/>
    <w:rsid w:val="003C49CE"/>
    <w:rsid w:val="003C4BD5"/>
    <w:rsid w:val="003C5913"/>
    <w:rsid w:val="003C63B7"/>
    <w:rsid w:val="003C683C"/>
    <w:rsid w:val="003D33C5"/>
    <w:rsid w:val="003D49EB"/>
    <w:rsid w:val="003D57AE"/>
    <w:rsid w:val="003D6807"/>
    <w:rsid w:val="003D79D5"/>
    <w:rsid w:val="003F0886"/>
    <w:rsid w:val="003F0DE2"/>
    <w:rsid w:val="003F3811"/>
    <w:rsid w:val="003F509C"/>
    <w:rsid w:val="00401CD4"/>
    <w:rsid w:val="00402528"/>
    <w:rsid w:val="00412B5B"/>
    <w:rsid w:val="0042081E"/>
    <w:rsid w:val="00425D84"/>
    <w:rsid w:val="00426637"/>
    <w:rsid w:val="00426CB5"/>
    <w:rsid w:val="00432815"/>
    <w:rsid w:val="004328EE"/>
    <w:rsid w:val="00434CA9"/>
    <w:rsid w:val="00436F40"/>
    <w:rsid w:val="00441109"/>
    <w:rsid w:val="0044235D"/>
    <w:rsid w:val="00443249"/>
    <w:rsid w:val="0044507F"/>
    <w:rsid w:val="0044532E"/>
    <w:rsid w:val="00446BCA"/>
    <w:rsid w:val="00447AD8"/>
    <w:rsid w:val="004500E5"/>
    <w:rsid w:val="00452814"/>
    <w:rsid w:val="00456BAA"/>
    <w:rsid w:val="0046573A"/>
    <w:rsid w:val="0047135E"/>
    <w:rsid w:val="00471ECD"/>
    <w:rsid w:val="00476141"/>
    <w:rsid w:val="00482232"/>
    <w:rsid w:val="00482F77"/>
    <w:rsid w:val="00483901"/>
    <w:rsid w:val="0049344B"/>
    <w:rsid w:val="00495143"/>
    <w:rsid w:val="004A08BF"/>
    <w:rsid w:val="004A777C"/>
    <w:rsid w:val="004A79FA"/>
    <w:rsid w:val="004A7C53"/>
    <w:rsid w:val="004B0E41"/>
    <w:rsid w:val="004B235E"/>
    <w:rsid w:val="004B5C42"/>
    <w:rsid w:val="004B653C"/>
    <w:rsid w:val="004B69A5"/>
    <w:rsid w:val="004B706C"/>
    <w:rsid w:val="004C02E2"/>
    <w:rsid w:val="004D2ABD"/>
    <w:rsid w:val="004D3C4E"/>
    <w:rsid w:val="004D43B3"/>
    <w:rsid w:val="004D4800"/>
    <w:rsid w:val="004D6421"/>
    <w:rsid w:val="004E11A0"/>
    <w:rsid w:val="004E2B39"/>
    <w:rsid w:val="004E4AC6"/>
    <w:rsid w:val="004F007D"/>
    <w:rsid w:val="004F440B"/>
    <w:rsid w:val="005006D7"/>
    <w:rsid w:val="00502C53"/>
    <w:rsid w:val="005042D8"/>
    <w:rsid w:val="005052AC"/>
    <w:rsid w:val="00507315"/>
    <w:rsid w:val="0050761F"/>
    <w:rsid w:val="00507916"/>
    <w:rsid w:val="00514525"/>
    <w:rsid w:val="0051578C"/>
    <w:rsid w:val="00521531"/>
    <w:rsid w:val="00521E6A"/>
    <w:rsid w:val="005243C0"/>
    <w:rsid w:val="005248DD"/>
    <w:rsid w:val="00533A49"/>
    <w:rsid w:val="00547489"/>
    <w:rsid w:val="005532DB"/>
    <w:rsid w:val="005538D6"/>
    <w:rsid w:val="00554988"/>
    <w:rsid w:val="0055769A"/>
    <w:rsid w:val="00560994"/>
    <w:rsid w:val="005640B3"/>
    <w:rsid w:val="00571D59"/>
    <w:rsid w:val="0057291F"/>
    <w:rsid w:val="00575451"/>
    <w:rsid w:val="0058210B"/>
    <w:rsid w:val="005821EA"/>
    <w:rsid w:val="0058317B"/>
    <w:rsid w:val="00583AC4"/>
    <w:rsid w:val="0058428A"/>
    <w:rsid w:val="00585C29"/>
    <w:rsid w:val="00587D7D"/>
    <w:rsid w:val="00596C35"/>
    <w:rsid w:val="00596DAD"/>
    <w:rsid w:val="00597719"/>
    <w:rsid w:val="005A03D8"/>
    <w:rsid w:val="005A07D0"/>
    <w:rsid w:val="005A2A26"/>
    <w:rsid w:val="005A3598"/>
    <w:rsid w:val="005A434D"/>
    <w:rsid w:val="005B250E"/>
    <w:rsid w:val="005B7B62"/>
    <w:rsid w:val="005C017F"/>
    <w:rsid w:val="005C14C3"/>
    <w:rsid w:val="005C1CCD"/>
    <w:rsid w:val="005C32C2"/>
    <w:rsid w:val="005C5EA3"/>
    <w:rsid w:val="005C6B23"/>
    <w:rsid w:val="005C73B8"/>
    <w:rsid w:val="005D0D78"/>
    <w:rsid w:val="005D2592"/>
    <w:rsid w:val="005D3D66"/>
    <w:rsid w:val="005D5F6F"/>
    <w:rsid w:val="005E0916"/>
    <w:rsid w:val="005E2EAF"/>
    <w:rsid w:val="005E31D7"/>
    <w:rsid w:val="005E3C85"/>
    <w:rsid w:val="005E5B41"/>
    <w:rsid w:val="005F25D6"/>
    <w:rsid w:val="00600994"/>
    <w:rsid w:val="006023BB"/>
    <w:rsid w:val="00602404"/>
    <w:rsid w:val="006057CF"/>
    <w:rsid w:val="00607764"/>
    <w:rsid w:val="00607AF4"/>
    <w:rsid w:val="00610E2F"/>
    <w:rsid w:val="00613FAF"/>
    <w:rsid w:val="0061700A"/>
    <w:rsid w:val="00623816"/>
    <w:rsid w:val="006245A3"/>
    <w:rsid w:val="00634A49"/>
    <w:rsid w:val="006369D4"/>
    <w:rsid w:val="00637599"/>
    <w:rsid w:val="00646B80"/>
    <w:rsid w:val="00651730"/>
    <w:rsid w:val="006517F6"/>
    <w:rsid w:val="00657F46"/>
    <w:rsid w:val="006607D0"/>
    <w:rsid w:val="00660A10"/>
    <w:rsid w:val="00662E18"/>
    <w:rsid w:val="0066318B"/>
    <w:rsid w:val="006643A2"/>
    <w:rsid w:val="00665858"/>
    <w:rsid w:val="00665B15"/>
    <w:rsid w:val="00666A34"/>
    <w:rsid w:val="006671F3"/>
    <w:rsid w:val="00667E3D"/>
    <w:rsid w:val="00673F50"/>
    <w:rsid w:val="00677C6A"/>
    <w:rsid w:val="006815D6"/>
    <w:rsid w:val="00681B0D"/>
    <w:rsid w:val="00685C87"/>
    <w:rsid w:val="00686D60"/>
    <w:rsid w:val="00694E3A"/>
    <w:rsid w:val="00695CC2"/>
    <w:rsid w:val="00697A22"/>
    <w:rsid w:val="006A10E3"/>
    <w:rsid w:val="006A1F65"/>
    <w:rsid w:val="006A660B"/>
    <w:rsid w:val="006B0AD4"/>
    <w:rsid w:val="006B17CE"/>
    <w:rsid w:val="006B2EAF"/>
    <w:rsid w:val="006B6D52"/>
    <w:rsid w:val="006B74E6"/>
    <w:rsid w:val="006B7A5F"/>
    <w:rsid w:val="006C1EFF"/>
    <w:rsid w:val="006C229C"/>
    <w:rsid w:val="006D097F"/>
    <w:rsid w:val="006D285F"/>
    <w:rsid w:val="006D57CC"/>
    <w:rsid w:val="006D5EB0"/>
    <w:rsid w:val="006E172C"/>
    <w:rsid w:val="006E4926"/>
    <w:rsid w:val="006E7162"/>
    <w:rsid w:val="006E7A90"/>
    <w:rsid w:val="006F7697"/>
    <w:rsid w:val="00704706"/>
    <w:rsid w:val="007227F3"/>
    <w:rsid w:val="007269CF"/>
    <w:rsid w:val="007276B0"/>
    <w:rsid w:val="007326AE"/>
    <w:rsid w:val="00740849"/>
    <w:rsid w:val="00742D47"/>
    <w:rsid w:val="0074435B"/>
    <w:rsid w:val="007445A7"/>
    <w:rsid w:val="007458EE"/>
    <w:rsid w:val="00750B30"/>
    <w:rsid w:val="00752A00"/>
    <w:rsid w:val="00754B67"/>
    <w:rsid w:val="00766DA1"/>
    <w:rsid w:val="00773AFF"/>
    <w:rsid w:val="0077425C"/>
    <w:rsid w:val="00780136"/>
    <w:rsid w:val="007817B7"/>
    <w:rsid w:val="00781ACD"/>
    <w:rsid w:val="007905B6"/>
    <w:rsid w:val="007912AC"/>
    <w:rsid w:val="00792130"/>
    <w:rsid w:val="00792714"/>
    <w:rsid w:val="00794717"/>
    <w:rsid w:val="0079635E"/>
    <w:rsid w:val="00796542"/>
    <w:rsid w:val="007979A9"/>
    <w:rsid w:val="007A0CC8"/>
    <w:rsid w:val="007A2236"/>
    <w:rsid w:val="007A2312"/>
    <w:rsid w:val="007A630D"/>
    <w:rsid w:val="007A72C9"/>
    <w:rsid w:val="007B0220"/>
    <w:rsid w:val="007B065F"/>
    <w:rsid w:val="007B2062"/>
    <w:rsid w:val="007C15D9"/>
    <w:rsid w:val="007C1C5F"/>
    <w:rsid w:val="007C2049"/>
    <w:rsid w:val="007C2303"/>
    <w:rsid w:val="007D0C7F"/>
    <w:rsid w:val="007D1EC9"/>
    <w:rsid w:val="007D28F2"/>
    <w:rsid w:val="007D3060"/>
    <w:rsid w:val="007E1B35"/>
    <w:rsid w:val="007E3D14"/>
    <w:rsid w:val="007E4168"/>
    <w:rsid w:val="007F0D9A"/>
    <w:rsid w:val="007F14BC"/>
    <w:rsid w:val="00800384"/>
    <w:rsid w:val="00800714"/>
    <w:rsid w:val="00801489"/>
    <w:rsid w:val="00802C14"/>
    <w:rsid w:val="00802E7A"/>
    <w:rsid w:val="00802F1A"/>
    <w:rsid w:val="00803815"/>
    <w:rsid w:val="008060E7"/>
    <w:rsid w:val="00806926"/>
    <w:rsid w:val="00814BC4"/>
    <w:rsid w:val="00820A3C"/>
    <w:rsid w:val="0082746A"/>
    <w:rsid w:val="00835F19"/>
    <w:rsid w:val="0083723C"/>
    <w:rsid w:val="0083762B"/>
    <w:rsid w:val="0084122F"/>
    <w:rsid w:val="00845BB0"/>
    <w:rsid w:val="008465F7"/>
    <w:rsid w:val="00850727"/>
    <w:rsid w:val="00850EEA"/>
    <w:rsid w:val="008553CB"/>
    <w:rsid w:val="00860033"/>
    <w:rsid w:val="00861E22"/>
    <w:rsid w:val="008624B8"/>
    <w:rsid w:val="008628EA"/>
    <w:rsid w:val="00864652"/>
    <w:rsid w:val="008654B2"/>
    <w:rsid w:val="00866FAE"/>
    <w:rsid w:val="00867194"/>
    <w:rsid w:val="00871A8D"/>
    <w:rsid w:val="0087427E"/>
    <w:rsid w:val="008743EB"/>
    <w:rsid w:val="0088193A"/>
    <w:rsid w:val="00890B82"/>
    <w:rsid w:val="00896F99"/>
    <w:rsid w:val="00897F90"/>
    <w:rsid w:val="008A3DCD"/>
    <w:rsid w:val="008A5B5C"/>
    <w:rsid w:val="008B024B"/>
    <w:rsid w:val="008B059C"/>
    <w:rsid w:val="008B18CE"/>
    <w:rsid w:val="008B1E3D"/>
    <w:rsid w:val="008B2D54"/>
    <w:rsid w:val="008C0F50"/>
    <w:rsid w:val="008C1D04"/>
    <w:rsid w:val="008C4C93"/>
    <w:rsid w:val="008C6BA4"/>
    <w:rsid w:val="008D3466"/>
    <w:rsid w:val="008D5C7E"/>
    <w:rsid w:val="008E199E"/>
    <w:rsid w:val="008E5712"/>
    <w:rsid w:val="008E74A8"/>
    <w:rsid w:val="008F0240"/>
    <w:rsid w:val="008F14D4"/>
    <w:rsid w:val="008F1BE7"/>
    <w:rsid w:val="008F42C5"/>
    <w:rsid w:val="008F6B5B"/>
    <w:rsid w:val="00900922"/>
    <w:rsid w:val="00901779"/>
    <w:rsid w:val="00911A60"/>
    <w:rsid w:val="00916C49"/>
    <w:rsid w:val="00924D1A"/>
    <w:rsid w:val="00930CCA"/>
    <w:rsid w:val="009329C3"/>
    <w:rsid w:val="00936673"/>
    <w:rsid w:val="00942851"/>
    <w:rsid w:val="0094306A"/>
    <w:rsid w:val="00943F78"/>
    <w:rsid w:val="00944EA9"/>
    <w:rsid w:val="00945B61"/>
    <w:rsid w:val="00945C92"/>
    <w:rsid w:val="0094613C"/>
    <w:rsid w:val="0094754F"/>
    <w:rsid w:val="009511A7"/>
    <w:rsid w:val="00951502"/>
    <w:rsid w:val="00951D4F"/>
    <w:rsid w:val="0095281D"/>
    <w:rsid w:val="00952CAB"/>
    <w:rsid w:val="009568ED"/>
    <w:rsid w:val="00957741"/>
    <w:rsid w:val="00957FEC"/>
    <w:rsid w:val="00960898"/>
    <w:rsid w:val="00960C71"/>
    <w:rsid w:val="00960F41"/>
    <w:rsid w:val="009651CF"/>
    <w:rsid w:val="0096610E"/>
    <w:rsid w:val="00971822"/>
    <w:rsid w:val="00972AF2"/>
    <w:rsid w:val="00973224"/>
    <w:rsid w:val="00984FCA"/>
    <w:rsid w:val="00991599"/>
    <w:rsid w:val="00991CCD"/>
    <w:rsid w:val="0099227A"/>
    <w:rsid w:val="009932C3"/>
    <w:rsid w:val="00993905"/>
    <w:rsid w:val="00994980"/>
    <w:rsid w:val="009965AE"/>
    <w:rsid w:val="009A0F11"/>
    <w:rsid w:val="009A4683"/>
    <w:rsid w:val="009B0099"/>
    <w:rsid w:val="009B0BEA"/>
    <w:rsid w:val="009B2AB1"/>
    <w:rsid w:val="009B637C"/>
    <w:rsid w:val="009B6643"/>
    <w:rsid w:val="009C007D"/>
    <w:rsid w:val="009C67ED"/>
    <w:rsid w:val="009D0041"/>
    <w:rsid w:val="009D0A73"/>
    <w:rsid w:val="009D500F"/>
    <w:rsid w:val="009D5E41"/>
    <w:rsid w:val="009D6D33"/>
    <w:rsid w:val="009E10C1"/>
    <w:rsid w:val="009E11CF"/>
    <w:rsid w:val="009F100D"/>
    <w:rsid w:val="009F232F"/>
    <w:rsid w:val="009F304D"/>
    <w:rsid w:val="00A056EF"/>
    <w:rsid w:val="00A14BF3"/>
    <w:rsid w:val="00A16B46"/>
    <w:rsid w:val="00A17B11"/>
    <w:rsid w:val="00A203CC"/>
    <w:rsid w:val="00A20BE8"/>
    <w:rsid w:val="00A2214E"/>
    <w:rsid w:val="00A30992"/>
    <w:rsid w:val="00A321D3"/>
    <w:rsid w:val="00A328C0"/>
    <w:rsid w:val="00A35FE8"/>
    <w:rsid w:val="00A371B5"/>
    <w:rsid w:val="00A37606"/>
    <w:rsid w:val="00A37908"/>
    <w:rsid w:val="00A47FAC"/>
    <w:rsid w:val="00A50005"/>
    <w:rsid w:val="00A52D84"/>
    <w:rsid w:val="00A55300"/>
    <w:rsid w:val="00A57CDE"/>
    <w:rsid w:val="00A62CD3"/>
    <w:rsid w:val="00A63191"/>
    <w:rsid w:val="00A64924"/>
    <w:rsid w:val="00A67421"/>
    <w:rsid w:val="00A704D3"/>
    <w:rsid w:val="00A71BEA"/>
    <w:rsid w:val="00A84D1C"/>
    <w:rsid w:val="00A84D35"/>
    <w:rsid w:val="00A84FCC"/>
    <w:rsid w:val="00A867D4"/>
    <w:rsid w:val="00A86983"/>
    <w:rsid w:val="00A869F1"/>
    <w:rsid w:val="00A877DD"/>
    <w:rsid w:val="00A968C0"/>
    <w:rsid w:val="00A9708B"/>
    <w:rsid w:val="00AA0A16"/>
    <w:rsid w:val="00AA2399"/>
    <w:rsid w:val="00AA2F78"/>
    <w:rsid w:val="00AB1145"/>
    <w:rsid w:val="00AB652F"/>
    <w:rsid w:val="00AB7BFF"/>
    <w:rsid w:val="00AD5A5E"/>
    <w:rsid w:val="00AD7EDE"/>
    <w:rsid w:val="00AE0978"/>
    <w:rsid w:val="00AE1DC9"/>
    <w:rsid w:val="00AE455F"/>
    <w:rsid w:val="00AE55CF"/>
    <w:rsid w:val="00AE6F5A"/>
    <w:rsid w:val="00AF245C"/>
    <w:rsid w:val="00AF4947"/>
    <w:rsid w:val="00B00701"/>
    <w:rsid w:val="00B05876"/>
    <w:rsid w:val="00B10948"/>
    <w:rsid w:val="00B11465"/>
    <w:rsid w:val="00B12BD9"/>
    <w:rsid w:val="00B14EA7"/>
    <w:rsid w:val="00B2013A"/>
    <w:rsid w:val="00B21394"/>
    <w:rsid w:val="00B21408"/>
    <w:rsid w:val="00B21A21"/>
    <w:rsid w:val="00B23BED"/>
    <w:rsid w:val="00B305AC"/>
    <w:rsid w:val="00B31097"/>
    <w:rsid w:val="00B319B3"/>
    <w:rsid w:val="00B32B2B"/>
    <w:rsid w:val="00B33530"/>
    <w:rsid w:val="00B34938"/>
    <w:rsid w:val="00B36382"/>
    <w:rsid w:val="00B37482"/>
    <w:rsid w:val="00B42AB6"/>
    <w:rsid w:val="00B53D5E"/>
    <w:rsid w:val="00B56B94"/>
    <w:rsid w:val="00B6105B"/>
    <w:rsid w:val="00B700A0"/>
    <w:rsid w:val="00B71152"/>
    <w:rsid w:val="00B71E11"/>
    <w:rsid w:val="00B7204B"/>
    <w:rsid w:val="00B81108"/>
    <w:rsid w:val="00B857C3"/>
    <w:rsid w:val="00B87EEC"/>
    <w:rsid w:val="00B93E7E"/>
    <w:rsid w:val="00B949F2"/>
    <w:rsid w:val="00B96320"/>
    <w:rsid w:val="00BA189B"/>
    <w:rsid w:val="00BA56F9"/>
    <w:rsid w:val="00BA6752"/>
    <w:rsid w:val="00BB11C2"/>
    <w:rsid w:val="00BB2848"/>
    <w:rsid w:val="00BB58A8"/>
    <w:rsid w:val="00BB63D0"/>
    <w:rsid w:val="00BB68EA"/>
    <w:rsid w:val="00BC391A"/>
    <w:rsid w:val="00BC613F"/>
    <w:rsid w:val="00BC6BD2"/>
    <w:rsid w:val="00BD14B7"/>
    <w:rsid w:val="00BD210B"/>
    <w:rsid w:val="00BD256D"/>
    <w:rsid w:val="00BD2A3F"/>
    <w:rsid w:val="00BD3AAA"/>
    <w:rsid w:val="00BF2C46"/>
    <w:rsid w:val="00BF467C"/>
    <w:rsid w:val="00BF4ECD"/>
    <w:rsid w:val="00C01414"/>
    <w:rsid w:val="00C07C28"/>
    <w:rsid w:val="00C1126E"/>
    <w:rsid w:val="00C15FA5"/>
    <w:rsid w:val="00C23672"/>
    <w:rsid w:val="00C24F2D"/>
    <w:rsid w:val="00C257FF"/>
    <w:rsid w:val="00C2706D"/>
    <w:rsid w:val="00C27325"/>
    <w:rsid w:val="00C275C6"/>
    <w:rsid w:val="00C33713"/>
    <w:rsid w:val="00C34043"/>
    <w:rsid w:val="00C35BA6"/>
    <w:rsid w:val="00C437CC"/>
    <w:rsid w:val="00C43FB4"/>
    <w:rsid w:val="00C50869"/>
    <w:rsid w:val="00C515C9"/>
    <w:rsid w:val="00C57D7F"/>
    <w:rsid w:val="00C6199E"/>
    <w:rsid w:val="00C62A4E"/>
    <w:rsid w:val="00C63A1A"/>
    <w:rsid w:val="00C64FDF"/>
    <w:rsid w:val="00C65E01"/>
    <w:rsid w:val="00C67E6E"/>
    <w:rsid w:val="00C72CC1"/>
    <w:rsid w:val="00C73CA1"/>
    <w:rsid w:val="00C76E56"/>
    <w:rsid w:val="00C90BDA"/>
    <w:rsid w:val="00C93F19"/>
    <w:rsid w:val="00C94D80"/>
    <w:rsid w:val="00C95B34"/>
    <w:rsid w:val="00C96B7C"/>
    <w:rsid w:val="00C9736C"/>
    <w:rsid w:val="00CA27D0"/>
    <w:rsid w:val="00CA46C7"/>
    <w:rsid w:val="00CB4ABA"/>
    <w:rsid w:val="00CD197F"/>
    <w:rsid w:val="00CD3FB0"/>
    <w:rsid w:val="00CD672B"/>
    <w:rsid w:val="00CD6BA0"/>
    <w:rsid w:val="00CE0369"/>
    <w:rsid w:val="00CE15B5"/>
    <w:rsid w:val="00CE2B32"/>
    <w:rsid w:val="00CE407B"/>
    <w:rsid w:val="00CE68A3"/>
    <w:rsid w:val="00CF19D7"/>
    <w:rsid w:val="00CF1DFC"/>
    <w:rsid w:val="00CF352B"/>
    <w:rsid w:val="00CF4E08"/>
    <w:rsid w:val="00CF7E1B"/>
    <w:rsid w:val="00D01AEE"/>
    <w:rsid w:val="00D03E36"/>
    <w:rsid w:val="00D1740E"/>
    <w:rsid w:val="00D22386"/>
    <w:rsid w:val="00D33072"/>
    <w:rsid w:val="00D4257B"/>
    <w:rsid w:val="00D45075"/>
    <w:rsid w:val="00D47996"/>
    <w:rsid w:val="00D51653"/>
    <w:rsid w:val="00D53BB4"/>
    <w:rsid w:val="00D5530F"/>
    <w:rsid w:val="00D61829"/>
    <w:rsid w:val="00D6456A"/>
    <w:rsid w:val="00D653CC"/>
    <w:rsid w:val="00D666CC"/>
    <w:rsid w:val="00D67659"/>
    <w:rsid w:val="00D712FB"/>
    <w:rsid w:val="00D7252B"/>
    <w:rsid w:val="00D764FE"/>
    <w:rsid w:val="00D81F66"/>
    <w:rsid w:val="00D82A8F"/>
    <w:rsid w:val="00D85C9A"/>
    <w:rsid w:val="00D86617"/>
    <w:rsid w:val="00D874BE"/>
    <w:rsid w:val="00D87808"/>
    <w:rsid w:val="00D92248"/>
    <w:rsid w:val="00D94D43"/>
    <w:rsid w:val="00D94E94"/>
    <w:rsid w:val="00D95D0F"/>
    <w:rsid w:val="00DA57C9"/>
    <w:rsid w:val="00DB0846"/>
    <w:rsid w:val="00DB4AAB"/>
    <w:rsid w:val="00DB52B0"/>
    <w:rsid w:val="00DB5A6A"/>
    <w:rsid w:val="00DB6516"/>
    <w:rsid w:val="00DB678A"/>
    <w:rsid w:val="00DC1401"/>
    <w:rsid w:val="00DC1503"/>
    <w:rsid w:val="00DD1B60"/>
    <w:rsid w:val="00DD3E8B"/>
    <w:rsid w:val="00DE07E4"/>
    <w:rsid w:val="00DE60AF"/>
    <w:rsid w:val="00DE70B4"/>
    <w:rsid w:val="00E03D2F"/>
    <w:rsid w:val="00E103E1"/>
    <w:rsid w:val="00E1043D"/>
    <w:rsid w:val="00E1278A"/>
    <w:rsid w:val="00E15067"/>
    <w:rsid w:val="00E21F88"/>
    <w:rsid w:val="00E235C4"/>
    <w:rsid w:val="00E256D8"/>
    <w:rsid w:val="00E259EA"/>
    <w:rsid w:val="00E26DDF"/>
    <w:rsid w:val="00E30B02"/>
    <w:rsid w:val="00E35085"/>
    <w:rsid w:val="00E36FF8"/>
    <w:rsid w:val="00E40BD5"/>
    <w:rsid w:val="00E428D6"/>
    <w:rsid w:val="00E431EB"/>
    <w:rsid w:val="00E432F2"/>
    <w:rsid w:val="00E46FF6"/>
    <w:rsid w:val="00E476BB"/>
    <w:rsid w:val="00E47E38"/>
    <w:rsid w:val="00E5653B"/>
    <w:rsid w:val="00E56EED"/>
    <w:rsid w:val="00E57DF8"/>
    <w:rsid w:val="00E636E4"/>
    <w:rsid w:val="00E66910"/>
    <w:rsid w:val="00E70056"/>
    <w:rsid w:val="00E712ED"/>
    <w:rsid w:val="00E750F2"/>
    <w:rsid w:val="00E7576F"/>
    <w:rsid w:val="00E80551"/>
    <w:rsid w:val="00E80E6D"/>
    <w:rsid w:val="00E87C19"/>
    <w:rsid w:val="00E90A44"/>
    <w:rsid w:val="00E90E19"/>
    <w:rsid w:val="00E9109D"/>
    <w:rsid w:val="00E9597A"/>
    <w:rsid w:val="00E96CD2"/>
    <w:rsid w:val="00EA36A9"/>
    <w:rsid w:val="00EA435F"/>
    <w:rsid w:val="00EA7516"/>
    <w:rsid w:val="00EB09ED"/>
    <w:rsid w:val="00EC633C"/>
    <w:rsid w:val="00ED1206"/>
    <w:rsid w:val="00ED1592"/>
    <w:rsid w:val="00ED1697"/>
    <w:rsid w:val="00ED20FD"/>
    <w:rsid w:val="00ED5598"/>
    <w:rsid w:val="00ED5628"/>
    <w:rsid w:val="00ED6041"/>
    <w:rsid w:val="00EE1AA0"/>
    <w:rsid w:val="00EE648E"/>
    <w:rsid w:val="00EF2216"/>
    <w:rsid w:val="00EF2B94"/>
    <w:rsid w:val="00EF55E2"/>
    <w:rsid w:val="00EF65CE"/>
    <w:rsid w:val="00EF6946"/>
    <w:rsid w:val="00EF761B"/>
    <w:rsid w:val="00F01102"/>
    <w:rsid w:val="00F146D5"/>
    <w:rsid w:val="00F15E90"/>
    <w:rsid w:val="00F25169"/>
    <w:rsid w:val="00F27029"/>
    <w:rsid w:val="00F36F12"/>
    <w:rsid w:val="00F40854"/>
    <w:rsid w:val="00F41528"/>
    <w:rsid w:val="00F417AB"/>
    <w:rsid w:val="00F42681"/>
    <w:rsid w:val="00F43AA9"/>
    <w:rsid w:val="00F52873"/>
    <w:rsid w:val="00F5723C"/>
    <w:rsid w:val="00F61844"/>
    <w:rsid w:val="00F65AFB"/>
    <w:rsid w:val="00F67B76"/>
    <w:rsid w:val="00F7063B"/>
    <w:rsid w:val="00F71BC4"/>
    <w:rsid w:val="00F76081"/>
    <w:rsid w:val="00F849AA"/>
    <w:rsid w:val="00F86937"/>
    <w:rsid w:val="00FA1D1A"/>
    <w:rsid w:val="00FA44F9"/>
    <w:rsid w:val="00FB45C5"/>
    <w:rsid w:val="00FB7147"/>
    <w:rsid w:val="00FC44B9"/>
    <w:rsid w:val="00FC7585"/>
    <w:rsid w:val="00FD29AB"/>
    <w:rsid w:val="00FD4F4F"/>
    <w:rsid w:val="00FD5063"/>
    <w:rsid w:val="00FD76B1"/>
    <w:rsid w:val="00FE050B"/>
    <w:rsid w:val="00FE0DAB"/>
    <w:rsid w:val="00FE18EB"/>
    <w:rsid w:val="00FE3840"/>
    <w:rsid w:val="00FE5956"/>
    <w:rsid w:val="00FE601E"/>
    <w:rsid w:val="00FF0265"/>
    <w:rsid w:val="00FF1546"/>
    <w:rsid w:val="00FF3F4C"/>
    <w:rsid w:val="00FF6B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71D1"/>
  <w15:docId w15:val="{2AC4F865-B3E3-9548-8456-BFE605F9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6A"/>
    <w:pPr>
      <w:spacing w:line="240" w:lineRule="auto"/>
      <w:jc w:val="both"/>
    </w:pPr>
    <w:rPr>
      <w:rFonts w:ascii="Verdana" w:eastAsia="Times New Roman" w:hAnsi="Verdana" w:cs="Times New Roman"/>
      <w:sz w:val="20"/>
      <w:szCs w:val="24"/>
      <w:lang w:val="es-CL" w:eastAsia="es-MX"/>
    </w:rPr>
  </w:style>
  <w:style w:type="paragraph" w:styleId="Ttulo1">
    <w:name w:val="heading 1"/>
    <w:basedOn w:val="Normal"/>
    <w:next w:val="Normal"/>
    <w:link w:val="Ttulo1Car"/>
    <w:uiPriority w:val="9"/>
    <w:qFormat/>
    <w:rsid w:val="004E11A0"/>
    <w:pPr>
      <w:pBdr>
        <w:bottom w:val="single" w:sz="4" w:space="1" w:color="auto"/>
      </w:pBdr>
      <w:spacing w:before="400"/>
      <w:jc w:val="center"/>
      <w:outlineLvl w:val="0"/>
    </w:pPr>
    <w:rPr>
      <w:b/>
      <w:caps/>
      <w:spacing w:val="20"/>
      <w:sz w:val="24"/>
    </w:rPr>
  </w:style>
  <w:style w:type="paragraph" w:styleId="Ttulo2">
    <w:name w:val="heading 2"/>
    <w:basedOn w:val="Normal"/>
    <w:next w:val="Normal"/>
    <w:link w:val="Ttulo2Car"/>
    <w:uiPriority w:val="9"/>
    <w:unhideWhenUsed/>
    <w:qFormat/>
    <w:rsid w:val="00681B0D"/>
    <w:pPr>
      <w:pBdr>
        <w:bottom w:val="single" w:sz="8" w:space="1" w:color="948A54" w:themeColor="background2" w:themeShade="80"/>
      </w:pBdr>
      <w:spacing w:before="400"/>
      <w:jc w:val="left"/>
      <w:outlineLvl w:val="1"/>
    </w:pPr>
    <w:rPr>
      <w:b/>
      <w:bCs/>
      <w:spacing w:val="15"/>
      <w:sz w:val="22"/>
      <w:lang w:val="es-CR"/>
    </w:rPr>
  </w:style>
  <w:style w:type="paragraph" w:styleId="Ttulo3">
    <w:name w:val="heading 3"/>
    <w:basedOn w:val="Normal"/>
    <w:next w:val="Normal"/>
    <w:link w:val="Ttulo3Car"/>
    <w:uiPriority w:val="9"/>
    <w:unhideWhenUsed/>
    <w:qFormat/>
    <w:rsid w:val="00681B0D"/>
    <w:pPr>
      <w:spacing w:before="300"/>
      <w:jc w:val="left"/>
      <w:outlineLvl w:val="2"/>
    </w:pPr>
    <w:rPr>
      <w:b/>
      <w:bCs/>
      <w:caps/>
      <w:szCs w:val="20"/>
    </w:rPr>
  </w:style>
  <w:style w:type="paragraph" w:styleId="Ttulo4">
    <w:name w:val="heading 4"/>
    <w:basedOn w:val="Normal"/>
    <w:next w:val="Normal"/>
    <w:link w:val="Ttulo4Car"/>
    <w:uiPriority w:val="9"/>
    <w:unhideWhenUsed/>
    <w:qFormat/>
    <w:rsid w:val="00FD76B1"/>
    <w:pPr>
      <w:spacing w:after="0"/>
      <w:ind w:left="709"/>
      <w:outlineLvl w:val="3"/>
    </w:pPr>
    <w:rPr>
      <w:b/>
      <w:bCs/>
      <w:sz w:val="18"/>
      <w:szCs w:val="18"/>
    </w:rPr>
  </w:style>
  <w:style w:type="paragraph" w:styleId="Ttulo5">
    <w:name w:val="heading 5"/>
    <w:basedOn w:val="Normal"/>
    <w:next w:val="Normal"/>
    <w:link w:val="Ttulo5Car"/>
    <w:uiPriority w:val="9"/>
    <w:unhideWhenUsed/>
    <w:qFormat/>
    <w:rsid w:val="002D2ADC"/>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unhideWhenUsed/>
    <w:qFormat/>
    <w:rsid w:val="002D2ADC"/>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2D2ADC"/>
    <w:pPr>
      <w:spacing w:after="120"/>
      <w:jc w:val="center"/>
      <w:outlineLvl w:val="6"/>
    </w:pPr>
    <w:rPr>
      <w:i/>
      <w:iCs/>
      <w:caps/>
      <w:color w:val="943634" w:themeColor="accent2" w:themeShade="BF"/>
      <w:spacing w:val="10"/>
    </w:rPr>
  </w:style>
  <w:style w:type="paragraph" w:styleId="Ttulo8">
    <w:name w:val="heading 8"/>
    <w:next w:val="Normal"/>
    <w:link w:val="Ttulo8Car"/>
    <w:uiPriority w:val="9"/>
    <w:unhideWhenUsed/>
    <w:qFormat/>
    <w:rsid w:val="00860033"/>
    <w:pPr>
      <w:outlineLvl w:val="7"/>
    </w:pPr>
    <w:rPr>
      <w:b/>
      <w:bCs/>
      <w:color w:val="000000"/>
      <w:vertAlign w:val="superscript"/>
      <w:lang w:eastAsia="es-ES_tradnl"/>
    </w:rPr>
  </w:style>
  <w:style w:type="paragraph" w:styleId="Ttulo9">
    <w:name w:val="heading 9"/>
    <w:basedOn w:val="Normal"/>
    <w:next w:val="Normal"/>
    <w:link w:val="Ttulo9Car"/>
    <w:uiPriority w:val="9"/>
    <w:semiHidden/>
    <w:unhideWhenUsed/>
    <w:qFormat/>
    <w:rsid w:val="002D2ADC"/>
    <w:pPr>
      <w:spacing w:after="120"/>
      <w:jc w:val="center"/>
      <w:outlineLvl w:val="8"/>
    </w:pPr>
    <w:rPr>
      <w:i/>
      <w:iCs/>
      <w:caps/>
      <w:spacing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11A0"/>
    <w:rPr>
      <w:rFonts w:ascii="Verdana" w:eastAsia="Times New Roman" w:hAnsi="Verdana" w:cs="Times New Roman"/>
      <w:b/>
      <w:caps/>
      <w:spacing w:val="20"/>
      <w:sz w:val="24"/>
      <w:szCs w:val="24"/>
      <w:lang w:val="es-CL" w:eastAsia="es-MX"/>
    </w:rPr>
  </w:style>
  <w:style w:type="character" w:customStyle="1" w:styleId="Ttulo2Car">
    <w:name w:val="Título 2 Car"/>
    <w:basedOn w:val="Fuentedeprrafopredeter"/>
    <w:link w:val="Ttulo2"/>
    <w:uiPriority w:val="9"/>
    <w:rsid w:val="00681B0D"/>
    <w:rPr>
      <w:rFonts w:ascii="Verdana" w:hAnsi="Verdana"/>
      <w:b/>
      <w:bCs/>
      <w:spacing w:val="15"/>
      <w:lang w:val="es-CR"/>
    </w:rPr>
  </w:style>
  <w:style w:type="character" w:customStyle="1" w:styleId="Ttulo3Car">
    <w:name w:val="Título 3 Car"/>
    <w:basedOn w:val="Fuentedeprrafopredeter"/>
    <w:link w:val="Ttulo3"/>
    <w:uiPriority w:val="9"/>
    <w:rsid w:val="00681B0D"/>
    <w:rPr>
      <w:rFonts w:ascii="Verdana" w:hAnsi="Verdana"/>
      <w:b/>
      <w:bCs/>
      <w:caps/>
      <w:sz w:val="20"/>
      <w:szCs w:val="20"/>
    </w:rPr>
  </w:style>
  <w:style w:type="character" w:customStyle="1" w:styleId="Ttulo4Car">
    <w:name w:val="Título 4 Car"/>
    <w:basedOn w:val="Fuentedeprrafopredeter"/>
    <w:link w:val="Ttulo4"/>
    <w:uiPriority w:val="9"/>
    <w:rsid w:val="00FD76B1"/>
    <w:rPr>
      <w:rFonts w:ascii="Verdana" w:eastAsia="Times New Roman" w:hAnsi="Verdana" w:cs="Times New Roman"/>
      <w:b/>
      <w:bCs/>
      <w:sz w:val="18"/>
      <w:szCs w:val="18"/>
      <w:lang w:val="es-CL" w:eastAsia="es-MX"/>
    </w:rPr>
  </w:style>
  <w:style w:type="character" w:customStyle="1" w:styleId="Ttulo5Car">
    <w:name w:val="Título 5 Car"/>
    <w:basedOn w:val="Fuentedeprrafopredeter"/>
    <w:link w:val="Ttulo5"/>
    <w:uiPriority w:val="9"/>
    <w:rsid w:val="002D2ADC"/>
    <w:rPr>
      <w:caps/>
      <w:color w:val="622423" w:themeColor="accent2" w:themeShade="7F"/>
      <w:spacing w:val="10"/>
    </w:rPr>
  </w:style>
  <w:style w:type="character" w:customStyle="1" w:styleId="Ttulo6Car">
    <w:name w:val="Título 6 Car"/>
    <w:basedOn w:val="Fuentedeprrafopredeter"/>
    <w:link w:val="Ttulo6"/>
    <w:uiPriority w:val="9"/>
    <w:rsid w:val="002D2ADC"/>
    <w:rPr>
      <w:caps/>
      <w:color w:val="943634" w:themeColor="accent2" w:themeShade="BF"/>
      <w:spacing w:val="10"/>
    </w:rPr>
  </w:style>
  <w:style w:type="character" w:customStyle="1" w:styleId="Ttulo7Car">
    <w:name w:val="Título 7 Car"/>
    <w:basedOn w:val="Fuentedeprrafopredeter"/>
    <w:link w:val="Ttulo7"/>
    <w:uiPriority w:val="9"/>
    <w:semiHidden/>
    <w:rsid w:val="002D2ADC"/>
    <w:rPr>
      <w:i/>
      <w:iCs/>
      <w:caps/>
      <w:color w:val="943634" w:themeColor="accent2" w:themeShade="BF"/>
      <w:spacing w:val="10"/>
    </w:rPr>
  </w:style>
  <w:style w:type="character" w:customStyle="1" w:styleId="Ttulo8Car">
    <w:name w:val="Título 8 Car"/>
    <w:basedOn w:val="Fuentedeprrafopredeter"/>
    <w:link w:val="Ttulo8"/>
    <w:uiPriority w:val="9"/>
    <w:rsid w:val="00860033"/>
    <w:rPr>
      <w:rFonts w:ascii="Verdana" w:eastAsia="Times New Roman" w:hAnsi="Verdana" w:cs="Times New Roman"/>
      <w:b/>
      <w:bCs/>
      <w:color w:val="000000"/>
      <w:sz w:val="20"/>
      <w:szCs w:val="24"/>
      <w:vertAlign w:val="superscript"/>
      <w:lang w:val="es-CL" w:eastAsia="es-ES_tradnl"/>
    </w:rPr>
  </w:style>
  <w:style w:type="character" w:customStyle="1" w:styleId="Ttulo9Car">
    <w:name w:val="Título 9 Car"/>
    <w:basedOn w:val="Fuentedeprrafopredeter"/>
    <w:link w:val="Ttulo9"/>
    <w:uiPriority w:val="9"/>
    <w:semiHidden/>
    <w:rsid w:val="002D2ADC"/>
    <w:rPr>
      <w:i/>
      <w:iCs/>
      <w:caps/>
      <w:spacing w:val="10"/>
      <w:sz w:val="20"/>
      <w:szCs w:val="20"/>
    </w:rPr>
  </w:style>
  <w:style w:type="character" w:styleId="Refdecomentario">
    <w:name w:val="annotation reference"/>
    <w:basedOn w:val="Fuentedeprrafopredeter"/>
    <w:uiPriority w:val="99"/>
    <w:unhideWhenUsed/>
    <w:rsid w:val="001B0116"/>
    <w:rPr>
      <w:sz w:val="16"/>
      <w:szCs w:val="16"/>
    </w:rPr>
  </w:style>
  <w:style w:type="paragraph" w:styleId="Textocomentario">
    <w:name w:val="annotation text"/>
    <w:basedOn w:val="Normal"/>
    <w:link w:val="TextocomentarioCar"/>
    <w:unhideWhenUsed/>
    <w:rsid w:val="001B0116"/>
    <w:rPr>
      <w:szCs w:val="20"/>
    </w:rPr>
  </w:style>
  <w:style w:type="character" w:customStyle="1" w:styleId="TextocomentarioCar">
    <w:name w:val="Texto comentario Car"/>
    <w:basedOn w:val="Fuentedeprrafopredeter"/>
    <w:link w:val="Textocomentario"/>
    <w:rsid w:val="001B0116"/>
    <w:rPr>
      <w:sz w:val="20"/>
      <w:szCs w:val="20"/>
    </w:rPr>
  </w:style>
  <w:style w:type="paragraph" w:styleId="Asuntodelcomentario">
    <w:name w:val="annotation subject"/>
    <w:basedOn w:val="Textocomentario"/>
    <w:next w:val="Textocomentario"/>
    <w:link w:val="AsuntodelcomentarioCar"/>
    <w:uiPriority w:val="99"/>
    <w:unhideWhenUsed/>
    <w:rsid w:val="001B0116"/>
    <w:rPr>
      <w:b/>
      <w:bCs/>
    </w:rPr>
  </w:style>
  <w:style w:type="character" w:customStyle="1" w:styleId="AsuntodelcomentarioCar">
    <w:name w:val="Asunto del comentario Car"/>
    <w:basedOn w:val="TextocomentarioCar"/>
    <w:link w:val="Asuntodelcomentario"/>
    <w:uiPriority w:val="99"/>
    <w:rsid w:val="001B0116"/>
    <w:rPr>
      <w:b/>
      <w:bCs/>
      <w:sz w:val="20"/>
      <w:szCs w:val="20"/>
    </w:rPr>
  </w:style>
  <w:style w:type="paragraph" w:styleId="Textodeglobo">
    <w:name w:val="Balloon Text"/>
    <w:basedOn w:val="Normal"/>
    <w:link w:val="TextodegloboCar"/>
    <w:uiPriority w:val="99"/>
    <w:semiHidden/>
    <w:unhideWhenUsed/>
    <w:rsid w:val="001B011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rsid w:val="001B0116"/>
    <w:rPr>
      <w:rFonts w:ascii="Tahoma" w:hAnsi="Tahoma" w:cs="Tahoma"/>
      <w:sz w:val="16"/>
      <w:szCs w:val="16"/>
    </w:rPr>
  </w:style>
  <w:style w:type="character" w:styleId="Refdenotaalpie">
    <w:name w:val="footnote reference"/>
    <w:aliases w:val="Texto de nota al pie,Footnotes refss,Appel note de bas de page,f,Footnote number,referencia nota al pie,BVI fnr,4_G,16 Point,Superscript 6 Point,Texto nota al pie,Footnote Reference Char3,Ref. de nota al pi,foote,Ref. de nota al"/>
    <w:basedOn w:val="Fuentedeprrafopredeter"/>
    <w:link w:val="Char2"/>
    <w:uiPriority w:val="99"/>
    <w:qFormat/>
    <w:rsid w:val="0028583A"/>
    <w:rPr>
      <w:vertAlign w:val="superscript"/>
    </w:rPr>
  </w:style>
  <w:style w:type="paragraph" w:customStyle="1" w:styleId="Char2">
    <w:name w:val="Char2"/>
    <w:basedOn w:val="Normal"/>
    <w:link w:val="Refdenotaalpie"/>
    <w:rsid w:val="00066A0C"/>
    <w:pPr>
      <w:spacing w:after="160" w:line="240" w:lineRule="exact"/>
    </w:pPr>
    <w:rPr>
      <w:vertAlign w:val="superscript"/>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C,ft,FA Fu?notente"/>
    <w:basedOn w:val="Normal"/>
    <w:link w:val="TextonotapieCar"/>
    <w:qFormat/>
    <w:rsid w:val="0028583A"/>
    <w:pPr>
      <w:overflowPunct w:val="0"/>
      <w:autoSpaceDE w:val="0"/>
      <w:autoSpaceDN w:val="0"/>
      <w:adjustRightInd w:val="0"/>
      <w:spacing w:after="0"/>
      <w:textAlignment w:val="baseline"/>
    </w:pPr>
    <w:rPr>
      <w:rFonts w:ascii="New York" w:hAnsi="New York"/>
      <w:szCs w:val="20"/>
      <w:lang w:val="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C Car"/>
    <w:basedOn w:val="Fuentedeprrafopredeter"/>
    <w:link w:val="Textonotapie"/>
    <w:qFormat/>
    <w:rsid w:val="0028583A"/>
    <w:rPr>
      <w:rFonts w:ascii="New York" w:eastAsia="Times New Roman" w:hAnsi="New York" w:cs="Times New Roman"/>
      <w:sz w:val="20"/>
      <w:szCs w:val="20"/>
      <w:lang w:val="en-US" w:eastAsia="es-ES"/>
    </w:rPr>
  </w:style>
  <w:style w:type="paragraph" w:styleId="Textoindependiente">
    <w:name w:val="Body Text"/>
    <w:aliases w:val="Body Text Char,Body Text Char Car Car Car Car Car Car Car Car Car Car Car Car Car,Body Text Char Car Car Car Car Car Car Car Car Car Car Car Car"/>
    <w:basedOn w:val="Normal"/>
    <w:link w:val="TextoindependienteCar"/>
    <w:uiPriority w:val="99"/>
    <w:rsid w:val="0028583A"/>
    <w:pPr>
      <w:widowControl w:val="0"/>
      <w:overflowPunct w:val="0"/>
      <w:autoSpaceDE w:val="0"/>
      <w:autoSpaceDN w:val="0"/>
      <w:adjustRightInd w:val="0"/>
      <w:spacing w:after="0"/>
      <w:textAlignment w:val="baseline"/>
    </w:pPr>
    <w:rPr>
      <w:rFonts w:ascii="Times New Roman" w:hAnsi="Times New Roman"/>
      <w:sz w:val="24"/>
      <w:szCs w:val="20"/>
    </w:rPr>
  </w:style>
  <w:style w:type="character" w:customStyle="1" w:styleId="TextoindependienteCar">
    <w:name w:val="Texto independiente Car"/>
    <w:aliases w:val="Body Text Char Car,Body Text Char Car Car Car Car Car Car Car Car Car Car Car Car Car Car,Body Text Char Car Car Car Car Car Car Car Car Car Car Car Car Car1"/>
    <w:basedOn w:val="Fuentedeprrafopredeter"/>
    <w:link w:val="Textoindependiente"/>
    <w:uiPriority w:val="99"/>
    <w:rsid w:val="0028583A"/>
    <w:rPr>
      <w:rFonts w:ascii="Times New Roman" w:eastAsia="Times New Roman" w:hAnsi="Times New Roman" w:cs="Times New Roman"/>
      <w:sz w:val="24"/>
      <w:szCs w:val="20"/>
      <w:lang w:val="es-ES" w:eastAsia="es-ES"/>
    </w:rPr>
  </w:style>
  <w:style w:type="paragraph" w:customStyle="1" w:styleId="Textodebloque1">
    <w:name w:val="Texto de bloque1"/>
    <w:basedOn w:val="Normal"/>
    <w:rsid w:val="0028583A"/>
    <w:pPr>
      <w:overflowPunct w:val="0"/>
      <w:autoSpaceDE w:val="0"/>
      <w:autoSpaceDN w:val="0"/>
      <w:adjustRightInd w:val="0"/>
      <w:spacing w:after="0"/>
      <w:ind w:left="720" w:right="720"/>
      <w:textAlignment w:val="baseline"/>
    </w:pPr>
    <w:rPr>
      <w:sz w:val="18"/>
      <w:szCs w:val="20"/>
      <w:lang w:val="es-ES_tradnl"/>
    </w:rPr>
  </w:style>
  <w:style w:type="paragraph" w:customStyle="1" w:styleId="Sangradetindependiente">
    <w:name w:val="Sangr’a de t. independiente"/>
    <w:basedOn w:val="Normal"/>
    <w:rsid w:val="00CA27D0"/>
    <w:pPr>
      <w:overflowPunct w:val="0"/>
      <w:autoSpaceDE w:val="0"/>
      <w:autoSpaceDN w:val="0"/>
      <w:adjustRightInd w:val="0"/>
      <w:spacing w:after="0"/>
      <w:textAlignment w:val="baseline"/>
    </w:pPr>
    <w:rPr>
      <w:rFonts w:ascii="Helvetica" w:hAnsi="Helvetica"/>
      <w:sz w:val="18"/>
      <w:szCs w:val="20"/>
      <w:lang w:val="es-ES_tradnl"/>
    </w:rPr>
  </w:style>
  <w:style w:type="paragraph" w:styleId="Encabezado">
    <w:name w:val="header"/>
    <w:basedOn w:val="Normal"/>
    <w:link w:val="EncabezadoCar"/>
    <w:uiPriority w:val="99"/>
    <w:rsid w:val="00147BFF"/>
    <w:pPr>
      <w:tabs>
        <w:tab w:val="center" w:pos="4419"/>
        <w:tab w:val="right" w:pos="8838"/>
      </w:tabs>
      <w:spacing w:after="0"/>
    </w:pPr>
    <w:rPr>
      <w:rFonts w:ascii="Arial" w:hAnsi="Arial"/>
      <w:sz w:val="24"/>
      <w:szCs w:val="20"/>
      <w:lang w:val="en-US"/>
    </w:rPr>
  </w:style>
  <w:style w:type="character" w:customStyle="1" w:styleId="EncabezadoCar">
    <w:name w:val="Encabezado Car"/>
    <w:basedOn w:val="Fuentedeprrafopredeter"/>
    <w:link w:val="Encabezado"/>
    <w:uiPriority w:val="99"/>
    <w:rsid w:val="00147BFF"/>
    <w:rPr>
      <w:rFonts w:ascii="Arial" w:eastAsia="Times New Roman" w:hAnsi="Arial" w:cs="Times New Roman"/>
      <w:sz w:val="24"/>
      <w:szCs w:val="20"/>
      <w:lang w:val="en-US" w:eastAsia="es-ES"/>
    </w:rPr>
  </w:style>
  <w:style w:type="paragraph" w:styleId="Textoindependiente3">
    <w:name w:val="Body Text 3"/>
    <w:basedOn w:val="Normal"/>
    <w:link w:val="Textoindependiente3Car"/>
    <w:uiPriority w:val="99"/>
    <w:semiHidden/>
    <w:unhideWhenUsed/>
    <w:rsid w:val="00147BF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47BFF"/>
    <w:rPr>
      <w:sz w:val="16"/>
      <w:szCs w:val="16"/>
    </w:rPr>
  </w:style>
  <w:style w:type="paragraph" w:styleId="Sangra2detindependiente">
    <w:name w:val="Body Text Indent 2"/>
    <w:basedOn w:val="Normal"/>
    <w:link w:val="Sangra2detindependienteCar"/>
    <w:unhideWhenUsed/>
    <w:rsid w:val="00CE40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E407B"/>
  </w:style>
  <w:style w:type="paragraph" w:customStyle="1" w:styleId="Textonotapie1">
    <w:name w:val="Texto nota pie1"/>
    <w:basedOn w:val="Normal"/>
    <w:semiHidden/>
    <w:rsid w:val="00CE407B"/>
    <w:pPr>
      <w:spacing w:after="0"/>
    </w:pPr>
    <w:rPr>
      <w:rFonts w:ascii="Times New Roman" w:hAnsi="Times New Roman"/>
      <w:szCs w:val="20"/>
      <w:lang w:val="es-ES_tradnl"/>
    </w:rPr>
  </w:style>
  <w:style w:type="paragraph" w:customStyle="1" w:styleId="Textoindependiente21">
    <w:name w:val="Texto independiente 21"/>
    <w:basedOn w:val="Normal"/>
    <w:rsid w:val="00CE407B"/>
    <w:pPr>
      <w:spacing w:after="0" w:line="360" w:lineRule="atLeast"/>
    </w:pPr>
    <w:rPr>
      <w:szCs w:val="20"/>
      <w:lang w:val="es-ES_tradnl"/>
    </w:rPr>
  </w:style>
  <w:style w:type="paragraph" w:customStyle="1" w:styleId="Lneadereferencia">
    <w:name w:val="Línea de referencia"/>
    <w:basedOn w:val="Textoindependiente21"/>
    <w:rsid w:val="00CE407B"/>
    <w:pPr>
      <w:spacing w:line="240" w:lineRule="auto"/>
    </w:pPr>
    <w:rPr>
      <w:rFonts w:ascii="Garamond" w:hAnsi="Garamond"/>
      <w:sz w:val="24"/>
    </w:rPr>
  </w:style>
  <w:style w:type="paragraph" w:styleId="Sangradetextonormal">
    <w:name w:val="Body Text Indent"/>
    <w:basedOn w:val="Normal"/>
    <w:link w:val="SangradetextonormalCar"/>
    <w:uiPriority w:val="99"/>
    <w:unhideWhenUsed/>
    <w:rsid w:val="00A63191"/>
    <w:pPr>
      <w:spacing w:after="120"/>
      <w:ind w:left="283"/>
    </w:pPr>
  </w:style>
  <w:style w:type="character" w:customStyle="1" w:styleId="SangradetextonormalCar">
    <w:name w:val="Sangría de texto normal Car"/>
    <w:basedOn w:val="Fuentedeprrafopredeter"/>
    <w:link w:val="Sangradetextonormal"/>
    <w:uiPriority w:val="99"/>
    <w:rsid w:val="00A63191"/>
  </w:style>
  <w:style w:type="paragraph" w:customStyle="1" w:styleId="Sangradetindependiente2">
    <w:name w:val="Sangría de t. independiente2"/>
    <w:basedOn w:val="Normal"/>
    <w:rsid w:val="00A63191"/>
    <w:pPr>
      <w:spacing w:after="0" w:line="360" w:lineRule="atLeast"/>
    </w:pPr>
    <w:rPr>
      <w:rFonts w:ascii="Arial" w:hAnsi="Arial" w:cs="Arial"/>
      <w:sz w:val="24"/>
      <w:lang w:val="es-ES_tradnl"/>
    </w:rPr>
  </w:style>
  <w:style w:type="paragraph" w:styleId="Textodebloque">
    <w:name w:val="Block Text"/>
    <w:basedOn w:val="Normal"/>
    <w:rsid w:val="00A63191"/>
    <w:pPr>
      <w:spacing w:after="0"/>
      <w:ind w:left="720" w:right="764"/>
    </w:pPr>
    <w:rPr>
      <w:rFonts w:ascii="Garamond" w:hAnsi="Garamond"/>
      <w:szCs w:val="20"/>
      <w:lang w:val="es-ES_tradnl"/>
    </w:rPr>
  </w:style>
  <w:style w:type="paragraph" w:customStyle="1" w:styleId="negritamayuscula">
    <w:name w:val="negrita mayuscula"/>
    <w:basedOn w:val="Normal"/>
    <w:rsid w:val="00A63191"/>
    <w:pPr>
      <w:widowControl w:val="0"/>
      <w:tabs>
        <w:tab w:val="left" w:pos="1120"/>
      </w:tabs>
      <w:spacing w:after="0" w:line="360" w:lineRule="atLeast"/>
    </w:pPr>
    <w:rPr>
      <w:rFonts w:ascii="Garamond" w:hAnsi="Garamond"/>
      <w:sz w:val="24"/>
      <w:lang w:val="es-ES_tradnl"/>
    </w:rPr>
  </w:style>
  <w:style w:type="paragraph" w:styleId="Textoindependiente2">
    <w:name w:val="Body Text 2"/>
    <w:basedOn w:val="Normal"/>
    <w:link w:val="Textoindependiente2Car"/>
    <w:uiPriority w:val="99"/>
    <w:unhideWhenUsed/>
    <w:rsid w:val="004A08BF"/>
    <w:pPr>
      <w:spacing w:after="120" w:line="480" w:lineRule="auto"/>
    </w:pPr>
  </w:style>
  <w:style w:type="character" w:customStyle="1" w:styleId="Textoindependiente2Car">
    <w:name w:val="Texto independiente 2 Car"/>
    <w:basedOn w:val="Fuentedeprrafopredeter"/>
    <w:link w:val="Textoindependiente2"/>
    <w:uiPriority w:val="99"/>
    <w:rsid w:val="004A08BF"/>
  </w:style>
  <w:style w:type="paragraph" w:customStyle="1" w:styleId="Textoindependiente20">
    <w:name w:val="Texto independiente2"/>
    <w:basedOn w:val="Normal"/>
    <w:rsid w:val="005D0D78"/>
    <w:pPr>
      <w:spacing w:before="60" w:after="60"/>
    </w:pPr>
    <w:rPr>
      <w:rFonts w:ascii="Times New Roman" w:hAnsi="Times New Roman"/>
      <w:sz w:val="24"/>
      <w:szCs w:val="20"/>
      <w:lang w:val="es-ES_tradnl"/>
    </w:rPr>
  </w:style>
  <w:style w:type="paragraph" w:customStyle="1" w:styleId="Textomacro1">
    <w:name w:val="Texto macro1"/>
    <w:basedOn w:val="Normal"/>
    <w:rsid w:val="005D0D78"/>
    <w:pPr>
      <w:spacing w:before="60" w:after="60"/>
    </w:pPr>
    <w:rPr>
      <w:sz w:val="24"/>
      <w:szCs w:val="20"/>
      <w:lang w:val="es-ES_tradnl"/>
    </w:rPr>
  </w:style>
  <w:style w:type="paragraph" w:styleId="Ttulo">
    <w:name w:val="Title"/>
    <w:basedOn w:val="Normal"/>
    <w:next w:val="Normal"/>
    <w:link w:val="TtuloCar"/>
    <w:uiPriority w:val="10"/>
    <w:qFormat/>
    <w:rsid w:val="002D2ADC"/>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2D2ADC"/>
    <w:rPr>
      <w:caps/>
      <w:color w:val="632423" w:themeColor="accent2" w:themeShade="80"/>
      <w:spacing w:val="50"/>
      <w:sz w:val="44"/>
      <w:szCs w:val="44"/>
    </w:rPr>
  </w:style>
  <w:style w:type="character" w:customStyle="1" w:styleId="1">
    <w:name w:val="1"/>
    <w:rsid w:val="008B1E3D"/>
    <w:rPr>
      <w:rFonts w:ascii="Baskerville Old Face" w:hAnsi="Baskerville Old Face"/>
      <w:sz w:val="28"/>
    </w:rPr>
  </w:style>
  <w:style w:type="character" w:styleId="nfasis">
    <w:name w:val="Emphasis"/>
    <w:uiPriority w:val="20"/>
    <w:qFormat/>
    <w:rsid w:val="002D2ADC"/>
    <w:rPr>
      <w:caps/>
      <w:spacing w:val="5"/>
      <w:sz w:val="20"/>
      <w:szCs w:val="20"/>
    </w:rPr>
  </w:style>
  <w:style w:type="paragraph" w:customStyle="1" w:styleId="JuPara">
    <w:name w:val="Ju_Para"/>
    <w:basedOn w:val="Normal"/>
    <w:rsid w:val="009B6643"/>
    <w:pPr>
      <w:suppressAutoHyphens/>
      <w:spacing w:after="0"/>
      <w:ind w:firstLine="284"/>
    </w:pPr>
    <w:rPr>
      <w:rFonts w:ascii="Times" w:hAnsi="Times" w:cs="Times"/>
      <w:sz w:val="24"/>
      <w:lang w:val="en-GB" w:eastAsia="fr-FR"/>
    </w:rPr>
  </w:style>
  <w:style w:type="character" w:styleId="Hipervnculo">
    <w:name w:val="Hyperlink"/>
    <w:aliases w:val="Heading 3 caso"/>
    <w:basedOn w:val="Fuentedeprrafopredeter"/>
    <w:uiPriority w:val="99"/>
    <w:rsid w:val="00F71BC4"/>
    <w:rPr>
      <w:color w:val="0000FF"/>
      <w:u w:val="single"/>
    </w:rPr>
  </w:style>
  <w:style w:type="paragraph" w:customStyle="1" w:styleId="Sangradetindependiente0">
    <w:name w:val="Sangría de t. independiente"/>
    <w:basedOn w:val="Normal"/>
    <w:rsid w:val="00F71BC4"/>
    <w:pPr>
      <w:spacing w:after="0"/>
    </w:pPr>
    <w:rPr>
      <w:rFonts w:ascii="Helvetica" w:hAnsi="Helvetica"/>
      <w:sz w:val="18"/>
      <w:szCs w:val="20"/>
      <w:lang w:val="es-ES_tradnl"/>
    </w:rPr>
  </w:style>
  <w:style w:type="paragraph" w:customStyle="1" w:styleId="ndice91">
    <w:name w:val="Índice 91"/>
    <w:basedOn w:val="Normal"/>
    <w:rsid w:val="00F71BC4"/>
    <w:pPr>
      <w:spacing w:after="0"/>
      <w:jc w:val="center"/>
    </w:pPr>
    <w:rPr>
      <w:rFonts w:ascii="Apple Chancery" w:hAnsi="Apple Chancery"/>
      <w:b/>
      <w:szCs w:val="20"/>
      <w:lang w:val="es-ES_tradnl"/>
    </w:rPr>
  </w:style>
  <w:style w:type="paragraph" w:styleId="NormalWeb">
    <w:name w:val="Normal (Web)"/>
    <w:aliases w:val="Normal (Web) Char1,Normal (Web) Char Char,Normal (Web) Char1 Char,Normal (Web) Char Char Char,webb"/>
    <w:basedOn w:val="Normal"/>
    <w:uiPriority w:val="99"/>
    <w:rsid w:val="004D4800"/>
    <w:pPr>
      <w:spacing w:before="100" w:beforeAutospacing="1" w:after="100" w:afterAutospacing="1"/>
    </w:pPr>
    <w:rPr>
      <w:rFonts w:ascii="Arial Unicode MS" w:eastAsia="Arial Unicode MS" w:hAnsi="Arial Unicode MS" w:cs="Arial Unicode MS"/>
      <w:sz w:val="24"/>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Ca Car1"/>
    <w:basedOn w:val="Fuentedeprrafopredeter"/>
    <w:rsid w:val="004D4800"/>
    <w:rPr>
      <w:lang w:val="es-ES" w:eastAsia="es-ES" w:bidi="ar-SA"/>
    </w:rPr>
  </w:style>
  <w:style w:type="character" w:styleId="MquinadeescribirHTML">
    <w:name w:val="HTML Typewriter"/>
    <w:basedOn w:val="Fuentedeprrafopredeter"/>
    <w:rsid w:val="00D7252B"/>
    <w:rPr>
      <w:rFonts w:ascii="Courier New" w:eastAsia="Times New Roman" w:hAnsi="Courier New" w:cs="Courier New"/>
      <w:sz w:val="20"/>
      <w:szCs w:val="20"/>
    </w:rPr>
  </w:style>
  <w:style w:type="character" w:styleId="Textoennegrita">
    <w:name w:val="Strong"/>
    <w:aliases w:val="Heading 2.1"/>
    <w:uiPriority w:val="22"/>
    <w:qFormat/>
    <w:rsid w:val="002D2ADC"/>
    <w:rPr>
      <w:b/>
      <w:bCs/>
      <w:color w:val="943634" w:themeColor="accent2" w:themeShade="BF"/>
      <w:spacing w:val="5"/>
    </w:rPr>
  </w:style>
  <w:style w:type="character" w:customStyle="1" w:styleId="apple-style-span">
    <w:name w:val="apple-style-span"/>
    <w:basedOn w:val="Fuentedeprrafopredeter"/>
    <w:rsid w:val="005E31D7"/>
  </w:style>
  <w:style w:type="paragraph" w:customStyle="1" w:styleId="EstiloTtulo2Verdana10ptAntes6ptoDespus6pto">
    <w:name w:val="Estilo Título 2 + Verdana 10 pt Antes:  6 pto Después:  6 pto"/>
    <w:basedOn w:val="Ttulo2"/>
    <w:rsid w:val="00F27029"/>
    <w:pPr>
      <w:spacing w:before="0"/>
    </w:pPr>
    <w:rPr>
      <w:b w:val="0"/>
      <w:bCs w:val="0"/>
      <w:smallCaps/>
      <w:sz w:val="20"/>
      <w:szCs w:val="20"/>
      <w:lang w:val="es-ES_tradnl"/>
    </w:rPr>
  </w:style>
  <w:style w:type="paragraph" w:customStyle="1" w:styleId="StyleHeading3Left049Hanging001After12pt">
    <w:name w:val="Style Heading 3 + Left:  0.49&quot; Hanging:  0.01&quot; After:  12 pt"/>
    <w:basedOn w:val="Ttulo3"/>
    <w:rsid w:val="00F27029"/>
    <w:pPr>
      <w:spacing w:before="240" w:after="240"/>
      <w:ind w:left="706"/>
      <w:jc w:val="both"/>
    </w:pPr>
    <w:rPr>
      <w:b w:val="0"/>
      <w:bCs w:val="0"/>
      <w:i/>
      <w:iCs/>
      <w:lang w:val="es-ES_tradnl"/>
    </w:rPr>
  </w:style>
  <w:style w:type="table" w:styleId="Tablaconcuadrcula">
    <w:name w:val="Table Grid"/>
    <w:basedOn w:val="Tablanormal"/>
    <w:rsid w:val="00F2702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rsid w:val="00F27029"/>
    <w:pPr>
      <w:spacing w:after="0"/>
    </w:pPr>
    <w:rPr>
      <w:rFonts w:eastAsia="Batang"/>
      <w:szCs w:val="20"/>
      <w:lang w:val="es-ES_tradnl"/>
    </w:rPr>
  </w:style>
  <w:style w:type="character" w:customStyle="1" w:styleId="TextonotaalfinalCar">
    <w:name w:val="Texto nota al final Car"/>
    <w:basedOn w:val="Fuentedeprrafopredeter"/>
    <w:link w:val="Textonotaalfinal"/>
    <w:uiPriority w:val="99"/>
    <w:rsid w:val="00F27029"/>
    <w:rPr>
      <w:rFonts w:ascii="Verdana" w:eastAsia="Batang" w:hAnsi="Verdana" w:cs="Times New Roman"/>
      <w:sz w:val="20"/>
      <w:szCs w:val="20"/>
      <w:lang w:val="es-ES_tradnl"/>
    </w:rPr>
  </w:style>
  <w:style w:type="paragraph" w:styleId="Sangra3detindependiente">
    <w:name w:val="Body Text Indent 3"/>
    <w:basedOn w:val="Normal"/>
    <w:link w:val="Sangra3detindependienteCar"/>
    <w:rsid w:val="00F27029"/>
    <w:pPr>
      <w:spacing w:after="120"/>
      <w:ind w:left="360"/>
    </w:pPr>
    <w:rPr>
      <w:rFonts w:eastAsia="Batang"/>
      <w:sz w:val="16"/>
      <w:szCs w:val="16"/>
      <w:lang w:val="es-ES_tradnl"/>
    </w:rPr>
  </w:style>
  <w:style w:type="character" w:customStyle="1" w:styleId="Sangra3detindependienteCar">
    <w:name w:val="Sangría 3 de t. independiente Car"/>
    <w:basedOn w:val="Fuentedeprrafopredeter"/>
    <w:link w:val="Sangra3detindependiente"/>
    <w:rsid w:val="00F27029"/>
    <w:rPr>
      <w:rFonts w:ascii="Verdana" w:eastAsia="Batang" w:hAnsi="Verdana" w:cs="Times New Roman"/>
      <w:sz w:val="16"/>
      <w:szCs w:val="16"/>
      <w:lang w:val="es-ES_tradnl"/>
    </w:rPr>
  </w:style>
  <w:style w:type="paragraph" w:styleId="Piedepgina">
    <w:name w:val="footer"/>
    <w:basedOn w:val="Normal"/>
    <w:link w:val="PiedepginaCar"/>
    <w:uiPriority w:val="99"/>
    <w:rsid w:val="00F27029"/>
    <w:pPr>
      <w:tabs>
        <w:tab w:val="center" w:pos="4320"/>
        <w:tab w:val="right" w:pos="8640"/>
      </w:tabs>
      <w:spacing w:after="0"/>
    </w:pPr>
    <w:rPr>
      <w:rFonts w:eastAsia="Batang"/>
      <w:sz w:val="24"/>
      <w:lang w:val="es-ES_tradnl"/>
    </w:rPr>
  </w:style>
  <w:style w:type="character" w:customStyle="1" w:styleId="PiedepginaCar">
    <w:name w:val="Pie de página Car"/>
    <w:basedOn w:val="Fuentedeprrafopredeter"/>
    <w:link w:val="Piedepgina"/>
    <w:uiPriority w:val="99"/>
    <w:rsid w:val="00F27029"/>
    <w:rPr>
      <w:rFonts w:ascii="Verdana" w:eastAsia="Batang" w:hAnsi="Verdana" w:cs="Times New Roman"/>
      <w:sz w:val="24"/>
      <w:szCs w:val="24"/>
      <w:lang w:val="es-ES_tradnl"/>
    </w:rPr>
  </w:style>
  <w:style w:type="character" w:styleId="Nmerodepgina">
    <w:name w:val="page number"/>
    <w:basedOn w:val="Fuentedeprrafopredeter"/>
    <w:uiPriority w:val="99"/>
    <w:rsid w:val="00F27029"/>
  </w:style>
  <w:style w:type="paragraph" w:styleId="Textosinformato">
    <w:name w:val="Plain Text"/>
    <w:basedOn w:val="Normal"/>
    <w:link w:val="TextosinformatoCar"/>
    <w:rsid w:val="00F27029"/>
    <w:pPr>
      <w:spacing w:after="0"/>
    </w:pPr>
    <w:rPr>
      <w:rFonts w:ascii="Courier New" w:hAnsi="Courier New" w:cs="Courier New"/>
      <w:szCs w:val="20"/>
      <w:lang w:val="en-US"/>
    </w:rPr>
  </w:style>
  <w:style w:type="character" w:customStyle="1" w:styleId="TextosinformatoCar">
    <w:name w:val="Texto sin formato Car"/>
    <w:basedOn w:val="Fuentedeprrafopredeter"/>
    <w:link w:val="Textosinformato"/>
    <w:rsid w:val="00F27029"/>
    <w:rPr>
      <w:rFonts w:ascii="Courier New" w:eastAsia="Times New Roman" w:hAnsi="Courier New" w:cs="Courier New"/>
      <w:sz w:val="20"/>
      <w:szCs w:val="20"/>
      <w:lang w:val="en-US"/>
    </w:rPr>
  </w:style>
  <w:style w:type="paragraph" w:styleId="Revisin">
    <w:name w:val="Revision"/>
    <w:hidden/>
    <w:uiPriority w:val="99"/>
    <w:semiHidden/>
    <w:rsid w:val="00F27029"/>
    <w:pPr>
      <w:spacing w:after="0" w:line="240" w:lineRule="auto"/>
    </w:pPr>
    <w:rPr>
      <w:rFonts w:ascii="Verdana" w:eastAsia="Batang" w:hAnsi="Verdana" w:cs="Times New Roman"/>
      <w:sz w:val="24"/>
      <w:szCs w:val="24"/>
      <w:lang w:val="es-ES_tradnl"/>
    </w:rPr>
  </w:style>
  <w:style w:type="character" w:customStyle="1" w:styleId="longtext">
    <w:name w:val="long_text"/>
    <w:basedOn w:val="Fuentedeprrafopredeter"/>
    <w:rsid w:val="00F27029"/>
    <w:rPr>
      <w:rFonts w:cs="Times New Roman"/>
    </w:rPr>
  </w:style>
  <w:style w:type="paragraph" w:customStyle="1" w:styleId="Default">
    <w:name w:val="Default"/>
    <w:rsid w:val="00F270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haracterStyle3">
    <w:name w:val="Character Style 3"/>
    <w:rsid w:val="00F27029"/>
    <w:rPr>
      <w:sz w:val="20"/>
    </w:rPr>
  </w:style>
  <w:style w:type="character" w:customStyle="1" w:styleId="apple-converted-space">
    <w:name w:val="apple-converted-space"/>
    <w:basedOn w:val="Fuentedeprrafopredeter"/>
    <w:rsid w:val="00F27029"/>
  </w:style>
  <w:style w:type="paragraph" w:styleId="Mapadeldocumento">
    <w:name w:val="Document Map"/>
    <w:basedOn w:val="Normal"/>
    <w:link w:val="MapadeldocumentoCar"/>
    <w:uiPriority w:val="99"/>
    <w:rsid w:val="00F27029"/>
    <w:pPr>
      <w:spacing w:after="0"/>
    </w:pPr>
    <w:rPr>
      <w:rFonts w:ascii="Tahoma" w:eastAsia="Batang" w:hAnsi="Tahoma" w:cs="Tahoma"/>
      <w:sz w:val="16"/>
      <w:szCs w:val="16"/>
      <w:lang w:val="es-ES_tradnl"/>
    </w:rPr>
  </w:style>
  <w:style w:type="character" w:customStyle="1" w:styleId="MapadeldocumentoCar">
    <w:name w:val="Mapa del documento Car"/>
    <w:basedOn w:val="Fuentedeprrafopredeter"/>
    <w:link w:val="Mapadeldocumento"/>
    <w:uiPriority w:val="99"/>
    <w:rsid w:val="00F27029"/>
    <w:rPr>
      <w:rFonts w:ascii="Tahoma" w:eastAsia="Batang" w:hAnsi="Tahoma" w:cs="Tahoma"/>
      <w:sz w:val="16"/>
      <w:szCs w:val="16"/>
      <w:lang w:val="es-ES_tradnl"/>
    </w:rPr>
  </w:style>
  <w:style w:type="paragraph" w:styleId="Prrafodelista">
    <w:name w:val="List Paragraph"/>
    <w:aliases w:val="Footnote,List Paragraph1,Colorful List - Accent 11,Párrafo de lista1,List Paragraph2,Lista vistosa - Énfasis 11"/>
    <w:basedOn w:val="Normal"/>
    <w:uiPriority w:val="34"/>
    <w:qFormat/>
    <w:rsid w:val="002D2ADC"/>
    <w:pPr>
      <w:ind w:left="720"/>
      <w:contextualSpacing/>
    </w:pPr>
  </w:style>
  <w:style w:type="paragraph" w:customStyle="1" w:styleId="cptname">
    <w:name w:val="cptname"/>
    <w:basedOn w:val="Normal"/>
    <w:rsid w:val="00F27029"/>
    <w:pPr>
      <w:snapToGrid w:val="0"/>
      <w:spacing w:after="0"/>
      <w:ind w:left="454"/>
    </w:pPr>
    <w:rPr>
      <w:rFonts w:ascii="Arial" w:eastAsia="Calibri" w:hAnsi="Arial" w:cs="Arial"/>
      <w:b/>
      <w:bCs/>
      <w:szCs w:val="20"/>
      <w:lang w:val="en-US"/>
    </w:rPr>
  </w:style>
  <w:style w:type="character" w:customStyle="1" w:styleId="doctitle2">
    <w:name w:val="doctitle2"/>
    <w:basedOn w:val="Fuentedeprrafopredeter"/>
    <w:rsid w:val="00F27029"/>
    <w:rPr>
      <w:b/>
      <w:bCs/>
      <w:color w:val="333333"/>
    </w:rPr>
  </w:style>
  <w:style w:type="character" w:styleId="Refdenotaalfinal">
    <w:name w:val="endnote reference"/>
    <w:basedOn w:val="Fuentedeprrafopredeter"/>
    <w:uiPriority w:val="99"/>
    <w:rsid w:val="00F27029"/>
    <w:rPr>
      <w:vertAlign w:val="superscript"/>
    </w:rPr>
  </w:style>
  <w:style w:type="paragraph" w:customStyle="1" w:styleId="Prrafodelista2">
    <w:name w:val="Párrafo de lista2"/>
    <w:basedOn w:val="Normal"/>
    <w:uiPriority w:val="99"/>
    <w:rsid w:val="00F27029"/>
    <w:pPr>
      <w:spacing w:after="0"/>
      <w:ind w:left="720"/>
    </w:pPr>
    <w:rPr>
      <w:rFonts w:eastAsia="MS Mincho"/>
      <w:szCs w:val="20"/>
      <w:lang w:val="es-ES_tradnl"/>
    </w:rPr>
  </w:style>
  <w:style w:type="paragraph" w:customStyle="1" w:styleId="Citacuerpo">
    <w:name w:val="Cita cuerpo"/>
    <w:basedOn w:val="Normal"/>
    <w:link w:val="CitacuerpoCar"/>
    <w:qFormat/>
    <w:rsid w:val="00890B82"/>
    <w:pPr>
      <w:spacing w:after="100" w:afterAutospacing="1" w:line="264" w:lineRule="auto"/>
      <w:ind w:left="1416"/>
    </w:pPr>
    <w:rPr>
      <w:sz w:val="18"/>
      <w:szCs w:val="18"/>
    </w:rPr>
  </w:style>
  <w:style w:type="character" w:customStyle="1" w:styleId="CitacuerpoCar">
    <w:name w:val="Cita cuerpo Car"/>
    <w:link w:val="Citacuerpo"/>
    <w:rsid w:val="00890B82"/>
    <w:rPr>
      <w:rFonts w:ascii="Verdana" w:hAnsi="Verdana"/>
      <w:sz w:val="18"/>
      <w:szCs w:val="18"/>
    </w:rPr>
  </w:style>
  <w:style w:type="character" w:customStyle="1" w:styleId="Cuadrculaclara-nfasis3Car">
    <w:name w:val="Cuadrícula clara - Énfasis 3 Car"/>
    <w:aliases w:val="Footnote Car,Colorful List - Accent 11 Car,Párrafo de lista Car1"/>
    <w:link w:val="Cuadrculaclara-nfasis3"/>
    <w:rsid w:val="008628EA"/>
    <w:rPr>
      <w:rFonts w:ascii="Verdana" w:eastAsia="Batang" w:hAnsi="Verdana" w:cs="Times"/>
      <w:sz w:val="20"/>
      <w:szCs w:val="24"/>
      <w:lang w:val="es-ES_tradnl"/>
    </w:rPr>
  </w:style>
  <w:style w:type="table" w:styleId="Cuadrculaclara-nfasis3">
    <w:name w:val="Light Grid Accent 3"/>
    <w:basedOn w:val="Tablanormal"/>
    <w:link w:val="Cuadrculaclara-nfasis3Car"/>
    <w:uiPriority w:val="34"/>
    <w:semiHidden/>
    <w:unhideWhenUsed/>
    <w:rsid w:val="008628EA"/>
    <w:pPr>
      <w:spacing w:after="0" w:line="240" w:lineRule="auto"/>
    </w:pPr>
    <w:rPr>
      <w:rFonts w:ascii="Verdana" w:eastAsia="Batang" w:hAnsi="Verdana" w:cs="Times"/>
      <w:sz w:val="20"/>
      <w:szCs w:val="24"/>
      <w:lang w:val="es-ES_trad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extonotaalfinalCar1">
    <w:name w:val="Texto nota al final Car1"/>
    <w:basedOn w:val="Fuentedeprrafopredeter"/>
    <w:rsid w:val="00E47E38"/>
    <w:rPr>
      <w:rFonts w:ascii="CG Times" w:eastAsia="MS Mincho" w:hAnsi="CG Times" w:cs="Times New Roman"/>
      <w:szCs w:val="20"/>
      <w:lang w:val="es-ES_tradnl"/>
    </w:rPr>
  </w:style>
  <w:style w:type="paragraph" w:customStyle="1" w:styleId="Enelmismo">
    <w:name w:val="En el mismo"/>
    <w:basedOn w:val="Normal"/>
    <w:link w:val="EnelmismoCar"/>
    <w:autoRedefine/>
    <w:qFormat/>
    <w:rsid w:val="00495143"/>
    <w:pPr>
      <w:spacing w:after="100" w:afterAutospacing="1" w:line="264" w:lineRule="auto"/>
    </w:pPr>
    <w:rPr>
      <w:b/>
      <w:i/>
      <w:sz w:val="18"/>
      <w:szCs w:val="18"/>
    </w:rPr>
  </w:style>
  <w:style w:type="character" w:customStyle="1" w:styleId="EnelmismoCar">
    <w:name w:val="En el mismo Car"/>
    <w:link w:val="Enelmismo"/>
    <w:rsid w:val="00495143"/>
    <w:rPr>
      <w:rFonts w:ascii="Verdana" w:hAnsi="Verdana"/>
      <w:b/>
      <w:i/>
      <w:sz w:val="18"/>
      <w:szCs w:val="18"/>
    </w:rPr>
  </w:style>
  <w:style w:type="paragraph" w:customStyle="1" w:styleId="Footnotes">
    <w:name w:val="**. Footnotes"/>
    <w:basedOn w:val="Textonotapie"/>
    <w:link w:val="FootnotesChar"/>
    <w:autoRedefine/>
    <w:qFormat/>
    <w:rsid w:val="007269CF"/>
    <w:pPr>
      <w:overflowPunct/>
      <w:autoSpaceDE/>
      <w:autoSpaceDN/>
      <w:adjustRightInd/>
      <w:spacing w:before="120" w:after="120"/>
      <w:textAlignment w:val="auto"/>
    </w:pPr>
    <w:rPr>
      <w:rFonts w:ascii="Verdana" w:hAnsi="Verdana"/>
      <w:bCs/>
      <w:iCs/>
      <w:sz w:val="16"/>
      <w:szCs w:val="16"/>
      <w:lang w:val="es-ES"/>
    </w:rPr>
  </w:style>
  <w:style w:type="character" w:customStyle="1" w:styleId="FootnotesChar">
    <w:name w:val="**. Footnotes Char"/>
    <w:link w:val="Footnotes"/>
    <w:rsid w:val="007269CF"/>
    <w:rPr>
      <w:rFonts w:ascii="Verdana" w:eastAsia="Times New Roman" w:hAnsi="Verdana" w:cs="Times New Roman"/>
      <w:bCs/>
      <w:iCs/>
      <w:sz w:val="16"/>
      <w:szCs w:val="16"/>
      <w:lang w:eastAsia="es-MX"/>
    </w:rPr>
  </w:style>
  <w:style w:type="paragraph" w:customStyle="1" w:styleId="Prrafodelista4">
    <w:name w:val="Párrafo de lista4"/>
    <w:basedOn w:val="Normal"/>
    <w:link w:val="PrrafodelistaCar"/>
    <w:uiPriority w:val="99"/>
    <w:rsid w:val="007E4168"/>
    <w:pPr>
      <w:spacing w:after="0"/>
      <w:ind w:left="720"/>
    </w:pPr>
    <w:rPr>
      <w:szCs w:val="20"/>
      <w:lang w:val="es-ES_tradnl"/>
    </w:rPr>
  </w:style>
  <w:style w:type="character" w:customStyle="1" w:styleId="PrrafodelistaCar">
    <w:name w:val="Párrafo de lista Car"/>
    <w:aliases w:val="List Paragraph1 Car,Párrafo de lista1 Car,List Paragraph2 Car,Lista vistosa - Énfasis 11 Car"/>
    <w:link w:val="Prrafodelista4"/>
    <w:uiPriority w:val="34"/>
    <w:locked/>
    <w:rsid w:val="007E4168"/>
    <w:rPr>
      <w:rFonts w:ascii="Verdana" w:eastAsia="Times New Roman" w:hAnsi="Verdana" w:cs="Times New Roman"/>
      <w:sz w:val="20"/>
      <w:szCs w:val="20"/>
      <w:lang w:val="es-ES_tradnl"/>
    </w:rPr>
  </w:style>
  <w:style w:type="paragraph" w:customStyle="1" w:styleId="Caso">
    <w:name w:val="Caso"/>
    <w:basedOn w:val="Normal"/>
    <w:link w:val="CasoCar"/>
    <w:qFormat/>
    <w:rsid w:val="00E90E19"/>
    <w:pPr>
      <w:tabs>
        <w:tab w:val="left" w:pos="567"/>
        <w:tab w:val="left" w:pos="1134"/>
        <w:tab w:val="num" w:pos="6042"/>
      </w:tabs>
      <w:spacing w:after="120"/>
    </w:pPr>
    <w:rPr>
      <w:rFonts w:eastAsia="Calibri"/>
      <w:b/>
      <w:szCs w:val="20"/>
    </w:rPr>
  </w:style>
  <w:style w:type="character" w:customStyle="1" w:styleId="CasoCar">
    <w:name w:val="Caso Car"/>
    <w:link w:val="Caso"/>
    <w:rsid w:val="00E90E19"/>
    <w:rPr>
      <w:rFonts w:ascii="Verdana" w:eastAsia="Calibri" w:hAnsi="Verdana" w:cs="Times New Roman"/>
      <w:b/>
      <w:sz w:val="20"/>
      <w:szCs w:val="20"/>
      <w:lang w:val="es-CL" w:eastAsia="es-MX"/>
    </w:rPr>
  </w:style>
  <w:style w:type="paragraph" w:customStyle="1" w:styleId="Estilo2">
    <w:name w:val="Estilo2"/>
    <w:basedOn w:val="Normal"/>
    <w:link w:val="Estilo2Car"/>
    <w:rsid w:val="000B5470"/>
    <w:pPr>
      <w:tabs>
        <w:tab w:val="left" w:pos="567"/>
        <w:tab w:val="left" w:pos="1134"/>
        <w:tab w:val="num" w:pos="4767"/>
      </w:tabs>
      <w:spacing w:after="120"/>
      <w:ind w:firstLine="357"/>
    </w:pPr>
    <w:rPr>
      <w:rFonts w:eastAsia="Calibri"/>
      <w:szCs w:val="20"/>
    </w:rPr>
  </w:style>
  <w:style w:type="character" w:customStyle="1" w:styleId="Estilo2Car">
    <w:name w:val="Estilo2 Car"/>
    <w:basedOn w:val="Fuentedeprrafopredeter"/>
    <w:link w:val="Estilo2"/>
    <w:rsid w:val="003114DD"/>
    <w:rPr>
      <w:rFonts w:ascii="Verdana" w:eastAsia="Calibri" w:hAnsi="Verdana" w:cs="Times New Roman"/>
      <w:sz w:val="20"/>
      <w:szCs w:val="20"/>
    </w:rPr>
  </w:style>
  <w:style w:type="paragraph" w:customStyle="1" w:styleId="Estilo8">
    <w:name w:val="Estilo8"/>
    <w:basedOn w:val="Enelmismo"/>
    <w:link w:val="Estilo8Car"/>
    <w:rsid w:val="000B5470"/>
    <w:pPr>
      <w:numPr>
        <w:ilvl w:val="2"/>
        <w:numId w:val="1"/>
      </w:numPr>
      <w:tabs>
        <w:tab w:val="left" w:pos="567"/>
        <w:tab w:val="left" w:pos="851"/>
      </w:tabs>
      <w:ind w:left="0" w:firstLine="567"/>
    </w:pPr>
    <w:rPr>
      <w:lang w:val="es-ES_tradnl"/>
    </w:rPr>
  </w:style>
  <w:style w:type="character" w:customStyle="1" w:styleId="Estilo8Car">
    <w:name w:val="Estilo8 Car"/>
    <w:basedOn w:val="EnelmismoCar"/>
    <w:link w:val="Estilo8"/>
    <w:rsid w:val="000B5470"/>
    <w:rPr>
      <w:rFonts w:ascii="Verdana" w:eastAsia="Times New Roman" w:hAnsi="Verdana" w:cs="Times New Roman"/>
      <w:b/>
      <w:i/>
      <w:sz w:val="18"/>
      <w:szCs w:val="18"/>
      <w:lang w:val="es-ES_tradnl" w:eastAsia="es-MX"/>
    </w:rPr>
  </w:style>
  <w:style w:type="paragraph" w:customStyle="1" w:styleId="Normal1">
    <w:name w:val="Normal1"/>
    <w:link w:val="NormalChar"/>
    <w:rsid w:val="000B5470"/>
    <w:pPr>
      <w:autoSpaceDE w:val="0"/>
      <w:autoSpaceDN w:val="0"/>
      <w:adjustRightInd w:val="0"/>
      <w:ind w:left="1080" w:hanging="360"/>
      <w:contextualSpacing/>
      <w:jc w:val="both"/>
    </w:pPr>
    <w:rPr>
      <w:rFonts w:ascii="Verdana" w:eastAsia="Times New Roman" w:hAnsi="Verdana" w:cs="Times New Roman"/>
      <w:sz w:val="20"/>
      <w:szCs w:val="20"/>
      <w:lang w:val="es-CR"/>
    </w:rPr>
  </w:style>
  <w:style w:type="character" w:customStyle="1" w:styleId="NormalChar">
    <w:name w:val="Normal Char"/>
    <w:link w:val="Normal1"/>
    <w:rsid w:val="000B5470"/>
    <w:rPr>
      <w:rFonts w:ascii="Verdana" w:eastAsia="Times New Roman" w:hAnsi="Verdana" w:cs="Times New Roman"/>
      <w:sz w:val="20"/>
      <w:szCs w:val="20"/>
      <w:lang w:val="es-CR"/>
    </w:rPr>
  </w:style>
  <w:style w:type="table" w:styleId="Listavistosa-nfasis1">
    <w:name w:val="Colorful List Accent 1"/>
    <w:basedOn w:val="Tablanormal"/>
    <w:uiPriority w:val="72"/>
    <w:semiHidden/>
    <w:unhideWhenUsed/>
    <w:rsid w:val="000B547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aracteresdenotafinal">
    <w:name w:val="Caracteres de nota final"/>
    <w:rsid w:val="003D57AE"/>
    <w:rPr>
      <w:vertAlign w:val="superscript"/>
    </w:rPr>
  </w:style>
  <w:style w:type="paragraph" w:customStyle="1" w:styleId="Estilo7">
    <w:name w:val="Estilo7"/>
    <w:basedOn w:val="Normal"/>
    <w:rsid w:val="005E3C85"/>
    <w:pPr>
      <w:tabs>
        <w:tab w:val="left" w:pos="567"/>
        <w:tab w:val="left" w:pos="851"/>
        <w:tab w:val="num" w:pos="2160"/>
      </w:tabs>
      <w:spacing w:before="120" w:after="120"/>
      <w:ind w:left="2160" w:hanging="180"/>
    </w:pPr>
    <w:rPr>
      <w:rFonts w:eastAsia="Batang"/>
      <w:b/>
      <w:i/>
      <w:szCs w:val="20"/>
      <w:lang w:val="es-ES_tradnl"/>
    </w:rPr>
  </w:style>
  <w:style w:type="paragraph" w:customStyle="1" w:styleId="Estilo4">
    <w:name w:val="Estilo4"/>
    <w:basedOn w:val="Prrafodelista"/>
    <w:rsid w:val="00BB2848"/>
    <w:pPr>
      <w:numPr>
        <w:ilvl w:val="1"/>
        <w:numId w:val="2"/>
      </w:numPr>
      <w:spacing w:after="120"/>
      <w:ind w:left="0" w:firstLine="357"/>
    </w:pPr>
    <w:rPr>
      <w:spacing w:val="-2"/>
      <w:szCs w:val="20"/>
      <w:lang w:val="es-CR"/>
    </w:rPr>
  </w:style>
  <w:style w:type="character" w:customStyle="1" w:styleId="sb8d990e2">
    <w:name w:val="sb8d990e2"/>
    <w:basedOn w:val="Fuentedeprrafopredeter"/>
    <w:rsid w:val="00704706"/>
  </w:style>
  <w:style w:type="character" w:customStyle="1" w:styleId="s6b621b36">
    <w:name w:val="s6b621b36"/>
    <w:basedOn w:val="Fuentedeprrafopredeter"/>
    <w:rsid w:val="00704706"/>
  </w:style>
  <w:style w:type="paragraph" w:customStyle="1" w:styleId="Numberedparagraphs">
    <w:name w:val="Numbered paragraphs"/>
    <w:basedOn w:val="Normal"/>
    <w:rsid w:val="00704706"/>
    <w:pPr>
      <w:numPr>
        <w:numId w:val="3"/>
      </w:numPr>
    </w:pPr>
    <w:rPr>
      <w:rFonts w:eastAsia="MS Mincho"/>
      <w:color w:val="000000"/>
      <w:szCs w:val="20"/>
      <w:lang w:val="es-ES_tradnl"/>
    </w:rPr>
  </w:style>
  <w:style w:type="paragraph" w:styleId="TtuloTDC">
    <w:name w:val="TOC Heading"/>
    <w:basedOn w:val="Ttulo1"/>
    <w:next w:val="Normal"/>
    <w:uiPriority w:val="39"/>
    <w:unhideWhenUsed/>
    <w:qFormat/>
    <w:rsid w:val="002D2ADC"/>
    <w:pPr>
      <w:outlineLvl w:val="9"/>
    </w:pPr>
  </w:style>
  <w:style w:type="paragraph" w:styleId="TDC1">
    <w:name w:val="toc 1"/>
    <w:basedOn w:val="Normal"/>
    <w:next w:val="Normal"/>
    <w:autoRedefine/>
    <w:uiPriority w:val="39"/>
    <w:unhideWhenUsed/>
    <w:rsid w:val="00C62A4E"/>
    <w:pPr>
      <w:shd w:val="clear" w:color="auto" w:fill="DAEEF3" w:themeFill="accent5" w:themeFillTint="33"/>
      <w:tabs>
        <w:tab w:val="right" w:leader="dot" w:pos="8488"/>
      </w:tabs>
      <w:spacing w:after="100"/>
    </w:pPr>
  </w:style>
  <w:style w:type="paragraph" w:styleId="TDC2">
    <w:name w:val="toc 2"/>
    <w:basedOn w:val="Normal"/>
    <w:next w:val="Normal"/>
    <w:autoRedefine/>
    <w:uiPriority w:val="39"/>
    <w:unhideWhenUsed/>
    <w:rsid w:val="002D0B62"/>
    <w:pPr>
      <w:shd w:val="clear" w:color="auto" w:fill="DAEEF3" w:themeFill="accent5" w:themeFillTint="33"/>
      <w:tabs>
        <w:tab w:val="right" w:leader="dot" w:pos="8488"/>
      </w:tabs>
      <w:spacing w:after="100"/>
      <w:ind w:left="220"/>
    </w:pPr>
  </w:style>
  <w:style w:type="paragraph" w:styleId="TDC3">
    <w:name w:val="toc 3"/>
    <w:basedOn w:val="Normal"/>
    <w:next w:val="Normal"/>
    <w:autoRedefine/>
    <w:uiPriority w:val="39"/>
    <w:unhideWhenUsed/>
    <w:rsid w:val="002E0960"/>
    <w:pPr>
      <w:spacing w:after="100"/>
      <w:ind w:left="440"/>
    </w:pPr>
  </w:style>
  <w:style w:type="paragraph" w:styleId="Sinespaciado">
    <w:name w:val="No Spacing"/>
    <w:aliases w:val="Pie Pagina"/>
    <w:basedOn w:val="Normal"/>
    <w:link w:val="SinespaciadoCar"/>
    <w:uiPriority w:val="1"/>
    <w:qFormat/>
    <w:rsid w:val="002D2ADC"/>
    <w:pPr>
      <w:spacing w:after="0"/>
    </w:pPr>
  </w:style>
  <w:style w:type="character" w:customStyle="1" w:styleId="SinespaciadoCar">
    <w:name w:val="Sin espaciado Car"/>
    <w:aliases w:val="Pie Pagina Car"/>
    <w:basedOn w:val="Fuentedeprrafopredeter"/>
    <w:link w:val="Sinespaciado"/>
    <w:uiPriority w:val="1"/>
    <w:rsid w:val="002D2AD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F440B"/>
    <w:pPr>
      <w:spacing w:after="0"/>
    </w:pPr>
    <w:rPr>
      <w:rFonts w:eastAsiaTheme="minorHAnsi"/>
      <w:szCs w:val="20"/>
      <w:vertAlign w:val="superscript"/>
      <w:lang w:val="en-US" w:eastAsia="en-US"/>
    </w:rPr>
  </w:style>
  <w:style w:type="paragraph" w:styleId="Descripcin">
    <w:name w:val="caption"/>
    <w:basedOn w:val="Normal"/>
    <w:next w:val="Normal"/>
    <w:uiPriority w:val="35"/>
    <w:semiHidden/>
    <w:unhideWhenUsed/>
    <w:qFormat/>
    <w:rsid w:val="002D2ADC"/>
    <w:rPr>
      <w:caps/>
      <w:spacing w:val="10"/>
      <w:sz w:val="18"/>
      <w:szCs w:val="18"/>
    </w:rPr>
  </w:style>
  <w:style w:type="paragraph" w:styleId="Subttulo">
    <w:name w:val="Subtitle"/>
    <w:basedOn w:val="Normal"/>
    <w:next w:val="Normal"/>
    <w:link w:val="SubttuloCar"/>
    <w:uiPriority w:val="11"/>
    <w:qFormat/>
    <w:rsid w:val="002D2ADC"/>
    <w:pPr>
      <w:spacing w:after="560"/>
      <w:jc w:val="center"/>
    </w:pPr>
    <w:rPr>
      <w:caps/>
      <w:spacing w:val="20"/>
      <w:sz w:val="18"/>
      <w:szCs w:val="18"/>
    </w:rPr>
  </w:style>
  <w:style w:type="character" w:customStyle="1" w:styleId="SubttuloCar">
    <w:name w:val="Subtítulo Car"/>
    <w:basedOn w:val="Fuentedeprrafopredeter"/>
    <w:link w:val="Subttulo"/>
    <w:uiPriority w:val="11"/>
    <w:rsid w:val="002D2ADC"/>
    <w:rPr>
      <w:caps/>
      <w:spacing w:val="20"/>
      <w:sz w:val="18"/>
      <w:szCs w:val="18"/>
    </w:rPr>
  </w:style>
  <w:style w:type="paragraph" w:styleId="Cita">
    <w:name w:val="Quote"/>
    <w:basedOn w:val="Normal"/>
    <w:next w:val="Normal"/>
    <w:link w:val="CitaCar"/>
    <w:uiPriority w:val="29"/>
    <w:qFormat/>
    <w:rsid w:val="002D2ADC"/>
    <w:rPr>
      <w:i/>
      <w:iCs/>
    </w:rPr>
  </w:style>
  <w:style w:type="character" w:customStyle="1" w:styleId="CitaCar">
    <w:name w:val="Cita Car"/>
    <w:basedOn w:val="Fuentedeprrafopredeter"/>
    <w:link w:val="Cita"/>
    <w:uiPriority w:val="29"/>
    <w:rsid w:val="002D2ADC"/>
    <w:rPr>
      <w:i/>
      <w:iCs/>
    </w:rPr>
  </w:style>
  <w:style w:type="paragraph" w:styleId="Citadestacada">
    <w:name w:val="Intense Quote"/>
    <w:basedOn w:val="Normal"/>
    <w:next w:val="Normal"/>
    <w:link w:val="CitadestacadaCar"/>
    <w:uiPriority w:val="30"/>
    <w:qFormat/>
    <w:rsid w:val="002D2AD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Cs w:val="20"/>
    </w:rPr>
  </w:style>
  <w:style w:type="character" w:customStyle="1" w:styleId="CitadestacadaCar">
    <w:name w:val="Cita destacada Car"/>
    <w:basedOn w:val="Fuentedeprrafopredeter"/>
    <w:link w:val="Citadestacada"/>
    <w:uiPriority w:val="30"/>
    <w:rsid w:val="002D2ADC"/>
    <w:rPr>
      <w:caps/>
      <w:color w:val="622423" w:themeColor="accent2" w:themeShade="7F"/>
      <w:spacing w:val="5"/>
      <w:sz w:val="20"/>
      <w:szCs w:val="20"/>
    </w:rPr>
  </w:style>
  <w:style w:type="character" w:styleId="nfasissutil">
    <w:name w:val="Subtle Emphasis"/>
    <w:uiPriority w:val="19"/>
    <w:qFormat/>
    <w:rsid w:val="002D2ADC"/>
    <w:rPr>
      <w:i/>
      <w:iCs/>
    </w:rPr>
  </w:style>
  <w:style w:type="character" w:styleId="nfasisintenso">
    <w:name w:val="Intense Emphasis"/>
    <w:uiPriority w:val="21"/>
    <w:qFormat/>
    <w:rsid w:val="002D2ADC"/>
    <w:rPr>
      <w:i/>
      <w:iCs/>
      <w:caps/>
      <w:spacing w:val="10"/>
      <w:sz w:val="20"/>
      <w:szCs w:val="20"/>
    </w:rPr>
  </w:style>
  <w:style w:type="character" w:styleId="Referenciasutil">
    <w:name w:val="Subtle Reference"/>
    <w:basedOn w:val="Fuentedeprrafopredeter"/>
    <w:uiPriority w:val="31"/>
    <w:qFormat/>
    <w:rsid w:val="002D2ADC"/>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2D2ADC"/>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2D2ADC"/>
    <w:rPr>
      <w:caps/>
      <w:color w:val="622423" w:themeColor="accent2" w:themeShade="7F"/>
      <w:spacing w:val="5"/>
      <w:u w:color="622423" w:themeColor="accent2" w:themeShade="7F"/>
    </w:rPr>
  </w:style>
  <w:style w:type="character" w:styleId="Hipervnculovisitado">
    <w:name w:val="FollowedHyperlink"/>
    <w:basedOn w:val="Fuentedeprrafopredeter"/>
    <w:uiPriority w:val="99"/>
    <w:semiHidden/>
    <w:unhideWhenUsed/>
    <w:rsid w:val="002629B4"/>
    <w:rPr>
      <w:color w:val="800080" w:themeColor="followedHyperlink"/>
      <w:u w:val="single"/>
    </w:rPr>
  </w:style>
  <w:style w:type="character" w:customStyle="1" w:styleId="FootnoteRef">
    <w:name w:val="Footnote Ref"/>
    <w:rsid w:val="00E90E19"/>
    <w:rPr>
      <w:rFonts w:cs="Times New Roman"/>
      <w:vertAlign w:val="superscript"/>
    </w:rPr>
  </w:style>
  <w:style w:type="paragraph" w:customStyle="1" w:styleId="Heading23">
    <w:name w:val="Heading 2.3"/>
    <w:basedOn w:val="Normal"/>
    <w:uiPriority w:val="99"/>
    <w:rsid w:val="00E90E19"/>
    <w:rPr>
      <w:rFonts w:eastAsia="Calibri"/>
      <w:sz w:val="16"/>
      <w:szCs w:val="16"/>
      <w:vertAlign w:val="superscript"/>
      <w:lang w:val="x-none" w:eastAsia="x-none"/>
    </w:rPr>
  </w:style>
  <w:style w:type="character" w:customStyle="1" w:styleId="st">
    <w:name w:val="st"/>
    <w:basedOn w:val="Fuentedeprrafopredeter"/>
    <w:rsid w:val="0084122F"/>
    <w:rPr>
      <w:rFonts w:cs="Times New Roman"/>
    </w:rPr>
  </w:style>
  <w:style w:type="character" w:customStyle="1" w:styleId="documentbody1">
    <w:name w:val="documentbody1"/>
    <w:basedOn w:val="Fuentedeprrafopredeter"/>
    <w:rsid w:val="0084122F"/>
    <w:rPr>
      <w:rFonts w:ascii="Verdana" w:hAnsi="Verdana" w:hint="default"/>
      <w:sz w:val="19"/>
      <w:szCs w:val="19"/>
    </w:rPr>
  </w:style>
  <w:style w:type="paragraph" w:styleId="HTMLconformatoprevio">
    <w:name w:val="HTML Preformatted"/>
    <w:basedOn w:val="Normal"/>
    <w:link w:val="HTMLconformatoprevioCar"/>
    <w:uiPriority w:val="99"/>
    <w:unhideWhenUsed/>
    <w:rsid w:val="0084122F"/>
    <w:pPr>
      <w:spacing w:after="0"/>
      <w:jc w:val="left"/>
    </w:pPr>
    <w:rPr>
      <w:rFonts w:ascii="Consolas" w:eastAsiaTheme="minorHAnsi" w:hAnsi="Consolas" w:cs="Consolas"/>
      <w:szCs w:val="20"/>
      <w:lang w:val="es-CR" w:eastAsia="en-US"/>
    </w:rPr>
  </w:style>
  <w:style w:type="character" w:customStyle="1" w:styleId="HTMLconformatoprevioCar">
    <w:name w:val="HTML con formato previo Car"/>
    <w:basedOn w:val="Fuentedeprrafopredeter"/>
    <w:link w:val="HTMLconformatoprevio"/>
    <w:uiPriority w:val="99"/>
    <w:rsid w:val="0084122F"/>
    <w:rPr>
      <w:rFonts w:ascii="Consolas" w:eastAsiaTheme="minorHAnsi" w:hAnsi="Consolas" w:cs="Consolas"/>
      <w:sz w:val="20"/>
      <w:szCs w:val="20"/>
      <w:lang w:val="es-CR" w:eastAsia="en-US"/>
    </w:rPr>
  </w:style>
  <w:style w:type="character" w:customStyle="1" w:styleId="PrrafodeSentenciaChar">
    <w:name w:val="*. Párrafo de Sentencia Char"/>
    <w:basedOn w:val="Fuentedeprrafopredeter"/>
    <w:link w:val="PrrafodeSentencia"/>
    <w:locked/>
    <w:rsid w:val="00326300"/>
    <w:rPr>
      <w:rFonts w:ascii="Verdana" w:eastAsia="Times New Roman" w:hAnsi="Verdana" w:cs="Times New Roman"/>
      <w:b/>
      <w:bCs/>
      <w:sz w:val="18"/>
      <w:szCs w:val="18"/>
      <w:lang w:val="es-CL" w:eastAsia="es-MX"/>
    </w:rPr>
  </w:style>
  <w:style w:type="paragraph" w:customStyle="1" w:styleId="PrrafodeSentencia">
    <w:name w:val="*. Párrafo de Sentencia"/>
    <w:basedOn w:val="Ttulo4"/>
    <w:next w:val="Normal"/>
    <w:link w:val="PrrafodeSentenciaChar"/>
    <w:qFormat/>
    <w:rsid w:val="00326300"/>
    <w:pPr>
      <w:spacing w:after="120"/>
      <w:outlineLvl w:val="9"/>
    </w:pPr>
  </w:style>
  <w:style w:type="paragraph" w:customStyle="1" w:styleId="gn-search-box">
    <w:name w:val="gn-search-box"/>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divider">
    <w:name w:val="divider"/>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gn-create">
    <w:name w:val="gn-create"/>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gn-get-pro">
    <w:name w:val="gn-get-pro"/>
    <w:basedOn w:val="Normal"/>
    <w:rsid w:val="0084122F"/>
    <w:pPr>
      <w:spacing w:before="100" w:beforeAutospacing="1" w:after="100" w:afterAutospacing="1"/>
      <w:jc w:val="left"/>
    </w:pPr>
    <w:rPr>
      <w:rFonts w:ascii="Times New Roman" w:eastAsiaTheme="minorEastAsia" w:hAnsi="Times New Roman"/>
      <w:sz w:val="24"/>
      <w:lang w:eastAsia="es-ES_tradnl"/>
    </w:rPr>
  </w:style>
  <w:style w:type="character" w:customStyle="1" w:styleId="z-PrincipiodelformularioCar">
    <w:name w:val="z-Principio del formulario Car"/>
    <w:basedOn w:val="Fuentedeprrafopredeter"/>
    <w:link w:val="z-Principiodelformulario"/>
    <w:uiPriority w:val="99"/>
    <w:semiHidden/>
    <w:rsid w:val="0084122F"/>
    <w:rPr>
      <w:rFonts w:ascii="Arial" w:eastAsiaTheme="minorEastAsia" w:hAnsi="Arial" w:cs="Arial"/>
      <w:vanish/>
      <w:sz w:val="16"/>
      <w:szCs w:val="16"/>
      <w:lang w:val="es-CL" w:eastAsia="es-ES_tradnl"/>
    </w:rPr>
  </w:style>
  <w:style w:type="paragraph" w:styleId="z-Principiodelformulario">
    <w:name w:val="HTML Top of Form"/>
    <w:basedOn w:val="Normal"/>
    <w:next w:val="Normal"/>
    <w:link w:val="z-PrincipiodelformularioCar"/>
    <w:hidden/>
    <w:uiPriority w:val="99"/>
    <w:semiHidden/>
    <w:unhideWhenUsed/>
    <w:rsid w:val="0084122F"/>
    <w:pPr>
      <w:pBdr>
        <w:bottom w:val="single" w:sz="6" w:space="1" w:color="auto"/>
      </w:pBdr>
      <w:spacing w:after="0"/>
      <w:jc w:val="center"/>
    </w:pPr>
    <w:rPr>
      <w:rFonts w:ascii="Arial" w:eastAsiaTheme="minorEastAsia"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84122F"/>
    <w:rPr>
      <w:rFonts w:ascii="Arial" w:eastAsiaTheme="minorEastAsia" w:hAnsi="Arial" w:cs="Arial"/>
      <w:vanish/>
      <w:sz w:val="16"/>
      <w:szCs w:val="16"/>
      <w:lang w:val="es-CL" w:eastAsia="es-ES_tradnl"/>
    </w:rPr>
  </w:style>
  <w:style w:type="paragraph" w:styleId="z-Finaldelformulario">
    <w:name w:val="HTML Bottom of Form"/>
    <w:basedOn w:val="Normal"/>
    <w:next w:val="Normal"/>
    <w:link w:val="z-FinaldelformularioCar"/>
    <w:hidden/>
    <w:uiPriority w:val="99"/>
    <w:semiHidden/>
    <w:unhideWhenUsed/>
    <w:rsid w:val="0084122F"/>
    <w:pPr>
      <w:pBdr>
        <w:top w:val="single" w:sz="6" w:space="1" w:color="auto"/>
      </w:pBdr>
      <w:spacing w:after="0"/>
      <w:jc w:val="center"/>
    </w:pPr>
    <w:rPr>
      <w:rFonts w:ascii="Arial" w:eastAsiaTheme="minorEastAsia" w:hAnsi="Arial" w:cs="Arial"/>
      <w:vanish/>
      <w:sz w:val="16"/>
      <w:szCs w:val="16"/>
      <w:lang w:eastAsia="es-ES_tradnl"/>
    </w:rPr>
  </w:style>
  <w:style w:type="paragraph" w:customStyle="1" w:styleId="gn-upload">
    <w:name w:val="gn-upload"/>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gn-signin">
    <w:name w:val="gn-signin"/>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gn-signup">
    <w:name w:val="gn-signup"/>
    <w:basedOn w:val="Normal"/>
    <w:rsid w:val="0084122F"/>
    <w:pPr>
      <w:spacing w:before="100" w:beforeAutospacing="1" w:after="100" w:afterAutospacing="1"/>
      <w:jc w:val="left"/>
    </w:pPr>
    <w:rPr>
      <w:rFonts w:ascii="Times New Roman" w:eastAsiaTheme="minorEastAsia" w:hAnsi="Times New Roman"/>
      <w:sz w:val="24"/>
      <w:lang w:eastAsia="es-ES_tradnl"/>
    </w:rPr>
  </w:style>
  <w:style w:type="character" w:customStyle="1" w:styleId="hide-text">
    <w:name w:val="hide-text"/>
    <w:basedOn w:val="Fuentedeprrafopredeter"/>
    <w:rsid w:val="0084122F"/>
  </w:style>
  <w:style w:type="character" w:customStyle="1" w:styleId="toggle-icon">
    <w:name w:val="toggle-icon"/>
    <w:basedOn w:val="Fuentedeprrafopredeter"/>
    <w:rsid w:val="0084122F"/>
  </w:style>
  <w:style w:type="character" w:customStyle="1" w:styleId="relationship">
    <w:name w:val="relationship"/>
    <w:basedOn w:val="Fuentedeprrafopredeter"/>
    <w:rsid w:val="0084122F"/>
  </w:style>
  <w:style w:type="paragraph" w:customStyle="1" w:styleId="following-friend">
    <w:name w:val="following-friend"/>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following-family">
    <w:name w:val="following-family"/>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following-unfollow">
    <w:name w:val="following-unfollow"/>
    <w:basedOn w:val="Normal"/>
    <w:rsid w:val="0084122F"/>
    <w:pPr>
      <w:spacing w:before="100" w:beforeAutospacing="1" w:after="100" w:afterAutospacing="1"/>
      <w:jc w:val="left"/>
    </w:pPr>
    <w:rPr>
      <w:rFonts w:ascii="Times New Roman" w:eastAsiaTheme="minorEastAsia" w:hAnsi="Times New Roman"/>
      <w:sz w:val="24"/>
      <w:lang w:eastAsia="es-ES_tradnl"/>
    </w:rPr>
  </w:style>
  <w:style w:type="character" w:customStyle="1" w:styleId="play-slideshow">
    <w:name w:val="play-slideshow"/>
    <w:basedOn w:val="Fuentedeprrafopredeter"/>
    <w:rsid w:val="0084122F"/>
  </w:style>
  <w:style w:type="character" w:customStyle="1" w:styleId="nav">
    <w:name w:val="nav"/>
    <w:basedOn w:val="Fuentedeprrafopredeter"/>
    <w:rsid w:val="0084122F"/>
  </w:style>
  <w:style w:type="character" w:customStyle="1" w:styleId="view-count-label">
    <w:name w:val="view-count-label"/>
    <w:basedOn w:val="Fuentedeprrafopredeter"/>
    <w:rsid w:val="0084122F"/>
  </w:style>
  <w:style w:type="character" w:customStyle="1" w:styleId="stats-label">
    <w:name w:val="stats-label"/>
    <w:basedOn w:val="Fuentedeprrafopredeter"/>
    <w:rsid w:val="0084122F"/>
  </w:style>
  <w:style w:type="character" w:customStyle="1" w:styleId="fave-count-label">
    <w:name w:val="fave-count-label"/>
    <w:basedOn w:val="Fuentedeprrafopredeter"/>
    <w:rsid w:val="0084122F"/>
  </w:style>
  <w:style w:type="character" w:customStyle="1" w:styleId="comment-count-label">
    <w:name w:val="comment-count-label"/>
    <w:basedOn w:val="Fuentedeprrafopredeter"/>
    <w:rsid w:val="0084122F"/>
  </w:style>
  <w:style w:type="character" w:customStyle="1" w:styleId="date-taken-label">
    <w:name w:val="date-taken-label"/>
    <w:basedOn w:val="Fuentedeprrafopredeter"/>
    <w:rsid w:val="0084122F"/>
  </w:style>
  <w:style w:type="paragraph" w:customStyle="1" w:styleId="c-charm-item-camera">
    <w:name w:val="c-charm-item-camera"/>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c-charm-item-aperture">
    <w:name w:val="c-charm-item-aperture"/>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c-charm-item-focal-length">
    <w:name w:val="c-charm-item-focal-length"/>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c-charm-item-exposure-time">
    <w:name w:val="c-charm-item-exposure-time"/>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c-charm-item-iso">
    <w:name w:val="c-charm-item-iso"/>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c-charm-item-flash">
    <w:name w:val="c-charm-item-flash"/>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extended-exif">
    <w:name w:val="extended-exif"/>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extended-exif-item">
    <w:name w:val="extended-exif-item"/>
    <w:basedOn w:val="Normal"/>
    <w:rsid w:val="0084122F"/>
    <w:pPr>
      <w:spacing w:before="100" w:beforeAutospacing="1" w:after="100" w:afterAutospacing="1"/>
      <w:jc w:val="left"/>
    </w:pPr>
    <w:rPr>
      <w:rFonts w:ascii="Times New Roman" w:eastAsiaTheme="minorEastAsia" w:hAnsi="Times New Roman"/>
      <w:sz w:val="24"/>
      <w:lang w:eastAsia="es-ES_tradnl"/>
    </w:rPr>
  </w:style>
  <w:style w:type="character" w:customStyle="1" w:styleId="exif-name">
    <w:name w:val="exif-name"/>
    <w:basedOn w:val="Fuentedeprrafopredeter"/>
    <w:rsid w:val="0084122F"/>
  </w:style>
  <w:style w:type="character" w:customStyle="1" w:styleId="exif-value">
    <w:name w:val="exif-value"/>
    <w:basedOn w:val="Fuentedeprrafopredeter"/>
    <w:rsid w:val="0084122F"/>
  </w:style>
  <w:style w:type="character" w:customStyle="1" w:styleId="Ttulo10">
    <w:name w:val="Título1"/>
    <w:basedOn w:val="Fuentedeprrafopredeter"/>
    <w:rsid w:val="0084122F"/>
  </w:style>
  <w:style w:type="character" w:customStyle="1" w:styleId="counts">
    <w:name w:val="counts"/>
    <w:basedOn w:val="Fuentedeprrafopredeter"/>
    <w:rsid w:val="0084122F"/>
  </w:style>
  <w:style w:type="paragraph" w:customStyle="1" w:styleId="autotag">
    <w:name w:val="autotag"/>
    <w:basedOn w:val="Normal"/>
    <w:rsid w:val="0084122F"/>
    <w:pPr>
      <w:spacing w:before="100" w:beforeAutospacing="1" w:after="100" w:afterAutospacing="1"/>
      <w:jc w:val="left"/>
    </w:pPr>
    <w:rPr>
      <w:rFonts w:ascii="Times New Roman" w:eastAsiaTheme="minorEastAsia" w:hAnsi="Times New Roman"/>
      <w:sz w:val="24"/>
      <w:lang w:eastAsia="es-ES_tradnl"/>
    </w:rPr>
  </w:style>
  <w:style w:type="character" w:customStyle="1" w:styleId="privacy-label">
    <w:name w:val="privacy-label"/>
    <w:basedOn w:val="Fuentedeprrafopredeter"/>
    <w:rsid w:val="0084122F"/>
  </w:style>
  <w:style w:type="character" w:customStyle="1" w:styleId="privacy-value">
    <w:name w:val="privacy-value"/>
    <w:basedOn w:val="Fuentedeprrafopredeter"/>
    <w:rsid w:val="0084122F"/>
  </w:style>
  <w:style w:type="character" w:customStyle="1" w:styleId="safety-label">
    <w:name w:val="safety-label"/>
    <w:basedOn w:val="Fuentedeprrafopredeter"/>
    <w:rsid w:val="0084122F"/>
  </w:style>
  <w:style w:type="character" w:customStyle="1" w:styleId="safety-value">
    <w:name w:val="safety-value"/>
    <w:basedOn w:val="Fuentedeprrafopredeter"/>
    <w:rsid w:val="0084122F"/>
  </w:style>
  <w:style w:type="character" w:customStyle="1" w:styleId="search-key">
    <w:name w:val="search-key"/>
    <w:basedOn w:val="Fuentedeprrafopredeter"/>
    <w:rsid w:val="0084122F"/>
  </w:style>
  <w:style w:type="character" w:customStyle="1" w:styleId="search-key-label">
    <w:name w:val="search-key-label"/>
    <w:basedOn w:val="Fuentedeprrafopredeter"/>
    <w:rsid w:val="0084122F"/>
  </w:style>
  <w:style w:type="character" w:customStyle="1" w:styleId="photo-navigation-key-label">
    <w:name w:val="photo-navigation-key-label"/>
    <w:basedOn w:val="Fuentedeprrafopredeter"/>
    <w:rsid w:val="0084122F"/>
  </w:style>
  <w:style w:type="character" w:customStyle="1" w:styleId="thumbnail-navigation-key-left">
    <w:name w:val="thumbnail-navigation-key-left"/>
    <w:basedOn w:val="Fuentedeprrafopredeter"/>
    <w:rsid w:val="0084122F"/>
  </w:style>
  <w:style w:type="character" w:customStyle="1" w:styleId="thumbnail-navigation-key-right">
    <w:name w:val="thumbnail-navigation-key-right"/>
    <w:basedOn w:val="Fuentedeprrafopredeter"/>
    <w:rsid w:val="0084122F"/>
  </w:style>
  <w:style w:type="character" w:customStyle="1" w:styleId="thumbnail-navigation-key-label">
    <w:name w:val="thumbnail-navigation-key-label"/>
    <w:basedOn w:val="Fuentedeprrafopredeter"/>
    <w:rsid w:val="0084122F"/>
  </w:style>
  <w:style w:type="character" w:customStyle="1" w:styleId="back-to-context-key">
    <w:name w:val="back-to-context-key"/>
    <w:basedOn w:val="Fuentedeprrafopredeter"/>
    <w:rsid w:val="0084122F"/>
  </w:style>
  <w:style w:type="character" w:customStyle="1" w:styleId="back-to-context-key-label">
    <w:name w:val="back-to-context-key-label"/>
    <w:basedOn w:val="Fuentedeprrafopredeter"/>
    <w:rsid w:val="0084122F"/>
  </w:style>
  <w:style w:type="paragraph" w:customStyle="1" w:styleId="foot-li">
    <w:name w:val="foot-li"/>
    <w:basedOn w:val="Normal"/>
    <w:rsid w:val="0084122F"/>
    <w:pPr>
      <w:spacing w:before="100" w:beforeAutospacing="1" w:after="100" w:afterAutospacing="1"/>
      <w:jc w:val="left"/>
    </w:pPr>
    <w:rPr>
      <w:rFonts w:ascii="Times New Roman" w:eastAsiaTheme="minorEastAsia" w:hAnsi="Times New Roman"/>
      <w:sz w:val="24"/>
      <w:lang w:eastAsia="es-ES_tradnl"/>
    </w:rPr>
  </w:style>
  <w:style w:type="paragraph" w:customStyle="1" w:styleId="Estilo3">
    <w:name w:val="Estilo3"/>
    <w:basedOn w:val="Estilo2"/>
    <w:link w:val="Estilo3Car"/>
    <w:rsid w:val="003A3485"/>
    <w:pPr>
      <w:tabs>
        <w:tab w:val="clear" w:pos="567"/>
        <w:tab w:val="clear" w:pos="1134"/>
        <w:tab w:val="clear" w:pos="4767"/>
        <w:tab w:val="left" w:pos="720"/>
        <w:tab w:val="num" w:pos="6261"/>
      </w:tabs>
      <w:ind w:left="720" w:right="-518" w:firstLine="0"/>
    </w:pPr>
    <w:rPr>
      <w:spacing w:val="-2"/>
      <w:lang w:val="es-CR" w:eastAsia="en-US"/>
    </w:rPr>
  </w:style>
  <w:style w:type="character" w:customStyle="1" w:styleId="Estilo3Car">
    <w:name w:val="Estilo3 Car"/>
    <w:basedOn w:val="Fuentedeprrafopredeter"/>
    <w:link w:val="Estilo3"/>
    <w:rsid w:val="003A3485"/>
    <w:rPr>
      <w:rFonts w:ascii="Verdana" w:eastAsia="Calibri" w:hAnsi="Verdana" w:cs="Times New Roman"/>
      <w:spacing w:val="-2"/>
      <w:sz w:val="20"/>
      <w:szCs w:val="20"/>
      <w:lang w:val="es-CR" w:eastAsia="en-US"/>
    </w:rPr>
  </w:style>
  <w:style w:type="character" w:customStyle="1" w:styleId="FootnoteAnchor">
    <w:name w:val="Footnote Anchor"/>
    <w:rsid w:val="003A3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5003">
      <w:bodyDiv w:val="1"/>
      <w:marLeft w:val="0"/>
      <w:marRight w:val="0"/>
      <w:marTop w:val="0"/>
      <w:marBottom w:val="0"/>
      <w:divBdr>
        <w:top w:val="none" w:sz="0" w:space="0" w:color="auto"/>
        <w:left w:val="none" w:sz="0" w:space="0" w:color="auto"/>
        <w:bottom w:val="none" w:sz="0" w:space="0" w:color="auto"/>
        <w:right w:val="none" w:sz="0" w:space="0" w:color="auto"/>
      </w:divBdr>
      <w:divsChild>
        <w:div w:id="970522977">
          <w:marLeft w:val="0"/>
          <w:marRight w:val="0"/>
          <w:marTop w:val="0"/>
          <w:marBottom w:val="0"/>
          <w:divBdr>
            <w:top w:val="none" w:sz="0" w:space="0" w:color="auto"/>
            <w:left w:val="none" w:sz="0" w:space="0" w:color="auto"/>
            <w:bottom w:val="none" w:sz="0" w:space="0" w:color="auto"/>
            <w:right w:val="none" w:sz="0" w:space="0" w:color="auto"/>
          </w:divBdr>
          <w:divsChild>
            <w:div w:id="20817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3690">
      <w:bodyDiv w:val="1"/>
      <w:marLeft w:val="0"/>
      <w:marRight w:val="0"/>
      <w:marTop w:val="0"/>
      <w:marBottom w:val="0"/>
      <w:divBdr>
        <w:top w:val="none" w:sz="0" w:space="0" w:color="auto"/>
        <w:left w:val="none" w:sz="0" w:space="0" w:color="auto"/>
        <w:bottom w:val="none" w:sz="0" w:space="0" w:color="auto"/>
        <w:right w:val="none" w:sz="0" w:space="0" w:color="auto"/>
      </w:divBdr>
    </w:div>
    <w:div w:id="91126211">
      <w:bodyDiv w:val="1"/>
      <w:marLeft w:val="0"/>
      <w:marRight w:val="0"/>
      <w:marTop w:val="0"/>
      <w:marBottom w:val="0"/>
      <w:divBdr>
        <w:top w:val="none" w:sz="0" w:space="0" w:color="auto"/>
        <w:left w:val="none" w:sz="0" w:space="0" w:color="auto"/>
        <w:bottom w:val="none" w:sz="0" w:space="0" w:color="auto"/>
        <w:right w:val="none" w:sz="0" w:space="0" w:color="auto"/>
      </w:divBdr>
    </w:div>
    <w:div w:id="99180983">
      <w:bodyDiv w:val="1"/>
      <w:marLeft w:val="0"/>
      <w:marRight w:val="0"/>
      <w:marTop w:val="0"/>
      <w:marBottom w:val="0"/>
      <w:divBdr>
        <w:top w:val="none" w:sz="0" w:space="0" w:color="auto"/>
        <w:left w:val="none" w:sz="0" w:space="0" w:color="auto"/>
        <w:bottom w:val="none" w:sz="0" w:space="0" w:color="auto"/>
        <w:right w:val="none" w:sz="0" w:space="0" w:color="auto"/>
      </w:divBdr>
    </w:div>
    <w:div w:id="104230099">
      <w:bodyDiv w:val="1"/>
      <w:marLeft w:val="0"/>
      <w:marRight w:val="0"/>
      <w:marTop w:val="0"/>
      <w:marBottom w:val="0"/>
      <w:divBdr>
        <w:top w:val="none" w:sz="0" w:space="0" w:color="auto"/>
        <w:left w:val="none" w:sz="0" w:space="0" w:color="auto"/>
        <w:bottom w:val="none" w:sz="0" w:space="0" w:color="auto"/>
        <w:right w:val="none" w:sz="0" w:space="0" w:color="auto"/>
      </w:divBdr>
    </w:div>
    <w:div w:id="114060709">
      <w:bodyDiv w:val="1"/>
      <w:marLeft w:val="0"/>
      <w:marRight w:val="0"/>
      <w:marTop w:val="0"/>
      <w:marBottom w:val="0"/>
      <w:divBdr>
        <w:top w:val="none" w:sz="0" w:space="0" w:color="auto"/>
        <w:left w:val="none" w:sz="0" w:space="0" w:color="auto"/>
        <w:bottom w:val="none" w:sz="0" w:space="0" w:color="auto"/>
        <w:right w:val="none" w:sz="0" w:space="0" w:color="auto"/>
      </w:divBdr>
      <w:divsChild>
        <w:div w:id="1256205527">
          <w:marLeft w:val="0"/>
          <w:marRight w:val="0"/>
          <w:marTop w:val="0"/>
          <w:marBottom w:val="0"/>
          <w:divBdr>
            <w:top w:val="none" w:sz="0" w:space="0" w:color="auto"/>
            <w:left w:val="none" w:sz="0" w:space="0" w:color="auto"/>
            <w:bottom w:val="none" w:sz="0" w:space="0" w:color="auto"/>
            <w:right w:val="none" w:sz="0" w:space="0" w:color="auto"/>
          </w:divBdr>
          <w:divsChild>
            <w:div w:id="712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167">
      <w:bodyDiv w:val="1"/>
      <w:marLeft w:val="0"/>
      <w:marRight w:val="0"/>
      <w:marTop w:val="0"/>
      <w:marBottom w:val="0"/>
      <w:divBdr>
        <w:top w:val="none" w:sz="0" w:space="0" w:color="auto"/>
        <w:left w:val="none" w:sz="0" w:space="0" w:color="auto"/>
        <w:bottom w:val="none" w:sz="0" w:space="0" w:color="auto"/>
        <w:right w:val="none" w:sz="0" w:space="0" w:color="auto"/>
      </w:divBdr>
      <w:divsChild>
        <w:div w:id="944851993">
          <w:marLeft w:val="0"/>
          <w:marRight w:val="0"/>
          <w:marTop w:val="0"/>
          <w:marBottom w:val="0"/>
          <w:divBdr>
            <w:top w:val="none" w:sz="0" w:space="0" w:color="auto"/>
            <w:left w:val="none" w:sz="0" w:space="0" w:color="auto"/>
            <w:bottom w:val="none" w:sz="0" w:space="0" w:color="auto"/>
            <w:right w:val="none" w:sz="0" w:space="0" w:color="auto"/>
          </w:divBdr>
          <w:divsChild>
            <w:div w:id="1405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435">
      <w:bodyDiv w:val="1"/>
      <w:marLeft w:val="0"/>
      <w:marRight w:val="0"/>
      <w:marTop w:val="0"/>
      <w:marBottom w:val="0"/>
      <w:divBdr>
        <w:top w:val="none" w:sz="0" w:space="0" w:color="auto"/>
        <w:left w:val="none" w:sz="0" w:space="0" w:color="auto"/>
        <w:bottom w:val="none" w:sz="0" w:space="0" w:color="auto"/>
        <w:right w:val="none" w:sz="0" w:space="0" w:color="auto"/>
      </w:divBdr>
      <w:divsChild>
        <w:div w:id="1377437705">
          <w:marLeft w:val="0"/>
          <w:marRight w:val="0"/>
          <w:marTop w:val="0"/>
          <w:marBottom w:val="0"/>
          <w:divBdr>
            <w:top w:val="none" w:sz="0" w:space="0" w:color="auto"/>
            <w:left w:val="none" w:sz="0" w:space="0" w:color="auto"/>
            <w:bottom w:val="none" w:sz="0" w:space="0" w:color="auto"/>
            <w:right w:val="none" w:sz="0" w:space="0" w:color="auto"/>
          </w:divBdr>
          <w:divsChild>
            <w:div w:id="14370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451">
      <w:bodyDiv w:val="1"/>
      <w:marLeft w:val="0"/>
      <w:marRight w:val="0"/>
      <w:marTop w:val="0"/>
      <w:marBottom w:val="0"/>
      <w:divBdr>
        <w:top w:val="none" w:sz="0" w:space="0" w:color="auto"/>
        <w:left w:val="none" w:sz="0" w:space="0" w:color="auto"/>
        <w:bottom w:val="none" w:sz="0" w:space="0" w:color="auto"/>
        <w:right w:val="none" w:sz="0" w:space="0" w:color="auto"/>
      </w:divBdr>
      <w:divsChild>
        <w:div w:id="1294022910">
          <w:marLeft w:val="0"/>
          <w:marRight w:val="75"/>
          <w:marTop w:val="0"/>
          <w:marBottom w:val="0"/>
          <w:divBdr>
            <w:top w:val="none" w:sz="0" w:space="0" w:color="auto"/>
            <w:left w:val="none" w:sz="0" w:space="0" w:color="auto"/>
            <w:bottom w:val="none" w:sz="0" w:space="0" w:color="auto"/>
            <w:right w:val="none" w:sz="0" w:space="0" w:color="auto"/>
          </w:divBdr>
        </w:div>
        <w:div w:id="1704400052">
          <w:marLeft w:val="0"/>
          <w:marRight w:val="0"/>
          <w:marTop w:val="0"/>
          <w:marBottom w:val="0"/>
          <w:divBdr>
            <w:top w:val="none" w:sz="0" w:space="0" w:color="auto"/>
            <w:left w:val="none" w:sz="0" w:space="0" w:color="auto"/>
            <w:bottom w:val="none" w:sz="0" w:space="0" w:color="auto"/>
            <w:right w:val="none" w:sz="0" w:space="0" w:color="auto"/>
          </w:divBdr>
        </w:div>
        <w:div w:id="1195145885">
          <w:marLeft w:val="0"/>
          <w:marRight w:val="0"/>
          <w:marTop w:val="0"/>
          <w:marBottom w:val="0"/>
          <w:divBdr>
            <w:top w:val="none" w:sz="0" w:space="0" w:color="auto"/>
            <w:left w:val="none" w:sz="0" w:space="0" w:color="auto"/>
            <w:bottom w:val="none" w:sz="0" w:space="0" w:color="auto"/>
            <w:right w:val="none" w:sz="0" w:space="0" w:color="auto"/>
          </w:divBdr>
          <w:divsChild>
            <w:div w:id="1210797490">
              <w:marLeft w:val="0"/>
              <w:marRight w:val="0"/>
              <w:marTop w:val="0"/>
              <w:marBottom w:val="0"/>
              <w:divBdr>
                <w:top w:val="none" w:sz="0" w:space="0" w:color="auto"/>
                <w:left w:val="none" w:sz="0" w:space="0" w:color="auto"/>
                <w:bottom w:val="none" w:sz="0" w:space="0" w:color="auto"/>
                <w:right w:val="none" w:sz="0" w:space="0" w:color="auto"/>
              </w:divBdr>
              <w:divsChild>
                <w:div w:id="1521821965">
                  <w:marLeft w:val="0"/>
                  <w:marRight w:val="0"/>
                  <w:marTop w:val="0"/>
                  <w:marBottom w:val="960"/>
                  <w:divBdr>
                    <w:top w:val="none" w:sz="0" w:space="0" w:color="auto"/>
                    <w:left w:val="none" w:sz="0" w:space="0" w:color="auto"/>
                    <w:bottom w:val="single" w:sz="4" w:space="0" w:color="3695D2"/>
                    <w:right w:val="none" w:sz="0" w:space="0" w:color="auto"/>
                  </w:divBdr>
                </w:div>
                <w:div w:id="2061007879">
                  <w:marLeft w:val="0"/>
                  <w:marRight w:val="0"/>
                  <w:marTop w:val="0"/>
                  <w:marBottom w:val="0"/>
                  <w:divBdr>
                    <w:top w:val="none" w:sz="0" w:space="0" w:color="auto"/>
                    <w:left w:val="none" w:sz="0" w:space="0" w:color="auto"/>
                    <w:bottom w:val="none" w:sz="0" w:space="0" w:color="auto"/>
                    <w:right w:val="none" w:sz="0" w:space="0" w:color="auto"/>
                  </w:divBdr>
                  <w:divsChild>
                    <w:div w:id="1594826757">
                      <w:marLeft w:val="-225"/>
                      <w:marRight w:val="-225"/>
                      <w:marTop w:val="0"/>
                      <w:marBottom w:val="0"/>
                      <w:divBdr>
                        <w:top w:val="none" w:sz="0" w:space="0" w:color="auto"/>
                        <w:left w:val="none" w:sz="0" w:space="0" w:color="auto"/>
                        <w:bottom w:val="none" w:sz="0" w:space="0" w:color="auto"/>
                        <w:right w:val="none" w:sz="0" w:space="0" w:color="auto"/>
                      </w:divBdr>
                      <w:divsChild>
                        <w:div w:id="115028698">
                          <w:marLeft w:val="0"/>
                          <w:marRight w:val="0"/>
                          <w:marTop w:val="0"/>
                          <w:marBottom w:val="0"/>
                          <w:divBdr>
                            <w:top w:val="none" w:sz="0" w:space="0" w:color="auto"/>
                            <w:left w:val="none" w:sz="0" w:space="0" w:color="auto"/>
                            <w:bottom w:val="none" w:sz="0" w:space="0" w:color="auto"/>
                            <w:right w:val="none" w:sz="0" w:space="0" w:color="auto"/>
                          </w:divBdr>
                          <w:divsChild>
                            <w:div w:id="19580274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9109">
      <w:bodyDiv w:val="1"/>
      <w:marLeft w:val="0"/>
      <w:marRight w:val="0"/>
      <w:marTop w:val="0"/>
      <w:marBottom w:val="0"/>
      <w:divBdr>
        <w:top w:val="none" w:sz="0" w:space="0" w:color="auto"/>
        <w:left w:val="none" w:sz="0" w:space="0" w:color="auto"/>
        <w:bottom w:val="none" w:sz="0" w:space="0" w:color="auto"/>
        <w:right w:val="none" w:sz="0" w:space="0" w:color="auto"/>
      </w:divBdr>
    </w:div>
    <w:div w:id="195625266">
      <w:bodyDiv w:val="1"/>
      <w:marLeft w:val="0"/>
      <w:marRight w:val="0"/>
      <w:marTop w:val="0"/>
      <w:marBottom w:val="0"/>
      <w:divBdr>
        <w:top w:val="none" w:sz="0" w:space="0" w:color="auto"/>
        <w:left w:val="none" w:sz="0" w:space="0" w:color="auto"/>
        <w:bottom w:val="none" w:sz="0" w:space="0" w:color="auto"/>
        <w:right w:val="none" w:sz="0" w:space="0" w:color="auto"/>
      </w:divBdr>
    </w:div>
    <w:div w:id="196281069">
      <w:bodyDiv w:val="1"/>
      <w:marLeft w:val="0"/>
      <w:marRight w:val="0"/>
      <w:marTop w:val="0"/>
      <w:marBottom w:val="0"/>
      <w:divBdr>
        <w:top w:val="none" w:sz="0" w:space="0" w:color="auto"/>
        <w:left w:val="none" w:sz="0" w:space="0" w:color="auto"/>
        <w:bottom w:val="none" w:sz="0" w:space="0" w:color="auto"/>
        <w:right w:val="none" w:sz="0" w:space="0" w:color="auto"/>
      </w:divBdr>
      <w:divsChild>
        <w:div w:id="608271696">
          <w:marLeft w:val="0"/>
          <w:marRight w:val="0"/>
          <w:marTop w:val="0"/>
          <w:marBottom w:val="0"/>
          <w:divBdr>
            <w:top w:val="none" w:sz="0" w:space="0" w:color="auto"/>
            <w:left w:val="none" w:sz="0" w:space="0" w:color="auto"/>
            <w:bottom w:val="none" w:sz="0" w:space="0" w:color="auto"/>
            <w:right w:val="none" w:sz="0" w:space="0" w:color="auto"/>
          </w:divBdr>
          <w:divsChild>
            <w:div w:id="1577130353">
              <w:marLeft w:val="0"/>
              <w:marRight w:val="0"/>
              <w:marTop w:val="0"/>
              <w:marBottom w:val="0"/>
              <w:divBdr>
                <w:top w:val="none" w:sz="0" w:space="0" w:color="auto"/>
                <w:left w:val="none" w:sz="0" w:space="0" w:color="auto"/>
                <w:bottom w:val="none" w:sz="0" w:space="0" w:color="auto"/>
                <w:right w:val="none" w:sz="0" w:space="0" w:color="auto"/>
              </w:divBdr>
              <w:divsChild>
                <w:div w:id="9998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4015">
      <w:bodyDiv w:val="1"/>
      <w:marLeft w:val="0"/>
      <w:marRight w:val="0"/>
      <w:marTop w:val="0"/>
      <w:marBottom w:val="0"/>
      <w:divBdr>
        <w:top w:val="none" w:sz="0" w:space="0" w:color="auto"/>
        <w:left w:val="none" w:sz="0" w:space="0" w:color="auto"/>
        <w:bottom w:val="none" w:sz="0" w:space="0" w:color="auto"/>
        <w:right w:val="none" w:sz="0" w:space="0" w:color="auto"/>
      </w:divBdr>
    </w:div>
    <w:div w:id="259948506">
      <w:bodyDiv w:val="1"/>
      <w:marLeft w:val="0"/>
      <w:marRight w:val="0"/>
      <w:marTop w:val="0"/>
      <w:marBottom w:val="0"/>
      <w:divBdr>
        <w:top w:val="none" w:sz="0" w:space="0" w:color="auto"/>
        <w:left w:val="none" w:sz="0" w:space="0" w:color="auto"/>
        <w:bottom w:val="none" w:sz="0" w:space="0" w:color="auto"/>
        <w:right w:val="none" w:sz="0" w:space="0" w:color="auto"/>
      </w:divBdr>
    </w:div>
    <w:div w:id="267347467">
      <w:bodyDiv w:val="1"/>
      <w:marLeft w:val="0"/>
      <w:marRight w:val="0"/>
      <w:marTop w:val="0"/>
      <w:marBottom w:val="0"/>
      <w:divBdr>
        <w:top w:val="none" w:sz="0" w:space="0" w:color="auto"/>
        <w:left w:val="none" w:sz="0" w:space="0" w:color="auto"/>
        <w:bottom w:val="none" w:sz="0" w:space="0" w:color="auto"/>
        <w:right w:val="none" w:sz="0" w:space="0" w:color="auto"/>
      </w:divBdr>
    </w:div>
    <w:div w:id="291404208">
      <w:bodyDiv w:val="1"/>
      <w:marLeft w:val="0"/>
      <w:marRight w:val="0"/>
      <w:marTop w:val="0"/>
      <w:marBottom w:val="0"/>
      <w:divBdr>
        <w:top w:val="none" w:sz="0" w:space="0" w:color="auto"/>
        <w:left w:val="none" w:sz="0" w:space="0" w:color="auto"/>
        <w:bottom w:val="none" w:sz="0" w:space="0" w:color="auto"/>
        <w:right w:val="none" w:sz="0" w:space="0" w:color="auto"/>
      </w:divBdr>
    </w:div>
    <w:div w:id="291517642">
      <w:bodyDiv w:val="1"/>
      <w:marLeft w:val="0"/>
      <w:marRight w:val="0"/>
      <w:marTop w:val="0"/>
      <w:marBottom w:val="0"/>
      <w:divBdr>
        <w:top w:val="none" w:sz="0" w:space="0" w:color="auto"/>
        <w:left w:val="none" w:sz="0" w:space="0" w:color="auto"/>
        <w:bottom w:val="none" w:sz="0" w:space="0" w:color="auto"/>
        <w:right w:val="none" w:sz="0" w:space="0" w:color="auto"/>
      </w:divBdr>
    </w:div>
    <w:div w:id="319121163">
      <w:bodyDiv w:val="1"/>
      <w:marLeft w:val="0"/>
      <w:marRight w:val="0"/>
      <w:marTop w:val="0"/>
      <w:marBottom w:val="0"/>
      <w:divBdr>
        <w:top w:val="none" w:sz="0" w:space="0" w:color="auto"/>
        <w:left w:val="none" w:sz="0" w:space="0" w:color="auto"/>
        <w:bottom w:val="none" w:sz="0" w:space="0" w:color="auto"/>
        <w:right w:val="none" w:sz="0" w:space="0" w:color="auto"/>
      </w:divBdr>
    </w:div>
    <w:div w:id="322785672">
      <w:bodyDiv w:val="1"/>
      <w:marLeft w:val="0"/>
      <w:marRight w:val="0"/>
      <w:marTop w:val="0"/>
      <w:marBottom w:val="0"/>
      <w:divBdr>
        <w:top w:val="none" w:sz="0" w:space="0" w:color="auto"/>
        <w:left w:val="none" w:sz="0" w:space="0" w:color="auto"/>
        <w:bottom w:val="none" w:sz="0" w:space="0" w:color="auto"/>
        <w:right w:val="none" w:sz="0" w:space="0" w:color="auto"/>
      </w:divBdr>
      <w:divsChild>
        <w:div w:id="1977904284">
          <w:marLeft w:val="0"/>
          <w:marRight w:val="0"/>
          <w:marTop w:val="0"/>
          <w:marBottom w:val="0"/>
          <w:divBdr>
            <w:top w:val="none" w:sz="0" w:space="0" w:color="auto"/>
            <w:left w:val="none" w:sz="0" w:space="0" w:color="auto"/>
            <w:bottom w:val="none" w:sz="0" w:space="0" w:color="auto"/>
            <w:right w:val="none" w:sz="0" w:space="0" w:color="auto"/>
          </w:divBdr>
          <w:divsChild>
            <w:div w:id="18806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8139">
      <w:bodyDiv w:val="1"/>
      <w:marLeft w:val="0"/>
      <w:marRight w:val="0"/>
      <w:marTop w:val="0"/>
      <w:marBottom w:val="0"/>
      <w:divBdr>
        <w:top w:val="none" w:sz="0" w:space="0" w:color="auto"/>
        <w:left w:val="none" w:sz="0" w:space="0" w:color="auto"/>
        <w:bottom w:val="none" w:sz="0" w:space="0" w:color="auto"/>
        <w:right w:val="none" w:sz="0" w:space="0" w:color="auto"/>
      </w:divBdr>
    </w:div>
    <w:div w:id="364410928">
      <w:bodyDiv w:val="1"/>
      <w:marLeft w:val="0"/>
      <w:marRight w:val="0"/>
      <w:marTop w:val="0"/>
      <w:marBottom w:val="0"/>
      <w:divBdr>
        <w:top w:val="none" w:sz="0" w:space="0" w:color="auto"/>
        <w:left w:val="none" w:sz="0" w:space="0" w:color="auto"/>
        <w:bottom w:val="none" w:sz="0" w:space="0" w:color="auto"/>
        <w:right w:val="none" w:sz="0" w:space="0" w:color="auto"/>
      </w:divBdr>
    </w:div>
    <w:div w:id="369499043">
      <w:bodyDiv w:val="1"/>
      <w:marLeft w:val="0"/>
      <w:marRight w:val="0"/>
      <w:marTop w:val="0"/>
      <w:marBottom w:val="0"/>
      <w:divBdr>
        <w:top w:val="none" w:sz="0" w:space="0" w:color="auto"/>
        <w:left w:val="none" w:sz="0" w:space="0" w:color="auto"/>
        <w:bottom w:val="none" w:sz="0" w:space="0" w:color="auto"/>
        <w:right w:val="none" w:sz="0" w:space="0" w:color="auto"/>
      </w:divBdr>
    </w:div>
    <w:div w:id="402408976">
      <w:bodyDiv w:val="1"/>
      <w:marLeft w:val="0"/>
      <w:marRight w:val="0"/>
      <w:marTop w:val="0"/>
      <w:marBottom w:val="0"/>
      <w:divBdr>
        <w:top w:val="none" w:sz="0" w:space="0" w:color="auto"/>
        <w:left w:val="none" w:sz="0" w:space="0" w:color="auto"/>
        <w:bottom w:val="none" w:sz="0" w:space="0" w:color="auto"/>
        <w:right w:val="none" w:sz="0" w:space="0" w:color="auto"/>
      </w:divBdr>
      <w:divsChild>
        <w:div w:id="1154445927">
          <w:marLeft w:val="0"/>
          <w:marRight w:val="0"/>
          <w:marTop w:val="0"/>
          <w:marBottom w:val="0"/>
          <w:divBdr>
            <w:top w:val="none" w:sz="0" w:space="0" w:color="auto"/>
            <w:left w:val="none" w:sz="0" w:space="0" w:color="auto"/>
            <w:bottom w:val="none" w:sz="0" w:space="0" w:color="auto"/>
            <w:right w:val="none" w:sz="0" w:space="0" w:color="auto"/>
          </w:divBdr>
          <w:divsChild>
            <w:div w:id="7234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8154">
      <w:bodyDiv w:val="1"/>
      <w:marLeft w:val="0"/>
      <w:marRight w:val="0"/>
      <w:marTop w:val="0"/>
      <w:marBottom w:val="0"/>
      <w:divBdr>
        <w:top w:val="none" w:sz="0" w:space="0" w:color="auto"/>
        <w:left w:val="none" w:sz="0" w:space="0" w:color="auto"/>
        <w:bottom w:val="none" w:sz="0" w:space="0" w:color="auto"/>
        <w:right w:val="none" w:sz="0" w:space="0" w:color="auto"/>
      </w:divBdr>
    </w:div>
    <w:div w:id="412970242">
      <w:bodyDiv w:val="1"/>
      <w:marLeft w:val="0"/>
      <w:marRight w:val="0"/>
      <w:marTop w:val="0"/>
      <w:marBottom w:val="0"/>
      <w:divBdr>
        <w:top w:val="none" w:sz="0" w:space="0" w:color="auto"/>
        <w:left w:val="none" w:sz="0" w:space="0" w:color="auto"/>
        <w:bottom w:val="none" w:sz="0" w:space="0" w:color="auto"/>
        <w:right w:val="none" w:sz="0" w:space="0" w:color="auto"/>
      </w:divBdr>
    </w:div>
    <w:div w:id="415517085">
      <w:bodyDiv w:val="1"/>
      <w:marLeft w:val="0"/>
      <w:marRight w:val="0"/>
      <w:marTop w:val="0"/>
      <w:marBottom w:val="0"/>
      <w:divBdr>
        <w:top w:val="none" w:sz="0" w:space="0" w:color="auto"/>
        <w:left w:val="none" w:sz="0" w:space="0" w:color="auto"/>
        <w:bottom w:val="none" w:sz="0" w:space="0" w:color="auto"/>
        <w:right w:val="none" w:sz="0" w:space="0" w:color="auto"/>
      </w:divBdr>
    </w:div>
    <w:div w:id="433938162">
      <w:bodyDiv w:val="1"/>
      <w:marLeft w:val="0"/>
      <w:marRight w:val="0"/>
      <w:marTop w:val="0"/>
      <w:marBottom w:val="0"/>
      <w:divBdr>
        <w:top w:val="none" w:sz="0" w:space="0" w:color="auto"/>
        <w:left w:val="none" w:sz="0" w:space="0" w:color="auto"/>
        <w:bottom w:val="none" w:sz="0" w:space="0" w:color="auto"/>
        <w:right w:val="none" w:sz="0" w:space="0" w:color="auto"/>
      </w:divBdr>
      <w:divsChild>
        <w:div w:id="560555529">
          <w:marLeft w:val="0"/>
          <w:marRight w:val="0"/>
          <w:marTop w:val="0"/>
          <w:marBottom w:val="0"/>
          <w:divBdr>
            <w:top w:val="none" w:sz="0" w:space="0" w:color="auto"/>
            <w:left w:val="none" w:sz="0" w:space="0" w:color="auto"/>
            <w:bottom w:val="none" w:sz="0" w:space="0" w:color="auto"/>
            <w:right w:val="none" w:sz="0" w:space="0" w:color="auto"/>
          </w:divBdr>
          <w:divsChild>
            <w:div w:id="827284654">
              <w:marLeft w:val="0"/>
              <w:marRight w:val="0"/>
              <w:marTop w:val="0"/>
              <w:marBottom w:val="0"/>
              <w:divBdr>
                <w:top w:val="none" w:sz="0" w:space="0" w:color="auto"/>
                <w:left w:val="none" w:sz="0" w:space="0" w:color="auto"/>
                <w:bottom w:val="none" w:sz="0" w:space="0" w:color="auto"/>
                <w:right w:val="none" w:sz="0" w:space="0" w:color="auto"/>
              </w:divBdr>
              <w:divsChild>
                <w:div w:id="4812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6291">
      <w:bodyDiv w:val="1"/>
      <w:marLeft w:val="0"/>
      <w:marRight w:val="0"/>
      <w:marTop w:val="0"/>
      <w:marBottom w:val="0"/>
      <w:divBdr>
        <w:top w:val="none" w:sz="0" w:space="0" w:color="auto"/>
        <w:left w:val="none" w:sz="0" w:space="0" w:color="auto"/>
        <w:bottom w:val="none" w:sz="0" w:space="0" w:color="auto"/>
        <w:right w:val="none" w:sz="0" w:space="0" w:color="auto"/>
      </w:divBdr>
    </w:div>
    <w:div w:id="440489636">
      <w:bodyDiv w:val="1"/>
      <w:marLeft w:val="0"/>
      <w:marRight w:val="0"/>
      <w:marTop w:val="0"/>
      <w:marBottom w:val="0"/>
      <w:divBdr>
        <w:top w:val="none" w:sz="0" w:space="0" w:color="auto"/>
        <w:left w:val="none" w:sz="0" w:space="0" w:color="auto"/>
        <w:bottom w:val="none" w:sz="0" w:space="0" w:color="auto"/>
        <w:right w:val="none" w:sz="0" w:space="0" w:color="auto"/>
      </w:divBdr>
    </w:div>
    <w:div w:id="457182019">
      <w:bodyDiv w:val="1"/>
      <w:marLeft w:val="0"/>
      <w:marRight w:val="0"/>
      <w:marTop w:val="0"/>
      <w:marBottom w:val="0"/>
      <w:divBdr>
        <w:top w:val="none" w:sz="0" w:space="0" w:color="auto"/>
        <w:left w:val="none" w:sz="0" w:space="0" w:color="auto"/>
        <w:bottom w:val="none" w:sz="0" w:space="0" w:color="auto"/>
        <w:right w:val="none" w:sz="0" w:space="0" w:color="auto"/>
      </w:divBdr>
    </w:div>
    <w:div w:id="457842495">
      <w:bodyDiv w:val="1"/>
      <w:marLeft w:val="0"/>
      <w:marRight w:val="0"/>
      <w:marTop w:val="0"/>
      <w:marBottom w:val="0"/>
      <w:divBdr>
        <w:top w:val="none" w:sz="0" w:space="0" w:color="auto"/>
        <w:left w:val="none" w:sz="0" w:space="0" w:color="auto"/>
        <w:bottom w:val="none" w:sz="0" w:space="0" w:color="auto"/>
        <w:right w:val="none" w:sz="0" w:space="0" w:color="auto"/>
      </w:divBdr>
    </w:div>
    <w:div w:id="459153006">
      <w:bodyDiv w:val="1"/>
      <w:marLeft w:val="0"/>
      <w:marRight w:val="0"/>
      <w:marTop w:val="0"/>
      <w:marBottom w:val="0"/>
      <w:divBdr>
        <w:top w:val="none" w:sz="0" w:space="0" w:color="auto"/>
        <w:left w:val="none" w:sz="0" w:space="0" w:color="auto"/>
        <w:bottom w:val="none" w:sz="0" w:space="0" w:color="auto"/>
        <w:right w:val="none" w:sz="0" w:space="0" w:color="auto"/>
      </w:divBdr>
    </w:div>
    <w:div w:id="467358426">
      <w:bodyDiv w:val="1"/>
      <w:marLeft w:val="0"/>
      <w:marRight w:val="0"/>
      <w:marTop w:val="0"/>
      <w:marBottom w:val="0"/>
      <w:divBdr>
        <w:top w:val="none" w:sz="0" w:space="0" w:color="auto"/>
        <w:left w:val="none" w:sz="0" w:space="0" w:color="auto"/>
        <w:bottom w:val="none" w:sz="0" w:space="0" w:color="auto"/>
        <w:right w:val="none" w:sz="0" w:space="0" w:color="auto"/>
      </w:divBdr>
    </w:div>
    <w:div w:id="470295756">
      <w:bodyDiv w:val="1"/>
      <w:marLeft w:val="0"/>
      <w:marRight w:val="0"/>
      <w:marTop w:val="0"/>
      <w:marBottom w:val="0"/>
      <w:divBdr>
        <w:top w:val="none" w:sz="0" w:space="0" w:color="auto"/>
        <w:left w:val="none" w:sz="0" w:space="0" w:color="auto"/>
        <w:bottom w:val="none" w:sz="0" w:space="0" w:color="auto"/>
        <w:right w:val="none" w:sz="0" w:space="0" w:color="auto"/>
      </w:divBdr>
    </w:div>
    <w:div w:id="475294180">
      <w:bodyDiv w:val="1"/>
      <w:marLeft w:val="0"/>
      <w:marRight w:val="0"/>
      <w:marTop w:val="0"/>
      <w:marBottom w:val="0"/>
      <w:divBdr>
        <w:top w:val="none" w:sz="0" w:space="0" w:color="auto"/>
        <w:left w:val="none" w:sz="0" w:space="0" w:color="auto"/>
        <w:bottom w:val="none" w:sz="0" w:space="0" w:color="auto"/>
        <w:right w:val="none" w:sz="0" w:space="0" w:color="auto"/>
      </w:divBdr>
      <w:divsChild>
        <w:div w:id="1984577206">
          <w:marLeft w:val="0"/>
          <w:marRight w:val="0"/>
          <w:marTop w:val="0"/>
          <w:marBottom w:val="0"/>
          <w:divBdr>
            <w:top w:val="none" w:sz="0" w:space="0" w:color="auto"/>
            <w:left w:val="none" w:sz="0" w:space="0" w:color="auto"/>
            <w:bottom w:val="none" w:sz="0" w:space="0" w:color="auto"/>
            <w:right w:val="none" w:sz="0" w:space="0" w:color="auto"/>
          </w:divBdr>
          <w:divsChild>
            <w:div w:id="20366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7039">
      <w:bodyDiv w:val="1"/>
      <w:marLeft w:val="0"/>
      <w:marRight w:val="0"/>
      <w:marTop w:val="0"/>
      <w:marBottom w:val="0"/>
      <w:divBdr>
        <w:top w:val="none" w:sz="0" w:space="0" w:color="auto"/>
        <w:left w:val="none" w:sz="0" w:space="0" w:color="auto"/>
        <w:bottom w:val="none" w:sz="0" w:space="0" w:color="auto"/>
        <w:right w:val="none" w:sz="0" w:space="0" w:color="auto"/>
      </w:divBdr>
    </w:div>
    <w:div w:id="532688532">
      <w:bodyDiv w:val="1"/>
      <w:marLeft w:val="0"/>
      <w:marRight w:val="0"/>
      <w:marTop w:val="0"/>
      <w:marBottom w:val="0"/>
      <w:divBdr>
        <w:top w:val="none" w:sz="0" w:space="0" w:color="auto"/>
        <w:left w:val="none" w:sz="0" w:space="0" w:color="auto"/>
        <w:bottom w:val="none" w:sz="0" w:space="0" w:color="auto"/>
        <w:right w:val="none" w:sz="0" w:space="0" w:color="auto"/>
      </w:divBdr>
      <w:divsChild>
        <w:div w:id="1375734721">
          <w:marLeft w:val="0"/>
          <w:marRight w:val="0"/>
          <w:marTop w:val="0"/>
          <w:marBottom w:val="0"/>
          <w:divBdr>
            <w:top w:val="none" w:sz="0" w:space="0" w:color="auto"/>
            <w:left w:val="none" w:sz="0" w:space="0" w:color="auto"/>
            <w:bottom w:val="none" w:sz="0" w:space="0" w:color="auto"/>
            <w:right w:val="none" w:sz="0" w:space="0" w:color="auto"/>
          </w:divBdr>
          <w:divsChild>
            <w:div w:id="553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3795">
      <w:bodyDiv w:val="1"/>
      <w:marLeft w:val="0"/>
      <w:marRight w:val="0"/>
      <w:marTop w:val="0"/>
      <w:marBottom w:val="0"/>
      <w:divBdr>
        <w:top w:val="none" w:sz="0" w:space="0" w:color="auto"/>
        <w:left w:val="none" w:sz="0" w:space="0" w:color="auto"/>
        <w:bottom w:val="none" w:sz="0" w:space="0" w:color="auto"/>
        <w:right w:val="none" w:sz="0" w:space="0" w:color="auto"/>
      </w:divBdr>
    </w:div>
    <w:div w:id="544412330">
      <w:bodyDiv w:val="1"/>
      <w:marLeft w:val="0"/>
      <w:marRight w:val="0"/>
      <w:marTop w:val="0"/>
      <w:marBottom w:val="0"/>
      <w:divBdr>
        <w:top w:val="none" w:sz="0" w:space="0" w:color="auto"/>
        <w:left w:val="none" w:sz="0" w:space="0" w:color="auto"/>
        <w:bottom w:val="none" w:sz="0" w:space="0" w:color="auto"/>
        <w:right w:val="none" w:sz="0" w:space="0" w:color="auto"/>
      </w:divBdr>
    </w:div>
    <w:div w:id="569273513">
      <w:bodyDiv w:val="1"/>
      <w:marLeft w:val="0"/>
      <w:marRight w:val="0"/>
      <w:marTop w:val="0"/>
      <w:marBottom w:val="0"/>
      <w:divBdr>
        <w:top w:val="none" w:sz="0" w:space="0" w:color="auto"/>
        <w:left w:val="none" w:sz="0" w:space="0" w:color="auto"/>
        <w:bottom w:val="none" w:sz="0" w:space="0" w:color="auto"/>
        <w:right w:val="none" w:sz="0" w:space="0" w:color="auto"/>
      </w:divBdr>
    </w:div>
    <w:div w:id="577785333">
      <w:bodyDiv w:val="1"/>
      <w:marLeft w:val="0"/>
      <w:marRight w:val="0"/>
      <w:marTop w:val="0"/>
      <w:marBottom w:val="0"/>
      <w:divBdr>
        <w:top w:val="none" w:sz="0" w:space="0" w:color="auto"/>
        <w:left w:val="none" w:sz="0" w:space="0" w:color="auto"/>
        <w:bottom w:val="none" w:sz="0" w:space="0" w:color="auto"/>
        <w:right w:val="none" w:sz="0" w:space="0" w:color="auto"/>
      </w:divBdr>
      <w:divsChild>
        <w:div w:id="1179000045">
          <w:marLeft w:val="0"/>
          <w:marRight w:val="0"/>
          <w:marTop w:val="0"/>
          <w:marBottom w:val="0"/>
          <w:divBdr>
            <w:top w:val="none" w:sz="0" w:space="0" w:color="auto"/>
            <w:left w:val="none" w:sz="0" w:space="0" w:color="auto"/>
            <w:bottom w:val="none" w:sz="0" w:space="0" w:color="auto"/>
            <w:right w:val="none" w:sz="0" w:space="0" w:color="auto"/>
          </w:divBdr>
          <w:divsChild>
            <w:div w:id="38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4782">
      <w:bodyDiv w:val="1"/>
      <w:marLeft w:val="0"/>
      <w:marRight w:val="0"/>
      <w:marTop w:val="0"/>
      <w:marBottom w:val="0"/>
      <w:divBdr>
        <w:top w:val="none" w:sz="0" w:space="0" w:color="auto"/>
        <w:left w:val="none" w:sz="0" w:space="0" w:color="auto"/>
        <w:bottom w:val="none" w:sz="0" w:space="0" w:color="auto"/>
        <w:right w:val="none" w:sz="0" w:space="0" w:color="auto"/>
      </w:divBdr>
    </w:div>
    <w:div w:id="662467139">
      <w:bodyDiv w:val="1"/>
      <w:marLeft w:val="0"/>
      <w:marRight w:val="0"/>
      <w:marTop w:val="0"/>
      <w:marBottom w:val="0"/>
      <w:divBdr>
        <w:top w:val="none" w:sz="0" w:space="0" w:color="auto"/>
        <w:left w:val="none" w:sz="0" w:space="0" w:color="auto"/>
        <w:bottom w:val="none" w:sz="0" w:space="0" w:color="auto"/>
        <w:right w:val="none" w:sz="0" w:space="0" w:color="auto"/>
      </w:divBdr>
    </w:div>
    <w:div w:id="665208323">
      <w:bodyDiv w:val="1"/>
      <w:marLeft w:val="0"/>
      <w:marRight w:val="0"/>
      <w:marTop w:val="0"/>
      <w:marBottom w:val="0"/>
      <w:divBdr>
        <w:top w:val="none" w:sz="0" w:space="0" w:color="auto"/>
        <w:left w:val="none" w:sz="0" w:space="0" w:color="auto"/>
        <w:bottom w:val="none" w:sz="0" w:space="0" w:color="auto"/>
        <w:right w:val="none" w:sz="0" w:space="0" w:color="auto"/>
      </w:divBdr>
      <w:divsChild>
        <w:div w:id="862206754">
          <w:marLeft w:val="0"/>
          <w:marRight w:val="0"/>
          <w:marTop w:val="0"/>
          <w:marBottom w:val="0"/>
          <w:divBdr>
            <w:top w:val="none" w:sz="0" w:space="0" w:color="auto"/>
            <w:left w:val="none" w:sz="0" w:space="0" w:color="auto"/>
            <w:bottom w:val="none" w:sz="0" w:space="0" w:color="auto"/>
            <w:right w:val="none" w:sz="0" w:space="0" w:color="auto"/>
          </w:divBdr>
          <w:divsChild>
            <w:div w:id="1105229467">
              <w:marLeft w:val="0"/>
              <w:marRight w:val="0"/>
              <w:marTop w:val="0"/>
              <w:marBottom w:val="0"/>
              <w:divBdr>
                <w:top w:val="none" w:sz="0" w:space="0" w:color="auto"/>
                <w:left w:val="none" w:sz="0" w:space="0" w:color="auto"/>
                <w:bottom w:val="none" w:sz="0" w:space="0" w:color="auto"/>
                <w:right w:val="none" w:sz="0" w:space="0" w:color="auto"/>
              </w:divBdr>
              <w:divsChild>
                <w:div w:id="848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854">
      <w:bodyDiv w:val="1"/>
      <w:marLeft w:val="0"/>
      <w:marRight w:val="0"/>
      <w:marTop w:val="0"/>
      <w:marBottom w:val="0"/>
      <w:divBdr>
        <w:top w:val="none" w:sz="0" w:space="0" w:color="auto"/>
        <w:left w:val="none" w:sz="0" w:space="0" w:color="auto"/>
        <w:bottom w:val="none" w:sz="0" w:space="0" w:color="auto"/>
        <w:right w:val="none" w:sz="0" w:space="0" w:color="auto"/>
      </w:divBdr>
      <w:divsChild>
        <w:div w:id="1997873249">
          <w:marLeft w:val="0"/>
          <w:marRight w:val="0"/>
          <w:marTop w:val="0"/>
          <w:marBottom w:val="0"/>
          <w:divBdr>
            <w:top w:val="none" w:sz="0" w:space="0" w:color="auto"/>
            <w:left w:val="none" w:sz="0" w:space="0" w:color="auto"/>
            <w:bottom w:val="none" w:sz="0" w:space="0" w:color="auto"/>
            <w:right w:val="none" w:sz="0" w:space="0" w:color="auto"/>
          </w:divBdr>
          <w:divsChild>
            <w:div w:id="1476337536">
              <w:marLeft w:val="0"/>
              <w:marRight w:val="0"/>
              <w:marTop w:val="0"/>
              <w:marBottom w:val="0"/>
              <w:divBdr>
                <w:top w:val="none" w:sz="0" w:space="0" w:color="auto"/>
                <w:left w:val="none" w:sz="0" w:space="0" w:color="auto"/>
                <w:bottom w:val="none" w:sz="0" w:space="0" w:color="auto"/>
                <w:right w:val="none" w:sz="0" w:space="0" w:color="auto"/>
              </w:divBdr>
              <w:divsChild>
                <w:div w:id="19300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6894">
      <w:bodyDiv w:val="1"/>
      <w:marLeft w:val="0"/>
      <w:marRight w:val="0"/>
      <w:marTop w:val="0"/>
      <w:marBottom w:val="0"/>
      <w:divBdr>
        <w:top w:val="none" w:sz="0" w:space="0" w:color="auto"/>
        <w:left w:val="none" w:sz="0" w:space="0" w:color="auto"/>
        <w:bottom w:val="none" w:sz="0" w:space="0" w:color="auto"/>
        <w:right w:val="none" w:sz="0" w:space="0" w:color="auto"/>
      </w:divBdr>
      <w:divsChild>
        <w:div w:id="1565724931">
          <w:marLeft w:val="0"/>
          <w:marRight w:val="0"/>
          <w:marTop w:val="0"/>
          <w:marBottom w:val="0"/>
          <w:divBdr>
            <w:top w:val="none" w:sz="0" w:space="0" w:color="auto"/>
            <w:left w:val="none" w:sz="0" w:space="0" w:color="auto"/>
            <w:bottom w:val="none" w:sz="0" w:space="0" w:color="auto"/>
            <w:right w:val="none" w:sz="0" w:space="0" w:color="auto"/>
          </w:divBdr>
          <w:divsChild>
            <w:div w:id="1963343498">
              <w:marLeft w:val="0"/>
              <w:marRight w:val="0"/>
              <w:marTop w:val="0"/>
              <w:marBottom w:val="0"/>
              <w:divBdr>
                <w:top w:val="none" w:sz="0" w:space="0" w:color="auto"/>
                <w:left w:val="none" w:sz="0" w:space="0" w:color="auto"/>
                <w:bottom w:val="none" w:sz="0" w:space="0" w:color="auto"/>
                <w:right w:val="none" w:sz="0" w:space="0" w:color="auto"/>
              </w:divBdr>
              <w:divsChild>
                <w:div w:id="1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83075">
      <w:bodyDiv w:val="1"/>
      <w:marLeft w:val="0"/>
      <w:marRight w:val="0"/>
      <w:marTop w:val="0"/>
      <w:marBottom w:val="0"/>
      <w:divBdr>
        <w:top w:val="none" w:sz="0" w:space="0" w:color="auto"/>
        <w:left w:val="none" w:sz="0" w:space="0" w:color="auto"/>
        <w:bottom w:val="none" w:sz="0" w:space="0" w:color="auto"/>
        <w:right w:val="none" w:sz="0" w:space="0" w:color="auto"/>
      </w:divBdr>
      <w:divsChild>
        <w:div w:id="1321957666">
          <w:marLeft w:val="0"/>
          <w:marRight w:val="0"/>
          <w:marTop w:val="0"/>
          <w:marBottom w:val="0"/>
          <w:divBdr>
            <w:top w:val="none" w:sz="0" w:space="0" w:color="auto"/>
            <w:left w:val="none" w:sz="0" w:space="0" w:color="auto"/>
            <w:bottom w:val="none" w:sz="0" w:space="0" w:color="auto"/>
            <w:right w:val="none" w:sz="0" w:space="0" w:color="auto"/>
          </w:divBdr>
          <w:divsChild>
            <w:div w:id="830021399">
              <w:marLeft w:val="0"/>
              <w:marRight w:val="0"/>
              <w:marTop w:val="0"/>
              <w:marBottom w:val="0"/>
              <w:divBdr>
                <w:top w:val="none" w:sz="0" w:space="0" w:color="auto"/>
                <w:left w:val="none" w:sz="0" w:space="0" w:color="auto"/>
                <w:bottom w:val="none" w:sz="0" w:space="0" w:color="auto"/>
                <w:right w:val="none" w:sz="0" w:space="0" w:color="auto"/>
              </w:divBdr>
              <w:divsChild>
                <w:div w:id="577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2300">
      <w:bodyDiv w:val="1"/>
      <w:marLeft w:val="0"/>
      <w:marRight w:val="0"/>
      <w:marTop w:val="0"/>
      <w:marBottom w:val="0"/>
      <w:divBdr>
        <w:top w:val="none" w:sz="0" w:space="0" w:color="auto"/>
        <w:left w:val="none" w:sz="0" w:space="0" w:color="auto"/>
        <w:bottom w:val="none" w:sz="0" w:space="0" w:color="auto"/>
        <w:right w:val="none" w:sz="0" w:space="0" w:color="auto"/>
      </w:divBdr>
    </w:div>
    <w:div w:id="762720750">
      <w:bodyDiv w:val="1"/>
      <w:marLeft w:val="0"/>
      <w:marRight w:val="0"/>
      <w:marTop w:val="0"/>
      <w:marBottom w:val="0"/>
      <w:divBdr>
        <w:top w:val="none" w:sz="0" w:space="0" w:color="auto"/>
        <w:left w:val="none" w:sz="0" w:space="0" w:color="auto"/>
        <w:bottom w:val="none" w:sz="0" w:space="0" w:color="auto"/>
        <w:right w:val="none" w:sz="0" w:space="0" w:color="auto"/>
      </w:divBdr>
    </w:div>
    <w:div w:id="774832567">
      <w:bodyDiv w:val="1"/>
      <w:marLeft w:val="0"/>
      <w:marRight w:val="0"/>
      <w:marTop w:val="0"/>
      <w:marBottom w:val="0"/>
      <w:divBdr>
        <w:top w:val="none" w:sz="0" w:space="0" w:color="auto"/>
        <w:left w:val="none" w:sz="0" w:space="0" w:color="auto"/>
        <w:bottom w:val="none" w:sz="0" w:space="0" w:color="auto"/>
        <w:right w:val="none" w:sz="0" w:space="0" w:color="auto"/>
      </w:divBdr>
    </w:div>
    <w:div w:id="784617017">
      <w:bodyDiv w:val="1"/>
      <w:marLeft w:val="0"/>
      <w:marRight w:val="0"/>
      <w:marTop w:val="0"/>
      <w:marBottom w:val="0"/>
      <w:divBdr>
        <w:top w:val="none" w:sz="0" w:space="0" w:color="auto"/>
        <w:left w:val="none" w:sz="0" w:space="0" w:color="auto"/>
        <w:bottom w:val="none" w:sz="0" w:space="0" w:color="auto"/>
        <w:right w:val="none" w:sz="0" w:space="0" w:color="auto"/>
      </w:divBdr>
    </w:div>
    <w:div w:id="802886338">
      <w:bodyDiv w:val="1"/>
      <w:marLeft w:val="0"/>
      <w:marRight w:val="0"/>
      <w:marTop w:val="0"/>
      <w:marBottom w:val="0"/>
      <w:divBdr>
        <w:top w:val="none" w:sz="0" w:space="0" w:color="auto"/>
        <w:left w:val="none" w:sz="0" w:space="0" w:color="auto"/>
        <w:bottom w:val="none" w:sz="0" w:space="0" w:color="auto"/>
        <w:right w:val="none" w:sz="0" w:space="0" w:color="auto"/>
      </w:divBdr>
      <w:divsChild>
        <w:div w:id="75784957">
          <w:marLeft w:val="0"/>
          <w:marRight w:val="0"/>
          <w:marTop w:val="0"/>
          <w:marBottom w:val="0"/>
          <w:divBdr>
            <w:top w:val="none" w:sz="0" w:space="0" w:color="auto"/>
            <w:left w:val="none" w:sz="0" w:space="0" w:color="auto"/>
            <w:bottom w:val="none" w:sz="0" w:space="0" w:color="auto"/>
            <w:right w:val="none" w:sz="0" w:space="0" w:color="auto"/>
          </w:divBdr>
          <w:divsChild>
            <w:div w:id="437138809">
              <w:marLeft w:val="0"/>
              <w:marRight w:val="0"/>
              <w:marTop w:val="0"/>
              <w:marBottom w:val="0"/>
              <w:divBdr>
                <w:top w:val="none" w:sz="0" w:space="0" w:color="auto"/>
                <w:left w:val="none" w:sz="0" w:space="0" w:color="auto"/>
                <w:bottom w:val="none" w:sz="0" w:space="0" w:color="auto"/>
                <w:right w:val="none" w:sz="0" w:space="0" w:color="auto"/>
              </w:divBdr>
              <w:divsChild>
                <w:div w:id="741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8004">
      <w:bodyDiv w:val="1"/>
      <w:marLeft w:val="0"/>
      <w:marRight w:val="0"/>
      <w:marTop w:val="0"/>
      <w:marBottom w:val="0"/>
      <w:divBdr>
        <w:top w:val="none" w:sz="0" w:space="0" w:color="auto"/>
        <w:left w:val="none" w:sz="0" w:space="0" w:color="auto"/>
        <w:bottom w:val="none" w:sz="0" w:space="0" w:color="auto"/>
        <w:right w:val="none" w:sz="0" w:space="0" w:color="auto"/>
      </w:divBdr>
    </w:div>
    <w:div w:id="815268893">
      <w:bodyDiv w:val="1"/>
      <w:marLeft w:val="0"/>
      <w:marRight w:val="0"/>
      <w:marTop w:val="0"/>
      <w:marBottom w:val="0"/>
      <w:divBdr>
        <w:top w:val="none" w:sz="0" w:space="0" w:color="auto"/>
        <w:left w:val="none" w:sz="0" w:space="0" w:color="auto"/>
        <w:bottom w:val="none" w:sz="0" w:space="0" w:color="auto"/>
        <w:right w:val="none" w:sz="0" w:space="0" w:color="auto"/>
      </w:divBdr>
    </w:div>
    <w:div w:id="829366054">
      <w:bodyDiv w:val="1"/>
      <w:marLeft w:val="0"/>
      <w:marRight w:val="0"/>
      <w:marTop w:val="0"/>
      <w:marBottom w:val="0"/>
      <w:divBdr>
        <w:top w:val="none" w:sz="0" w:space="0" w:color="auto"/>
        <w:left w:val="none" w:sz="0" w:space="0" w:color="auto"/>
        <w:bottom w:val="none" w:sz="0" w:space="0" w:color="auto"/>
        <w:right w:val="none" w:sz="0" w:space="0" w:color="auto"/>
      </w:divBdr>
      <w:divsChild>
        <w:div w:id="207298283">
          <w:marLeft w:val="0"/>
          <w:marRight w:val="0"/>
          <w:marTop w:val="0"/>
          <w:marBottom w:val="0"/>
          <w:divBdr>
            <w:top w:val="none" w:sz="0" w:space="0" w:color="auto"/>
            <w:left w:val="none" w:sz="0" w:space="0" w:color="auto"/>
            <w:bottom w:val="none" w:sz="0" w:space="0" w:color="auto"/>
            <w:right w:val="none" w:sz="0" w:space="0" w:color="auto"/>
          </w:divBdr>
          <w:divsChild>
            <w:div w:id="9555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5194">
      <w:bodyDiv w:val="1"/>
      <w:marLeft w:val="0"/>
      <w:marRight w:val="0"/>
      <w:marTop w:val="0"/>
      <w:marBottom w:val="0"/>
      <w:divBdr>
        <w:top w:val="none" w:sz="0" w:space="0" w:color="auto"/>
        <w:left w:val="none" w:sz="0" w:space="0" w:color="auto"/>
        <w:bottom w:val="none" w:sz="0" w:space="0" w:color="auto"/>
        <w:right w:val="none" w:sz="0" w:space="0" w:color="auto"/>
      </w:divBdr>
      <w:divsChild>
        <w:div w:id="1937327628">
          <w:marLeft w:val="0"/>
          <w:marRight w:val="0"/>
          <w:marTop w:val="0"/>
          <w:marBottom w:val="0"/>
          <w:divBdr>
            <w:top w:val="none" w:sz="0" w:space="0" w:color="auto"/>
            <w:left w:val="none" w:sz="0" w:space="0" w:color="auto"/>
            <w:bottom w:val="none" w:sz="0" w:space="0" w:color="auto"/>
            <w:right w:val="none" w:sz="0" w:space="0" w:color="auto"/>
          </w:divBdr>
          <w:divsChild>
            <w:div w:id="1041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1897">
      <w:bodyDiv w:val="1"/>
      <w:marLeft w:val="0"/>
      <w:marRight w:val="0"/>
      <w:marTop w:val="0"/>
      <w:marBottom w:val="0"/>
      <w:divBdr>
        <w:top w:val="none" w:sz="0" w:space="0" w:color="auto"/>
        <w:left w:val="none" w:sz="0" w:space="0" w:color="auto"/>
        <w:bottom w:val="none" w:sz="0" w:space="0" w:color="auto"/>
        <w:right w:val="none" w:sz="0" w:space="0" w:color="auto"/>
      </w:divBdr>
    </w:div>
    <w:div w:id="864291667">
      <w:bodyDiv w:val="1"/>
      <w:marLeft w:val="0"/>
      <w:marRight w:val="0"/>
      <w:marTop w:val="0"/>
      <w:marBottom w:val="0"/>
      <w:divBdr>
        <w:top w:val="none" w:sz="0" w:space="0" w:color="auto"/>
        <w:left w:val="none" w:sz="0" w:space="0" w:color="auto"/>
        <w:bottom w:val="none" w:sz="0" w:space="0" w:color="auto"/>
        <w:right w:val="none" w:sz="0" w:space="0" w:color="auto"/>
      </w:divBdr>
    </w:div>
    <w:div w:id="914097116">
      <w:bodyDiv w:val="1"/>
      <w:marLeft w:val="0"/>
      <w:marRight w:val="0"/>
      <w:marTop w:val="0"/>
      <w:marBottom w:val="0"/>
      <w:divBdr>
        <w:top w:val="none" w:sz="0" w:space="0" w:color="auto"/>
        <w:left w:val="none" w:sz="0" w:space="0" w:color="auto"/>
        <w:bottom w:val="none" w:sz="0" w:space="0" w:color="auto"/>
        <w:right w:val="none" w:sz="0" w:space="0" w:color="auto"/>
      </w:divBdr>
    </w:div>
    <w:div w:id="916288543">
      <w:bodyDiv w:val="1"/>
      <w:marLeft w:val="0"/>
      <w:marRight w:val="0"/>
      <w:marTop w:val="0"/>
      <w:marBottom w:val="0"/>
      <w:divBdr>
        <w:top w:val="none" w:sz="0" w:space="0" w:color="auto"/>
        <w:left w:val="none" w:sz="0" w:space="0" w:color="auto"/>
        <w:bottom w:val="none" w:sz="0" w:space="0" w:color="auto"/>
        <w:right w:val="none" w:sz="0" w:space="0" w:color="auto"/>
      </w:divBdr>
    </w:div>
    <w:div w:id="920678246">
      <w:bodyDiv w:val="1"/>
      <w:marLeft w:val="0"/>
      <w:marRight w:val="0"/>
      <w:marTop w:val="0"/>
      <w:marBottom w:val="0"/>
      <w:divBdr>
        <w:top w:val="none" w:sz="0" w:space="0" w:color="auto"/>
        <w:left w:val="none" w:sz="0" w:space="0" w:color="auto"/>
        <w:bottom w:val="none" w:sz="0" w:space="0" w:color="auto"/>
        <w:right w:val="none" w:sz="0" w:space="0" w:color="auto"/>
      </w:divBdr>
    </w:div>
    <w:div w:id="946502550">
      <w:bodyDiv w:val="1"/>
      <w:marLeft w:val="0"/>
      <w:marRight w:val="0"/>
      <w:marTop w:val="0"/>
      <w:marBottom w:val="0"/>
      <w:divBdr>
        <w:top w:val="none" w:sz="0" w:space="0" w:color="auto"/>
        <w:left w:val="none" w:sz="0" w:space="0" w:color="auto"/>
        <w:bottom w:val="none" w:sz="0" w:space="0" w:color="auto"/>
        <w:right w:val="none" w:sz="0" w:space="0" w:color="auto"/>
      </w:divBdr>
    </w:div>
    <w:div w:id="948199397">
      <w:bodyDiv w:val="1"/>
      <w:marLeft w:val="0"/>
      <w:marRight w:val="0"/>
      <w:marTop w:val="0"/>
      <w:marBottom w:val="0"/>
      <w:divBdr>
        <w:top w:val="none" w:sz="0" w:space="0" w:color="auto"/>
        <w:left w:val="none" w:sz="0" w:space="0" w:color="auto"/>
        <w:bottom w:val="none" w:sz="0" w:space="0" w:color="auto"/>
        <w:right w:val="none" w:sz="0" w:space="0" w:color="auto"/>
      </w:divBdr>
    </w:div>
    <w:div w:id="960184024">
      <w:bodyDiv w:val="1"/>
      <w:marLeft w:val="0"/>
      <w:marRight w:val="0"/>
      <w:marTop w:val="0"/>
      <w:marBottom w:val="0"/>
      <w:divBdr>
        <w:top w:val="none" w:sz="0" w:space="0" w:color="auto"/>
        <w:left w:val="none" w:sz="0" w:space="0" w:color="auto"/>
        <w:bottom w:val="none" w:sz="0" w:space="0" w:color="auto"/>
        <w:right w:val="none" w:sz="0" w:space="0" w:color="auto"/>
      </w:divBdr>
      <w:divsChild>
        <w:div w:id="1706099130">
          <w:marLeft w:val="0"/>
          <w:marRight w:val="0"/>
          <w:marTop w:val="0"/>
          <w:marBottom w:val="0"/>
          <w:divBdr>
            <w:top w:val="none" w:sz="0" w:space="0" w:color="auto"/>
            <w:left w:val="none" w:sz="0" w:space="0" w:color="auto"/>
            <w:bottom w:val="none" w:sz="0" w:space="0" w:color="auto"/>
            <w:right w:val="none" w:sz="0" w:space="0" w:color="auto"/>
          </w:divBdr>
          <w:divsChild>
            <w:div w:id="360008812">
              <w:marLeft w:val="0"/>
              <w:marRight w:val="0"/>
              <w:marTop w:val="0"/>
              <w:marBottom w:val="0"/>
              <w:divBdr>
                <w:top w:val="none" w:sz="0" w:space="0" w:color="auto"/>
                <w:left w:val="none" w:sz="0" w:space="0" w:color="auto"/>
                <w:bottom w:val="none" w:sz="0" w:space="0" w:color="auto"/>
                <w:right w:val="none" w:sz="0" w:space="0" w:color="auto"/>
              </w:divBdr>
              <w:divsChild>
                <w:div w:id="15040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1731">
      <w:bodyDiv w:val="1"/>
      <w:marLeft w:val="0"/>
      <w:marRight w:val="0"/>
      <w:marTop w:val="0"/>
      <w:marBottom w:val="0"/>
      <w:divBdr>
        <w:top w:val="none" w:sz="0" w:space="0" w:color="auto"/>
        <w:left w:val="none" w:sz="0" w:space="0" w:color="auto"/>
        <w:bottom w:val="none" w:sz="0" w:space="0" w:color="auto"/>
        <w:right w:val="none" w:sz="0" w:space="0" w:color="auto"/>
      </w:divBdr>
    </w:div>
    <w:div w:id="965045062">
      <w:bodyDiv w:val="1"/>
      <w:marLeft w:val="0"/>
      <w:marRight w:val="0"/>
      <w:marTop w:val="0"/>
      <w:marBottom w:val="0"/>
      <w:divBdr>
        <w:top w:val="none" w:sz="0" w:space="0" w:color="auto"/>
        <w:left w:val="none" w:sz="0" w:space="0" w:color="auto"/>
        <w:bottom w:val="none" w:sz="0" w:space="0" w:color="auto"/>
        <w:right w:val="none" w:sz="0" w:space="0" w:color="auto"/>
      </w:divBdr>
      <w:divsChild>
        <w:div w:id="949581624">
          <w:marLeft w:val="0"/>
          <w:marRight w:val="0"/>
          <w:marTop w:val="0"/>
          <w:marBottom w:val="0"/>
          <w:divBdr>
            <w:top w:val="none" w:sz="0" w:space="0" w:color="auto"/>
            <w:left w:val="none" w:sz="0" w:space="0" w:color="auto"/>
            <w:bottom w:val="none" w:sz="0" w:space="0" w:color="auto"/>
            <w:right w:val="none" w:sz="0" w:space="0" w:color="auto"/>
          </w:divBdr>
          <w:divsChild>
            <w:div w:id="13479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962">
      <w:bodyDiv w:val="1"/>
      <w:marLeft w:val="0"/>
      <w:marRight w:val="0"/>
      <w:marTop w:val="0"/>
      <w:marBottom w:val="0"/>
      <w:divBdr>
        <w:top w:val="none" w:sz="0" w:space="0" w:color="auto"/>
        <w:left w:val="none" w:sz="0" w:space="0" w:color="auto"/>
        <w:bottom w:val="none" w:sz="0" w:space="0" w:color="auto"/>
        <w:right w:val="none" w:sz="0" w:space="0" w:color="auto"/>
      </w:divBdr>
    </w:div>
    <w:div w:id="991181615">
      <w:bodyDiv w:val="1"/>
      <w:marLeft w:val="0"/>
      <w:marRight w:val="0"/>
      <w:marTop w:val="0"/>
      <w:marBottom w:val="0"/>
      <w:divBdr>
        <w:top w:val="none" w:sz="0" w:space="0" w:color="auto"/>
        <w:left w:val="none" w:sz="0" w:space="0" w:color="auto"/>
        <w:bottom w:val="none" w:sz="0" w:space="0" w:color="auto"/>
        <w:right w:val="none" w:sz="0" w:space="0" w:color="auto"/>
      </w:divBdr>
      <w:divsChild>
        <w:div w:id="509564729">
          <w:marLeft w:val="0"/>
          <w:marRight w:val="0"/>
          <w:marTop w:val="0"/>
          <w:marBottom w:val="0"/>
          <w:divBdr>
            <w:top w:val="none" w:sz="0" w:space="0" w:color="auto"/>
            <w:left w:val="none" w:sz="0" w:space="0" w:color="auto"/>
            <w:bottom w:val="none" w:sz="0" w:space="0" w:color="auto"/>
            <w:right w:val="none" w:sz="0" w:space="0" w:color="auto"/>
          </w:divBdr>
          <w:divsChild>
            <w:div w:id="17447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0593">
      <w:bodyDiv w:val="1"/>
      <w:marLeft w:val="0"/>
      <w:marRight w:val="0"/>
      <w:marTop w:val="0"/>
      <w:marBottom w:val="0"/>
      <w:divBdr>
        <w:top w:val="none" w:sz="0" w:space="0" w:color="auto"/>
        <w:left w:val="none" w:sz="0" w:space="0" w:color="auto"/>
        <w:bottom w:val="none" w:sz="0" w:space="0" w:color="auto"/>
        <w:right w:val="none" w:sz="0" w:space="0" w:color="auto"/>
      </w:divBdr>
    </w:div>
    <w:div w:id="1036660512">
      <w:bodyDiv w:val="1"/>
      <w:marLeft w:val="0"/>
      <w:marRight w:val="0"/>
      <w:marTop w:val="0"/>
      <w:marBottom w:val="0"/>
      <w:divBdr>
        <w:top w:val="none" w:sz="0" w:space="0" w:color="auto"/>
        <w:left w:val="none" w:sz="0" w:space="0" w:color="auto"/>
        <w:bottom w:val="none" w:sz="0" w:space="0" w:color="auto"/>
        <w:right w:val="none" w:sz="0" w:space="0" w:color="auto"/>
      </w:divBdr>
    </w:div>
    <w:div w:id="1075593084">
      <w:bodyDiv w:val="1"/>
      <w:marLeft w:val="0"/>
      <w:marRight w:val="0"/>
      <w:marTop w:val="0"/>
      <w:marBottom w:val="0"/>
      <w:divBdr>
        <w:top w:val="none" w:sz="0" w:space="0" w:color="auto"/>
        <w:left w:val="none" w:sz="0" w:space="0" w:color="auto"/>
        <w:bottom w:val="none" w:sz="0" w:space="0" w:color="auto"/>
        <w:right w:val="none" w:sz="0" w:space="0" w:color="auto"/>
      </w:divBdr>
      <w:divsChild>
        <w:div w:id="2065135400">
          <w:marLeft w:val="0"/>
          <w:marRight w:val="0"/>
          <w:marTop w:val="0"/>
          <w:marBottom w:val="0"/>
          <w:divBdr>
            <w:top w:val="none" w:sz="0" w:space="0" w:color="auto"/>
            <w:left w:val="none" w:sz="0" w:space="0" w:color="auto"/>
            <w:bottom w:val="none" w:sz="0" w:space="0" w:color="auto"/>
            <w:right w:val="none" w:sz="0" w:space="0" w:color="auto"/>
          </w:divBdr>
          <w:divsChild>
            <w:div w:id="3770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946">
      <w:bodyDiv w:val="1"/>
      <w:marLeft w:val="0"/>
      <w:marRight w:val="0"/>
      <w:marTop w:val="0"/>
      <w:marBottom w:val="0"/>
      <w:divBdr>
        <w:top w:val="none" w:sz="0" w:space="0" w:color="auto"/>
        <w:left w:val="none" w:sz="0" w:space="0" w:color="auto"/>
        <w:bottom w:val="none" w:sz="0" w:space="0" w:color="auto"/>
        <w:right w:val="none" w:sz="0" w:space="0" w:color="auto"/>
      </w:divBdr>
    </w:div>
    <w:div w:id="1134641500">
      <w:bodyDiv w:val="1"/>
      <w:marLeft w:val="0"/>
      <w:marRight w:val="0"/>
      <w:marTop w:val="0"/>
      <w:marBottom w:val="0"/>
      <w:divBdr>
        <w:top w:val="none" w:sz="0" w:space="0" w:color="auto"/>
        <w:left w:val="none" w:sz="0" w:space="0" w:color="auto"/>
        <w:bottom w:val="none" w:sz="0" w:space="0" w:color="auto"/>
        <w:right w:val="none" w:sz="0" w:space="0" w:color="auto"/>
      </w:divBdr>
    </w:div>
    <w:div w:id="1135486161">
      <w:bodyDiv w:val="1"/>
      <w:marLeft w:val="0"/>
      <w:marRight w:val="0"/>
      <w:marTop w:val="0"/>
      <w:marBottom w:val="0"/>
      <w:divBdr>
        <w:top w:val="none" w:sz="0" w:space="0" w:color="auto"/>
        <w:left w:val="none" w:sz="0" w:space="0" w:color="auto"/>
        <w:bottom w:val="none" w:sz="0" w:space="0" w:color="auto"/>
        <w:right w:val="none" w:sz="0" w:space="0" w:color="auto"/>
      </w:divBdr>
      <w:divsChild>
        <w:div w:id="788279254">
          <w:marLeft w:val="0"/>
          <w:marRight w:val="0"/>
          <w:marTop w:val="0"/>
          <w:marBottom w:val="0"/>
          <w:divBdr>
            <w:top w:val="none" w:sz="0" w:space="0" w:color="auto"/>
            <w:left w:val="none" w:sz="0" w:space="0" w:color="auto"/>
            <w:bottom w:val="none" w:sz="0" w:space="0" w:color="auto"/>
            <w:right w:val="none" w:sz="0" w:space="0" w:color="auto"/>
          </w:divBdr>
          <w:divsChild>
            <w:div w:id="1724138589">
              <w:marLeft w:val="0"/>
              <w:marRight w:val="0"/>
              <w:marTop w:val="0"/>
              <w:marBottom w:val="0"/>
              <w:divBdr>
                <w:top w:val="none" w:sz="0" w:space="0" w:color="auto"/>
                <w:left w:val="none" w:sz="0" w:space="0" w:color="auto"/>
                <w:bottom w:val="none" w:sz="0" w:space="0" w:color="auto"/>
                <w:right w:val="none" w:sz="0" w:space="0" w:color="auto"/>
              </w:divBdr>
              <w:divsChild>
                <w:div w:id="14050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3795">
      <w:bodyDiv w:val="1"/>
      <w:marLeft w:val="0"/>
      <w:marRight w:val="0"/>
      <w:marTop w:val="0"/>
      <w:marBottom w:val="0"/>
      <w:divBdr>
        <w:top w:val="none" w:sz="0" w:space="0" w:color="auto"/>
        <w:left w:val="none" w:sz="0" w:space="0" w:color="auto"/>
        <w:bottom w:val="none" w:sz="0" w:space="0" w:color="auto"/>
        <w:right w:val="none" w:sz="0" w:space="0" w:color="auto"/>
      </w:divBdr>
      <w:divsChild>
        <w:div w:id="461926009">
          <w:marLeft w:val="0"/>
          <w:marRight w:val="0"/>
          <w:marTop w:val="0"/>
          <w:marBottom w:val="0"/>
          <w:divBdr>
            <w:top w:val="none" w:sz="0" w:space="0" w:color="auto"/>
            <w:left w:val="none" w:sz="0" w:space="0" w:color="auto"/>
            <w:bottom w:val="none" w:sz="0" w:space="0" w:color="auto"/>
            <w:right w:val="none" w:sz="0" w:space="0" w:color="auto"/>
          </w:divBdr>
          <w:divsChild>
            <w:div w:id="4697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878">
      <w:bodyDiv w:val="1"/>
      <w:marLeft w:val="0"/>
      <w:marRight w:val="0"/>
      <w:marTop w:val="0"/>
      <w:marBottom w:val="0"/>
      <w:divBdr>
        <w:top w:val="none" w:sz="0" w:space="0" w:color="auto"/>
        <w:left w:val="none" w:sz="0" w:space="0" w:color="auto"/>
        <w:bottom w:val="none" w:sz="0" w:space="0" w:color="auto"/>
        <w:right w:val="none" w:sz="0" w:space="0" w:color="auto"/>
      </w:divBdr>
    </w:div>
    <w:div w:id="1189445395">
      <w:bodyDiv w:val="1"/>
      <w:marLeft w:val="0"/>
      <w:marRight w:val="0"/>
      <w:marTop w:val="0"/>
      <w:marBottom w:val="0"/>
      <w:divBdr>
        <w:top w:val="none" w:sz="0" w:space="0" w:color="auto"/>
        <w:left w:val="none" w:sz="0" w:space="0" w:color="auto"/>
        <w:bottom w:val="none" w:sz="0" w:space="0" w:color="auto"/>
        <w:right w:val="none" w:sz="0" w:space="0" w:color="auto"/>
      </w:divBdr>
    </w:div>
    <w:div w:id="1206986077">
      <w:bodyDiv w:val="1"/>
      <w:marLeft w:val="0"/>
      <w:marRight w:val="0"/>
      <w:marTop w:val="0"/>
      <w:marBottom w:val="0"/>
      <w:divBdr>
        <w:top w:val="none" w:sz="0" w:space="0" w:color="auto"/>
        <w:left w:val="none" w:sz="0" w:space="0" w:color="auto"/>
        <w:bottom w:val="none" w:sz="0" w:space="0" w:color="auto"/>
        <w:right w:val="none" w:sz="0" w:space="0" w:color="auto"/>
      </w:divBdr>
    </w:div>
    <w:div w:id="1209345000">
      <w:bodyDiv w:val="1"/>
      <w:marLeft w:val="0"/>
      <w:marRight w:val="0"/>
      <w:marTop w:val="0"/>
      <w:marBottom w:val="0"/>
      <w:divBdr>
        <w:top w:val="none" w:sz="0" w:space="0" w:color="auto"/>
        <w:left w:val="none" w:sz="0" w:space="0" w:color="auto"/>
        <w:bottom w:val="none" w:sz="0" w:space="0" w:color="auto"/>
        <w:right w:val="none" w:sz="0" w:space="0" w:color="auto"/>
      </w:divBdr>
    </w:div>
    <w:div w:id="1228300032">
      <w:bodyDiv w:val="1"/>
      <w:marLeft w:val="0"/>
      <w:marRight w:val="0"/>
      <w:marTop w:val="0"/>
      <w:marBottom w:val="0"/>
      <w:divBdr>
        <w:top w:val="none" w:sz="0" w:space="0" w:color="auto"/>
        <w:left w:val="none" w:sz="0" w:space="0" w:color="auto"/>
        <w:bottom w:val="none" w:sz="0" w:space="0" w:color="auto"/>
        <w:right w:val="none" w:sz="0" w:space="0" w:color="auto"/>
      </w:divBdr>
    </w:div>
    <w:div w:id="1246498623">
      <w:bodyDiv w:val="1"/>
      <w:marLeft w:val="0"/>
      <w:marRight w:val="0"/>
      <w:marTop w:val="0"/>
      <w:marBottom w:val="0"/>
      <w:divBdr>
        <w:top w:val="none" w:sz="0" w:space="0" w:color="auto"/>
        <w:left w:val="none" w:sz="0" w:space="0" w:color="auto"/>
        <w:bottom w:val="none" w:sz="0" w:space="0" w:color="auto"/>
        <w:right w:val="none" w:sz="0" w:space="0" w:color="auto"/>
      </w:divBdr>
    </w:div>
    <w:div w:id="1256744196">
      <w:bodyDiv w:val="1"/>
      <w:marLeft w:val="0"/>
      <w:marRight w:val="0"/>
      <w:marTop w:val="0"/>
      <w:marBottom w:val="0"/>
      <w:divBdr>
        <w:top w:val="none" w:sz="0" w:space="0" w:color="auto"/>
        <w:left w:val="none" w:sz="0" w:space="0" w:color="auto"/>
        <w:bottom w:val="none" w:sz="0" w:space="0" w:color="auto"/>
        <w:right w:val="none" w:sz="0" w:space="0" w:color="auto"/>
      </w:divBdr>
      <w:divsChild>
        <w:div w:id="496386618">
          <w:marLeft w:val="0"/>
          <w:marRight w:val="0"/>
          <w:marTop w:val="0"/>
          <w:marBottom w:val="0"/>
          <w:divBdr>
            <w:top w:val="none" w:sz="0" w:space="0" w:color="auto"/>
            <w:left w:val="none" w:sz="0" w:space="0" w:color="auto"/>
            <w:bottom w:val="none" w:sz="0" w:space="0" w:color="auto"/>
            <w:right w:val="none" w:sz="0" w:space="0" w:color="auto"/>
          </w:divBdr>
          <w:divsChild>
            <w:div w:id="950163329">
              <w:marLeft w:val="0"/>
              <w:marRight w:val="0"/>
              <w:marTop w:val="0"/>
              <w:marBottom w:val="0"/>
              <w:divBdr>
                <w:top w:val="none" w:sz="0" w:space="0" w:color="auto"/>
                <w:left w:val="none" w:sz="0" w:space="0" w:color="auto"/>
                <w:bottom w:val="none" w:sz="0" w:space="0" w:color="auto"/>
                <w:right w:val="none" w:sz="0" w:space="0" w:color="auto"/>
              </w:divBdr>
              <w:divsChild>
                <w:div w:id="8129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4388">
      <w:bodyDiv w:val="1"/>
      <w:marLeft w:val="0"/>
      <w:marRight w:val="0"/>
      <w:marTop w:val="0"/>
      <w:marBottom w:val="0"/>
      <w:divBdr>
        <w:top w:val="none" w:sz="0" w:space="0" w:color="auto"/>
        <w:left w:val="none" w:sz="0" w:space="0" w:color="auto"/>
        <w:bottom w:val="none" w:sz="0" w:space="0" w:color="auto"/>
        <w:right w:val="none" w:sz="0" w:space="0" w:color="auto"/>
      </w:divBdr>
    </w:div>
    <w:div w:id="1280989162">
      <w:bodyDiv w:val="1"/>
      <w:marLeft w:val="0"/>
      <w:marRight w:val="0"/>
      <w:marTop w:val="0"/>
      <w:marBottom w:val="0"/>
      <w:divBdr>
        <w:top w:val="none" w:sz="0" w:space="0" w:color="auto"/>
        <w:left w:val="none" w:sz="0" w:space="0" w:color="auto"/>
        <w:bottom w:val="none" w:sz="0" w:space="0" w:color="auto"/>
        <w:right w:val="none" w:sz="0" w:space="0" w:color="auto"/>
      </w:divBdr>
    </w:div>
    <w:div w:id="1294099585">
      <w:bodyDiv w:val="1"/>
      <w:marLeft w:val="0"/>
      <w:marRight w:val="0"/>
      <w:marTop w:val="0"/>
      <w:marBottom w:val="0"/>
      <w:divBdr>
        <w:top w:val="none" w:sz="0" w:space="0" w:color="auto"/>
        <w:left w:val="none" w:sz="0" w:space="0" w:color="auto"/>
        <w:bottom w:val="none" w:sz="0" w:space="0" w:color="auto"/>
        <w:right w:val="none" w:sz="0" w:space="0" w:color="auto"/>
      </w:divBdr>
      <w:divsChild>
        <w:div w:id="1880359752">
          <w:marLeft w:val="0"/>
          <w:marRight w:val="0"/>
          <w:marTop w:val="0"/>
          <w:marBottom w:val="0"/>
          <w:divBdr>
            <w:top w:val="none" w:sz="0" w:space="0" w:color="auto"/>
            <w:left w:val="none" w:sz="0" w:space="0" w:color="auto"/>
            <w:bottom w:val="none" w:sz="0" w:space="0" w:color="auto"/>
            <w:right w:val="none" w:sz="0" w:space="0" w:color="auto"/>
          </w:divBdr>
          <w:divsChild>
            <w:div w:id="915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943">
      <w:bodyDiv w:val="1"/>
      <w:marLeft w:val="0"/>
      <w:marRight w:val="0"/>
      <w:marTop w:val="0"/>
      <w:marBottom w:val="0"/>
      <w:divBdr>
        <w:top w:val="none" w:sz="0" w:space="0" w:color="auto"/>
        <w:left w:val="none" w:sz="0" w:space="0" w:color="auto"/>
        <w:bottom w:val="none" w:sz="0" w:space="0" w:color="auto"/>
        <w:right w:val="none" w:sz="0" w:space="0" w:color="auto"/>
      </w:divBdr>
      <w:divsChild>
        <w:div w:id="893589781">
          <w:marLeft w:val="0"/>
          <w:marRight w:val="0"/>
          <w:marTop w:val="0"/>
          <w:marBottom w:val="0"/>
          <w:divBdr>
            <w:top w:val="none" w:sz="0" w:space="0" w:color="auto"/>
            <w:left w:val="none" w:sz="0" w:space="0" w:color="auto"/>
            <w:bottom w:val="none" w:sz="0" w:space="0" w:color="auto"/>
            <w:right w:val="none" w:sz="0" w:space="0" w:color="auto"/>
          </w:divBdr>
          <w:divsChild>
            <w:div w:id="334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488">
      <w:bodyDiv w:val="1"/>
      <w:marLeft w:val="0"/>
      <w:marRight w:val="0"/>
      <w:marTop w:val="0"/>
      <w:marBottom w:val="0"/>
      <w:divBdr>
        <w:top w:val="none" w:sz="0" w:space="0" w:color="auto"/>
        <w:left w:val="none" w:sz="0" w:space="0" w:color="auto"/>
        <w:bottom w:val="none" w:sz="0" w:space="0" w:color="auto"/>
        <w:right w:val="none" w:sz="0" w:space="0" w:color="auto"/>
      </w:divBdr>
      <w:divsChild>
        <w:div w:id="1506743953">
          <w:marLeft w:val="0"/>
          <w:marRight w:val="0"/>
          <w:marTop w:val="0"/>
          <w:marBottom w:val="0"/>
          <w:divBdr>
            <w:top w:val="none" w:sz="0" w:space="0" w:color="auto"/>
            <w:left w:val="none" w:sz="0" w:space="0" w:color="auto"/>
            <w:bottom w:val="none" w:sz="0" w:space="0" w:color="auto"/>
            <w:right w:val="none" w:sz="0" w:space="0" w:color="auto"/>
          </w:divBdr>
          <w:divsChild>
            <w:div w:id="14215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4349">
      <w:bodyDiv w:val="1"/>
      <w:marLeft w:val="0"/>
      <w:marRight w:val="0"/>
      <w:marTop w:val="0"/>
      <w:marBottom w:val="0"/>
      <w:divBdr>
        <w:top w:val="none" w:sz="0" w:space="0" w:color="auto"/>
        <w:left w:val="none" w:sz="0" w:space="0" w:color="auto"/>
        <w:bottom w:val="none" w:sz="0" w:space="0" w:color="auto"/>
        <w:right w:val="none" w:sz="0" w:space="0" w:color="auto"/>
      </w:divBdr>
      <w:divsChild>
        <w:div w:id="1770537944">
          <w:marLeft w:val="0"/>
          <w:marRight w:val="0"/>
          <w:marTop w:val="0"/>
          <w:marBottom w:val="0"/>
          <w:divBdr>
            <w:top w:val="none" w:sz="0" w:space="0" w:color="auto"/>
            <w:left w:val="none" w:sz="0" w:space="0" w:color="auto"/>
            <w:bottom w:val="none" w:sz="0" w:space="0" w:color="auto"/>
            <w:right w:val="none" w:sz="0" w:space="0" w:color="auto"/>
          </w:divBdr>
          <w:divsChild>
            <w:div w:id="953754983">
              <w:marLeft w:val="0"/>
              <w:marRight w:val="0"/>
              <w:marTop w:val="0"/>
              <w:marBottom w:val="0"/>
              <w:divBdr>
                <w:top w:val="none" w:sz="0" w:space="0" w:color="auto"/>
                <w:left w:val="none" w:sz="0" w:space="0" w:color="auto"/>
                <w:bottom w:val="none" w:sz="0" w:space="0" w:color="auto"/>
                <w:right w:val="none" w:sz="0" w:space="0" w:color="auto"/>
              </w:divBdr>
              <w:divsChild>
                <w:div w:id="864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7443">
      <w:bodyDiv w:val="1"/>
      <w:marLeft w:val="0"/>
      <w:marRight w:val="0"/>
      <w:marTop w:val="0"/>
      <w:marBottom w:val="0"/>
      <w:divBdr>
        <w:top w:val="none" w:sz="0" w:space="0" w:color="auto"/>
        <w:left w:val="none" w:sz="0" w:space="0" w:color="auto"/>
        <w:bottom w:val="none" w:sz="0" w:space="0" w:color="auto"/>
        <w:right w:val="none" w:sz="0" w:space="0" w:color="auto"/>
      </w:divBdr>
      <w:divsChild>
        <w:div w:id="510605607">
          <w:marLeft w:val="0"/>
          <w:marRight w:val="0"/>
          <w:marTop w:val="0"/>
          <w:marBottom w:val="0"/>
          <w:divBdr>
            <w:top w:val="none" w:sz="0" w:space="0" w:color="auto"/>
            <w:left w:val="none" w:sz="0" w:space="0" w:color="auto"/>
            <w:bottom w:val="none" w:sz="0" w:space="0" w:color="auto"/>
            <w:right w:val="none" w:sz="0" w:space="0" w:color="auto"/>
          </w:divBdr>
          <w:divsChild>
            <w:div w:id="19368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60630">
      <w:bodyDiv w:val="1"/>
      <w:marLeft w:val="0"/>
      <w:marRight w:val="0"/>
      <w:marTop w:val="0"/>
      <w:marBottom w:val="0"/>
      <w:divBdr>
        <w:top w:val="none" w:sz="0" w:space="0" w:color="auto"/>
        <w:left w:val="none" w:sz="0" w:space="0" w:color="auto"/>
        <w:bottom w:val="none" w:sz="0" w:space="0" w:color="auto"/>
        <w:right w:val="none" w:sz="0" w:space="0" w:color="auto"/>
      </w:divBdr>
    </w:div>
    <w:div w:id="1371228980">
      <w:bodyDiv w:val="1"/>
      <w:marLeft w:val="0"/>
      <w:marRight w:val="0"/>
      <w:marTop w:val="0"/>
      <w:marBottom w:val="0"/>
      <w:divBdr>
        <w:top w:val="none" w:sz="0" w:space="0" w:color="auto"/>
        <w:left w:val="none" w:sz="0" w:space="0" w:color="auto"/>
        <w:bottom w:val="none" w:sz="0" w:space="0" w:color="auto"/>
        <w:right w:val="none" w:sz="0" w:space="0" w:color="auto"/>
      </w:divBdr>
    </w:div>
    <w:div w:id="1394814158">
      <w:bodyDiv w:val="1"/>
      <w:marLeft w:val="0"/>
      <w:marRight w:val="0"/>
      <w:marTop w:val="0"/>
      <w:marBottom w:val="0"/>
      <w:divBdr>
        <w:top w:val="none" w:sz="0" w:space="0" w:color="auto"/>
        <w:left w:val="none" w:sz="0" w:space="0" w:color="auto"/>
        <w:bottom w:val="none" w:sz="0" w:space="0" w:color="auto"/>
        <w:right w:val="none" w:sz="0" w:space="0" w:color="auto"/>
      </w:divBdr>
    </w:div>
    <w:div w:id="1398824003">
      <w:bodyDiv w:val="1"/>
      <w:marLeft w:val="0"/>
      <w:marRight w:val="0"/>
      <w:marTop w:val="0"/>
      <w:marBottom w:val="0"/>
      <w:divBdr>
        <w:top w:val="none" w:sz="0" w:space="0" w:color="auto"/>
        <w:left w:val="none" w:sz="0" w:space="0" w:color="auto"/>
        <w:bottom w:val="none" w:sz="0" w:space="0" w:color="auto"/>
        <w:right w:val="none" w:sz="0" w:space="0" w:color="auto"/>
      </w:divBdr>
    </w:div>
    <w:div w:id="1403990828">
      <w:bodyDiv w:val="1"/>
      <w:marLeft w:val="0"/>
      <w:marRight w:val="0"/>
      <w:marTop w:val="0"/>
      <w:marBottom w:val="0"/>
      <w:divBdr>
        <w:top w:val="none" w:sz="0" w:space="0" w:color="auto"/>
        <w:left w:val="none" w:sz="0" w:space="0" w:color="auto"/>
        <w:bottom w:val="none" w:sz="0" w:space="0" w:color="auto"/>
        <w:right w:val="none" w:sz="0" w:space="0" w:color="auto"/>
      </w:divBdr>
      <w:divsChild>
        <w:div w:id="969284875">
          <w:marLeft w:val="0"/>
          <w:marRight w:val="0"/>
          <w:marTop w:val="0"/>
          <w:marBottom w:val="0"/>
          <w:divBdr>
            <w:top w:val="none" w:sz="0" w:space="0" w:color="auto"/>
            <w:left w:val="none" w:sz="0" w:space="0" w:color="auto"/>
            <w:bottom w:val="none" w:sz="0" w:space="0" w:color="auto"/>
            <w:right w:val="none" w:sz="0" w:space="0" w:color="auto"/>
          </w:divBdr>
          <w:divsChild>
            <w:div w:id="12034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6718">
      <w:bodyDiv w:val="1"/>
      <w:marLeft w:val="0"/>
      <w:marRight w:val="0"/>
      <w:marTop w:val="0"/>
      <w:marBottom w:val="0"/>
      <w:divBdr>
        <w:top w:val="none" w:sz="0" w:space="0" w:color="auto"/>
        <w:left w:val="none" w:sz="0" w:space="0" w:color="auto"/>
        <w:bottom w:val="none" w:sz="0" w:space="0" w:color="auto"/>
        <w:right w:val="none" w:sz="0" w:space="0" w:color="auto"/>
      </w:divBdr>
      <w:divsChild>
        <w:div w:id="1590768907">
          <w:marLeft w:val="0"/>
          <w:marRight w:val="0"/>
          <w:marTop w:val="0"/>
          <w:marBottom w:val="0"/>
          <w:divBdr>
            <w:top w:val="none" w:sz="0" w:space="0" w:color="auto"/>
            <w:left w:val="none" w:sz="0" w:space="0" w:color="auto"/>
            <w:bottom w:val="none" w:sz="0" w:space="0" w:color="auto"/>
            <w:right w:val="none" w:sz="0" w:space="0" w:color="auto"/>
          </w:divBdr>
          <w:divsChild>
            <w:div w:id="13737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9047">
      <w:bodyDiv w:val="1"/>
      <w:marLeft w:val="0"/>
      <w:marRight w:val="0"/>
      <w:marTop w:val="0"/>
      <w:marBottom w:val="0"/>
      <w:divBdr>
        <w:top w:val="none" w:sz="0" w:space="0" w:color="auto"/>
        <w:left w:val="none" w:sz="0" w:space="0" w:color="auto"/>
        <w:bottom w:val="none" w:sz="0" w:space="0" w:color="auto"/>
        <w:right w:val="none" w:sz="0" w:space="0" w:color="auto"/>
      </w:divBdr>
    </w:div>
    <w:div w:id="1452437734">
      <w:bodyDiv w:val="1"/>
      <w:marLeft w:val="0"/>
      <w:marRight w:val="0"/>
      <w:marTop w:val="0"/>
      <w:marBottom w:val="0"/>
      <w:divBdr>
        <w:top w:val="none" w:sz="0" w:space="0" w:color="auto"/>
        <w:left w:val="none" w:sz="0" w:space="0" w:color="auto"/>
        <w:bottom w:val="none" w:sz="0" w:space="0" w:color="auto"/>
        <w:right w:val="none" w:sz="0" w:space="0" w:color="auto"/>
      </w:divBdr>
      <w:divsChild>
        <w:div w:id="437212502">
          <w:marLeft w:val="0"/>
          <w:marRight w:val="0"/>
          <w:marTop w:val="0"/>
          <w:marBottom w:val="0"/>
          <w:divBdr>
            <w:top w:val="none" w:sz="0" w:space="0" w:color="auto"/>
            <w:left w:val="none" w:sz="0" w:space="0" w:color="auto"/>
            <w:bottom w:val="none" w:sz="0" w:space="0" w:color="auto"/>
            <w:right w:val="none" w:sz="0" w:space="0" w:color="auto"/>
          </w:divBdr>
          <w:divsChild>
            <w:div w:id="456871642">
              <w:marLeft w:val="0"/>
              <w:marRight w:val="0"/>
              <w:marTop w:val="0"/>
              <w:marBottom w:val="0"/>
              <w:divBdr>
                <w:top w:val="none" w:sz="0" w:space="0" w:color="auto"/>
                <w:left w:val="none" w:sz="0" w:space="0" w:color="auto"/>
                <w:bottom w:val="none" w:sz="0" w:space="0" w:color="auto"/>
                <w:right w:val="none" w:sz="0" w:space="0" w:color="auto"/>
              </w:divBdr>
              <w:divsChild>
                <w:div w:id="13353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9155">
      <w:bodyDiv w:val="1"/>
      <w:marLeft w:val="0"/>
      <w:marRight w:val="0"/>
      <w:marTop w:val="0"/>
      <w:marBottom w:val="0"/>
      <w:divBdr>
        <w:top w:val="none" w:sz="0" w:space="0" w:color="auto"/>
        <w:left w:val="none" w:sz="0" w:space="0" w:color="auto"/>
        <w:bottom w:val="none" w:sz="0" w:space="0" w:color="auto"/>
        <w:right w:val="none" w:sz="0" w:space="0" w:color="auto"/>
      </w:divBdr>
    </w:div>
    <w:div w:id="1465807323">
      <w:bodyDiv w:val="1"/>
      <w:marLeft w:val="0"/>
      <w:marRight w:val="0"/>
      <w:marTop w:val="0"/>
      <w:marBottom w:val="0"/>
      <w:divBdr>
        <w:top w:val="none" w:sz="0" w:space="0" w:color="auto"/>
        <w:left w:val="none" w:sz="0" w:space="0" w:color="auto"/>
        <w:bottom w:val="none" w:sz="0" w:space="0" w:color="auto"/>
        <w:right w:val="none" w:sz="0" w:space="0" w:color="auto"/>
      </w:divBdr>
    </w:div>
    <w:div w:id="1487084572">
      <w:bodyDiv w:val="1"/>
      <w:marLeft w:val="0"/>
      <w:marRight w:val="0"/>
      <w:marTop w:val="0"/>
      <w:marBottom w:val="0"/>
      <w:divBdr>
        <w:top w:val="none" w:sz="0" w:space="0" w:color="auto"/>
        <w:left w:val="none" w:sz="0" w:space="0" w:color="auto"/>
        <w:bottom w:val="none" w:sz="0" w:space="0" w:color="auto"/>
        <w:right w:val="none" w:sz="0" w:space="0" w:color="auto"/>
      </w:divBdr>
    </w:div>
    <w:div w:id="1571454230">
      <w:bodyDiv w:val="1"/>
      <w:marLeft w:val="0"/>
      <w:marRight w:val="0"/>
      <w:marTop w:val="0"/>
      <w:marBottom w:val="0"/>
      <w:divBdr>
        <w:top w:val="none" w:sz="0" w:space="0" w:color="auto"/>
        <w:left w:val="none" w:sz="0" w:space="0" w:color="auto"/>
        <w:bottom w:val="none" w:sz="0" w:space="0" w:color="auto"/>
        <w:right w:val="none" w:sz="0" w:space="0" w:color="auto"/>
      </w:divBdr>
    </w:div>
    <w:div w:id="1578635353">
      <w:bodyDiv w:val="1"/>
      <w:marLeft w:val="0"/>
      <w:marRight w:val="0"/>
      <w:marTop w:val="0"/>
      <w:marBottom w:val="0"/>
      <w:divBdr>
        <w:top w:val="none" w:sz="0" w:space="0" w:color="auto"/>
        <w:left w:val="none" w:sz="0" w:space="0" w:color="auto"/>
        <w:bottom w:val="none" w:sz="0" w:space="0" w:color="auto"/>
        <w:right w:val="none" w:sz="0" w:space="0" w:color="auto"/>
      </w:divBdr>
      <w:divsChild>
        <w:div w:id="2140342279">
          <w:marLeft w:val="0"/>
          <w:marRight w:val="0"/>
          <w:marTop w:val="0"/>
          <w:marBottom w:val="0"/>
          <w:divBdr>
            <w:top w:val="none" w:sz="0" w:space="0" w:color="auto"/>
            <w:left w:val="none" w:sz="0" w:space="0" w:color="auto"/>
            <w:bottom w:val="none" w:sz="0" w:space="0" w:color="auto"/>
            <w:right w:val="none" w:sz="0" w:space="0" w:color="auto"/>
          </w:divBdr>
          <w:divsChild>
            <w:div w:id="20680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023">
      <w:bodyDiv w:val="1"/>
      <w:marLeft w:val="0"/>
      <w:marRight w:val="0"/>
      <w:marTop w:val="0"/>
      <w:marBottom w:val="0"/>
      <w:divBdr>
        <w:top w:val="none" w:sz="0" w:space="0" w:color="auto"/>
        <w:left w:val="none" w:sz="0" w:space="0" w:color="auto"/>
        <w:bottom w:val="none" w:sz="0" w:space="0" w:color="auto"/>
        <w:right w:val="none" w:sz="0" w:space="0" w:color="auto"/>
      </w:divBdr>
    </w:div>
    <w:div w:id="1609502779">
      <w:bodyDiv w:val="1"/>
      <w:marLeft w:val="0"/>
      <w:marRight w:val="0"/>
      <w:marTop w:val="0"/>
      <w:marBottom w:val="0"/>
      <w:divBdr>
        <w:top w:val="none" w:sz="0" w:space="0" w:color="auto"/>
        <w:left w:val="none" w:sz="0" w:space="0" w:color="auto"/>
        <w:bottom w:val="none" w:sz="0" w:space="0" w:color="auto"/>
        <w:right w:val="none" w:sz="0" w:space="0" w:color="auto"/>
      </w:divBdr>
      <w:divsChild>
        <w:div w:id="867986152">
          <w:marLeft w:val="0"/>
          <w:marRight w:val="0"/>
          <w:marTop w:val="0"/>
          <w:marBottom w:val="0"/>
          <w:divBdr>
            <w:top w:val="none" w:sz="0" w:space="0" w:color="auto"/>
            <w:left w:val="none" w:sz="0" w:space="0" w:color="auto"/>
            <w:bottom w:val="none" w:sz="0" w:space="0" w:color="auto"/>
            <w:right w:val="none" w:sz="0" w:space="0" w:color="auto"/>
          </w:divBdr>
          <w:divsChild>
            <w:div w:id="11975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3177">
      <w:bodyDiv w:val="1"/>
      <w:marLeft w:val="0"/>
      <w:marRight w:val="0"/>
      <w:marTop w:val="0"/>
      <w:marBottom w:val="0"/>
      <w:divBdr>
        <w:top w:val="none" w:sz="0" w:space="0" w:color="auto"/>
        <w:left w:val="none" w:sz="0" w:space="0" w:color="auto"/>
        <w:bottom w:val="none" w:sz="0" w:space="0" w:color="auto"/>
        <w:right w:val="none" w:sz="0" w:space="0" w:color="auto"/>
      </w:divBdr>
    </w:div>
    <w:div w:id="1666283201">
      <w:bodyDiv w:val="1"/>
      <w:marLeft w:val="0"/>
      <w:marRight w:val="0"/>
      <w:marTop w:val="0"/>
      <w:marBottom w:val="0"/>
      <w:divBdr>
        <w:top w:val="none" w:sz="0" w:space="0" w:color="auto"/>
        <w:left w:val="none" w:sz="0" w:space="0" w:color="auto"/>
        <w:bottom w:val="none" w:sz="0" w:space="0" w:color="auto"/>
        <w:right w:val="none" w:sz="0" w:space="0" w:color="auto"/>
      </w:divBdr>
    </w:div>
    <w:div w:id="1666930634">
      <w:bodyDiv w:val="1"/>
      <w:marLeft w:val="0"/>
      <w:marRight w:val="0"/>
      <w:marTop w:val="0"/>
      <w:marBottom w:val="0"/>
      <w:divBdr>
        <w:top w:val="none" w:sz="0" w:space="0" w:color="auto"/>
        <w:left w:val="none" w:sz="0" w:space="0" w:color="auto"/>
        <w:bottom w:val="none" w:sz="0" w:space="0" w:color="auto"/>
        <w:right w:val="none" w:sz="0" w:space="0" w:color="auto"/>
      </w:divBdr>
    </w:div>
    <w:div w:id="1676835900">
      <w:bodyDiv w:val="1"/>
      <w:marLeft w:val="0"/>
      <w:marRight w:val="0"/>
      <w:marTop w:val="0"/>
      <w:marBottom w:val="0"/>
      <w:divBdr>
        <w:top w:val="none" w:sz="0" w:space="0" w:color="auto"/>
        <w:left w:val="none" w:sz="0" w:space="0" w:color="auto"/>
        <w:bottom w:val="none" w:sz="0" w:space="0" w:color="auto"/>
        <w:right w:val="none" w:sz="0" w:space="0" w:color="auto"/>
      </w:divBdr>
    </w:div>
    <w:div w:id="1682052822">
      <w:bodyDiv w:val="1"/>
      <w:marLeft w:val="0"/>
      <w:marRight w:val="0"/>
      <w:marTop w:val="0"/>
      <w:marBottom w:val="0"/>
      <w:divBdr>
        <w:top w:val="none" w:sz="0" w:space="0" w:color="auto"/>
        <w:left w:val="none" w:sz="0" w:space="0" w:color="auto"/>
        <w:bottom w:val="none" w:sz="0" w:space="0" w:color="auto"/>
        <w:right w:val="none" w:sz="0" w:space="0" w:color="auto"/>
      </w:divBdr>
    </w:div>
    <w:div w:id="1700155488">
      <w:bodyDiv w:val="1"/>
      <w:marLeft w:val="0"/>
      <w:marRight w:val="0"/>
      <w:marTop w:val="0"/>
      <w:marBottom w:val="0"/>
      <w:divBdr>
        <w:top w:val="none" w:sz="0" w:space="0" w:color="auto"/>
        <w:left w:val="none" w:sz="0" w:space="0" w:color="auto"/>
        <w:bottom w:val="none" w:sz="0" w:space="0" w:color="auto"/>
        <w:right w:val="none" w:sz="0" w:space="0" w:color="auto"/>
      </w:divBdr>
      <w:divsChild>
        <w:div w:id="1586260441">
          <w:marLeft w:val="0"/>
          <w:marRight w:val="0"/>
          <w:marTop w:val="0"/>
          <w:marBottom w:val="0"/>
          <w:divBdr>
            <w:top w:val="none" w:sz="0" w:space="0" w:color="auto"/>
            <w:left w:val="none" w:sz="0" w:space="0" w:color="auto"/>
            <w:bottom w:val="none" w:sz="0" w:space="0" w:color="auto"/>
            <w:right w:val="none" w:sz="0" w:space="0" w:color="auto"/>
          </w:divBdr>
          <w:divsChild>
            <w:div w:id="543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2095">
      <w:bodyDiv w:val="1"/>
      <w:marLeft w:val="0"/>
      <w:marRight w:val="0"/>
      <w:marTop w:val="0"/>
      <w:marBottom w:val="0"/>
      <w:divBdr>
        <w:top w:val="none" w:sz="0" w:space="0" w:color="auto"/>
        <w:left w:val="none" w:sz="0" w:space="0" w:color="auto"/>
        <w:bottom w:val="none" w:sz="0" w:space="0" w:color="auto"/>
        <w:right w:val="none" w:sz="0" w:space="0" w:color="auto"/>
      </w:divBdr>
    </w:div>
    <w:div w:id="1736002497">
      <w:bodyDiv w:val="1"/>
      <w:marLeft w:val="0"/>
      <w:marRight w:val="0"/>
      <w:marTop w:val="0"/>
      <w:marBottom w:val="0"/>
      <w:divBdr>
        <w:top w:val="none" w:sz="0" w:space="0" w:color="auto"/>
        <w:left w:val="none" w:sz="0" w:space="0" w:color="auto"/>
        <w:bottom w:val="none" w:sz="0" w:space="0" w:color="auto"/>
        <w:right w:val="none" w:sz="0" w:space="0" w:color="auto"/>
      </w:divBdr>
    </w:div>
    <w:div w:id="1761562967">
      <w:bodyDiv w:val="1"/>
      <w:marLeft w:val="0"/>
      <w:marRight w:val="0"/>
      <w:marTop w:val="0"/>
      <w:marBottom w:val="0"/>
      <w:divBdr>
        <w:top w:val="none" w:sz="0" w:space="0" w:color="auto"/>
        <w:left w:val="none" w:sz="0" w:space="0" w:color="auto"/>
        <w:bottom w:val="none" w:sz="0" w:space="0" w:color="auto"/>
        <w:right w:val="none" w:sz="0" w:space="0" w:color="auto"/>
      </w:divBdr>
      <w:divsChild>
        <w:div w:id="1927760116">
          <w:marLeft w:val="0"/>
          <w:marRight w:val="0"/>
          <w:marTop w:val="0"/>
          <w:marBottom w:val="0"/>
          <w:divBdr>
            <w:top w:val="none" w:sz="0" w:space="0" w:color="auto"/>
            <w:left w:val="none" w:sz="0" w:space="0" w:color="auto"/>
            <w:bottom w:val="none" w:sz="0" w:space="0" w:color="auto"/>
            <w:right w:val="none" w:sz="0" w:space="0" w:color="auto"/>
          </w:divBdr>
          <w:divsChild>
            <w:div w:id="873276455">
              <w:marLeft w:val="0"/>
              <w:marRight w:val="0"/>
              <w:marTop w:val="0"/>
              <w:marBottom w:val="0"/>
              <w:divBdr>
                <w:top w:val="none" w:sz="0" w:space="0" w:color="auto"/>
                <w:left w:val="none" w:sz="0" w:space="0" w:color="auto"/>
                <w:bottom w:val="none" w:sz="0" w:space="0" w:color="auto"/>
                <w:right w:val="none" w:sz="0" w:space="0" w:color="auto"/>
              </w:divBdr>
              <w:divsChild>
                <w:div w:id="18045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9837">
      <w:bodyDiv w:val="1"/>
      <w:marLeft w:val="0"/>
      <w:marRight w:val="0"/>
      <w:marTop w:val="0"/>
      <w:marBottom w:val="0"/>
      <w:divBdr>
        <w:top w:val="none" w:sz="0" w:space="0" w:color="auto"/>
        <w:left w:val="none" w:sz="0" w:space="0" w:color="auto"/>
        <w:bottom w:val="none" w:sz="0" w:space="0" w:color="auto"/>
        <w:right w:val="none" w:sz="0" w:space="0" w:color="auto"/>
      </w:divBdr>
    </w:div>
    <w:div w:id="1789739706">
      <w:bodyDiv w:val="1"/>
      <w:marLeft w:val="0"/>
      <w:marRight w:val="0"/>
      <w:marTop w:val="0"/>
      <w:marBottom w:val="0"/>
      <w:divBdr>
        <w:top w:val="none" w:sz="0" w:space="0" w:color="auto"/>
        <w:left w:val="none" w:sz="0" w:space="0" w:color="auto"/>
        <w:bottom w:val="none" w:sz="0" w:space="0" w:color="auto"/>
        <w:right w:val="none" w:sz="0" w:space="0" w:color="auto"/>
      </w:divBdr>
    </w:div>
    <w:div w:id="1796869570">
      <w:bodyDiv w:val="1"/>
      <w:marLeft w:val="0"/>
      <w:marRight w:val="0"/>
      <w:marTop w:val="0"/>
      <w:marBottom w:val="0"/>
      <w:divBdr>
        <w:top w:val="none" w:sz="0" w:space="0" w:color="auto"/>
        <w:left w:val="none" w:sz="0" w:space="0" w:color="auto"/>
        <w:bottom w:val="none" w:sz="0" w:space="0" w:color="auto"/>
        <w:right w:val="none" w:sz="0" w:space="0" w:color="auto"/>
      </w:divBdr>
    </w:div>
    <w:div w:id="1825779163">
      <w:bodyDiv w:val="1"/>
      <w:marLeft w:val="0"/>
      <w:marRight w:val="0"/>
      <w:marTop w:val="0"/>
      <w:marBottom w:val="0"/>
      <w:divBdr>
        <w:top w:val="none" w:sz="0" w:space="0" w:color="auto"/>
        <w:left w:val="none" w:sz="0" w:space="0" w:color="auto"/>
        <w:bottom w:val="none" w:sz="0" w:space="0" w:color="auto"/>
        <w:right w:val="none" w:sz="0" w:space="0" w:color="auto"/>
      </w:divBdr>
    </w:div>
    <w:div w:id="1857618900">
      <w:bodyDiv w:val="1"/>
      <w:marLeft w:val="0"/>
      <w:marRight w:val="0"/>
      <w:marTop w:val="0"/>
      <w:marBottom w:val="0"/>
      <w:divBdr>
        <w:top w:val="none" w:sz="0" w:space="0" w:color="auto"/>
        <w:left w:val="none" w:sz="0" w:space="0" w:color="auto"/>
        <w:bottom w:val="none" w:sz="0" w:space="0" w:color="auto"/>
        <w:right w:val="none" w:sz="0" w:space="0" w:color="auto"/>
      </w:divBdr>
    </w:div>
    <w:div w:id="1858542986">
      <w:bodyDiv w:val="1"/>
      <w:marLeft w:val="0"/>
      <w:marRight w:val="0"/>
      <w:marTop w:val="0"/>
      <w:marBottom w:val="0"/>
      <w:divBdr>
        <w:top w:val="none" w:sz="0" w:space="0" w:color="auto"/>
        <w:left w:val="none" w:sz="0" w:space="0" w:color="auto"/>
        <w:bottom w:val="none" w:sz="0" w:space="0" w:color="auto"/>
        <w:right w:val="none" w:sz="0" w:space="0" w:color="auto"/>
      </w:divBdr>
      <w:divsChild>
        <w:div w:id="454065357">
          <w:marLeft w:val="0"/>
          <w:marRight w:val="0"/>
          <w:marTop w:val="0"/>
          <w:marBottom w:val="0"/>
          <w:divBdr>
            <w:top w:val="none" w:sz="0" w:space="0" w:color="auto"/>
            <w:left w:val="none" w:sz="0" w:space="0" w:color="auto"/>
            <w:bottom w:val="none" w:sz="0" w:space="0" w:color="auto"/>
            <w:right w:val="none" w:sz="0" w:space="0" w:color="auto"/>
          </w:divBdr>
          <w:divsChild>
            <w:div w:id="15733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158">
      <w:bodyDiv w:val="1"/>
      <w:marLeft w:val="0"/>
      <w:marRight w:val="0"/>
      <w:marTop w:val="0"/>
      <w:marBottom w:val="0"/>
      <w:divBdr>
        <w:top w:val="none" w:sz="0" w:space="0" w:color="auto"/>
        <w:left w:val="none" w:sz="0" w:space="0" w:color="auto"/>
        <w:bottom w:val="none" w:sz="0" w:space="0" w:color="auto"/>
        <w:right w:val="none" w:sz="0" w:space="0" w:color="auto"/>
      </w:divBdr>
      <w:divsChild>
        <w:div w:id="1409838274">
          <w:marLeft w:val="0"/>
          <w:marRight w:val="0"/>
          <w:marTop w:val="0"/>
          <w:marBottom w:val="0"/>
          <w:divBdr>
            <w:top w:val="none" w:sz="0" w:space="0" w:color="auto"/>
            <w:left w:val="none" w:sz="0" w:space="0" w:color="auto"/>
            <w:bottom w:val="none" w:sz="0" w:space="0" w:color="auto"/>
            <w:right w:val="none" w:sz="0" w:space="0" w:color="auto"/>
          </w:divBdr>
          <w:divsChild>
            <w:div w:id="587931152">
              <w:marLeft w:val="0"/>
              <w:marRight w:val="0"/>
              <w:marTop w:val="0"/>
              <w:marBottom w:val="0"/>
              <w:divBdr>
                <w:top w:val="none" w:sz="0" w:space="0" w:color="auto"/>
                <w:left w:val="none" w:sz="0" w:space="0" w:color="auto"/>
                <w:bottom w:val="none" w:sz="0" w:space="0" w:color="auto"/>
                <w:right w:val="none" w:sz="0" w:space="0" w:color="auto"/>
              </w:divBdr>
              <w:divsChild>
                <w:div w:id="201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4162">
      <w:bodyDiv w:val="1"/>
      <w:marLeft w:val="0"/>
      <w:marRight w:val="0"/>
      <w:marTop w:val="0"/>
      <w:marBottom w:val="0"/>
      <w:divBdr>
        <w:top w:val="none" w:sz="0" w:space="0" w:color="auto"/>
        <w:left w:val="none" w:sz="0" w:space="0" w:color="auto"/>
        <w:bottom w:val="none" w:sz="0" w:space="0" w:color="auto"/>
        <w:right w:val="none" w:sz="0" w:space="0" w:color="auto"/>
      </w:divBdr>
      <w:divsChild>
        <w:div w:id="134765745">
          <w:marLeft w:val="0"/>
          <w:marRight w:val="0"/>
          <w:marTop w:val="0"/>
          <w:marBottom w:val="0"/>
          <w:divBdr>
            <w:top w:val="none" w:sz="0" w:space="0" w:color="auto"/>
            <w:left w:val="none" w:sz="0" w:space="0" w:color="auto"/>
            <w:bottom w:val="none" w:sz="0" w:space="0" w:color="auto"/>
            <w:right w:val="none" w:sz="0" w:space="0" w:color="auto"/>
          </w:divBdr>
          <w:divsChild>
            <w:div w:id="5393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6199">
      <w:bodyDiv w:val="1"/>
      <w:marLeft w:val="0"/>
      <w:marRight w:val="0"/>
      <w:marTop w:val="0"/>
      <w:marBottom w:val="0"/>
      <w:divBdr>
        <w:top w:val="none" w:sz="0" w:space="0" w:color="auto"/>
        <w:left w:val="none" w:sz="0" w:space="0" w:color="auto"/>
        <w:bottom w:val="none" w:sz="0" w:space="0" w:color="auto"/>
        <w:right w:val="none" w:sz="0" w:space="0" w:color="auto"/>
      </w:divBdr>
      <w:divsChild>
        <w:div w:id="1776562025">
          <w:marLeft w:val="0"/>
          <w:marRight w:val="0"/>
          <w:marTop w:val="0"/>
          <w:marBottom w:val="0"/>
          <w:divBdr>
            <w:top w:val="none" w:sz="0" w:space="0" w:color="auto"/>
            <w:left w:val="none" w:sz="0" w:space="0" w:color="auto"/>
            <w:bottom w:val="none" w:sz="0" w:space="0" w:color="auto"/>
            <w:right w:val="none" w:sz="0" w:space="0" w:color="auto"/>
          </w:divBdr>
          <w:divsChild>
            <w:div w:id="75516299">
              <w:marLeft w:val="0"/>
              <w:marRight w:val="0"/>
              <w:marTop w:val="0"/>
              <w:marBottom w:val="0"/>
              <w:divBdr>
                <w:top w:val="none" w:sz="0" w:space="0" w:color="auto"/>
                <w:left w:val="none" w:sz="0" w:space="0" w:color="auto"/>
                <w:bottom w:val="none" w:sz="0" w:space="0" w:color="auto"/>
                <w:right w:val="none" w:sz="0" w:space="0" w:color="auto"/>
              </w:divBdr>
              <w:divsChild>
                <w:div w:id="7960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1870">
      <w:bodyDiv w:val="1"/>
      <w:marLeft w:val="0"/>
      <w:marRight w:val="0"/>
      <w:marTop w:val="0"/>
      <w:marBottom w:val="0"/>
      <w:divBdr>
        <w:top w:val="none" w:sz="0" w:space="0" w:color="auto"/>
        <w:left w:val="none" w:sz="0" w:space="0" w:color="auto"/>
        <w:bottom w:val="none" w:sz="0" w:space="0" w:color="auto"/>
        <w:right w:val="none" w:sz="0" w:space="0" w:color="auto"/>
      </w:divBdr>
    </w:div>
    <w:div w:id="1929071670">
      <w:bodyDiv w:val="1"/>
      <w:marLeft w:val="0"/>
      <w:marRight w:val="0"/>
      <w:marTop w:val="0"/>
      <w:marBottom w:val="0"/>
      <w:divBdr>
        <w:top w:val="none" w:sz="0" w:space="0" w:color="auto"/>
        <w:left w:val="none" w:sz="0" w:space="0" w:color="auto"/>
        <w:bottom w:val="none" w:sz="0" w:space="0" w:color="auto"/>
        <w:right w:val="none" w:sz="0" w:space="0" w:color="auto"/>
      </w:divBdr>
      <w:divsChild>
        <w:div w:id="2027713707">
          <w:marLeft w:val="0"/>
          <w:marRight w:val="0"/>
          <w:marTop w:val="0"/>
          <w:marBottom w:val="0"/>
          <w:divBdr>
            <w:top w:val="none" w:sz="0" w:space="0" w:color="auto"/>
            <w:left w:val="none" w:sz="0" w:space="0" w:color="auto"/>
            <w:bottom w:val="none" w:sz="0" w:space="0" w:color="auto"/>
            <w:right w:val="none" w:sz="0" w:space="0" w:color="auto"/>
          </w:divBdr>
          <w:divsChild>
            <w:div w:id="538200863">
              <w:marLeft w:val="0"/>
              <w:marRight w:val="0"/>
              <w:marTop w:val="0"/>
              <w:marBottom w:val="0"/>
              <w:divBdr>
                <w:top w:val="none" w:sz="0" w:space="0" w:color="auto"/>
                <w:left w:val="none" w:sz="0" w:space="0" w:color="auto"/>
                <w:bottom w:val="none" w:sz="0" w:space="0" w:color="auto"/>
                <w:right w:val="none" w:sz="0" w:space="0" w:color="auto"/>
              </w:divBdr>
              <w:divsChild>
                <w:div w:id="10122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8878">
      <w:bodyDiv w:val="1"/>
      <w:marLeft w:val="0"/>
      <w:marRight w:val="0"/>
      <w:marTop w:val="0"/>
      <w:marBottom w:val="0"/>
      <w:divBdr>
        <w:top w:val="none" w:sz="0" w:space="0" w:color="auto"/>
        <w:left w:val="none" w:sz="0" w:space="0" w:color="auto"/>
        <w:bottom w:val="none" w:sz="0" w:space="0" w:color="auto"/>
        <w:right w:val="none" w:sz="0" w:space="0" w:color="auto"/>
      </w:divBdr>
    </w:div>
    <w:div w:id="1998218892">
      <w:bodyDiv w:val="1"/>
      <w:marLeft w:val="0"/>
      <w:marRight w:val="0"/>
      <w:marTop w:val="0"/>
      <w:marBottom w:val="0"/>
      <w:divBdr>
        <w:top w:val="none" w:sz="0" w:space="0" w:color="auto"/>
        <w:left w:val="none" w:sz="0" w:space="0" w:color="auto"/>
        <w:bottom w:val="none" w:sz="0" w:space="0" w:color="auto"/>
        <w:right w:val="none" w:sz="0" w:space="0" w:color="auto"/>
      </w:divBdr>
    </w:div>
    <w:div w:id="2006320477">
      <w:bodyDiv w:val="1"/>
      <w:marLeft w:val="0"/>
      <w:marRight w:val="0"/>
      <w:marTop w:val="0"/>
      <w:marBottom w:val="0"/>
      <w:divBdr>
        <w:top w:val="none" w:sz="0" w:space="0" w:color="auto"/>
        <w:left w:val="none" w:sz="0" w:space="0" w:color="auto"/>
        <w:bottom w:val="none" w:sz="0" w:space="0" w:color="auto"/>
        <w:right w:val="none" w:sz="0" w:space="0" w:color="auto"/>
      </w:divBdr>
    </w:div>
    <w:div w:id="2041709917">
      <w:bodyDiv w:val="1"/>
      <w:marLeft w:val="0"/>
      <w:marRight w:val="0"/>
      <w:marTop w:val="0"/>
      <w:marBottom w:val="0"/>
      <w:divBdr>
        <w:top w:val="none" w:sz="0" w:space="0" w:color="auto"/>
        <w:left w:val="none" w:sz="0" w:space="0" w:color="auto"/>
        <w:bottom w:val="none" w:sz="0" w:space="0" w:color="auto"/>
        <w:right w:val="none" w:sz="0" w:space="0" w:color="auto"/>
      </w:divBdr>
    </w:div>
    <w:div w:id="2045445401">
      <w:bodyDiv w:val="1"/>
      <w:marLeft w:val="0"/>
      <w:marRight w:val="0"/>
      <w:marTop w:val="0"/>
      <w:marBottom w:val="0"/>
      <w:divBdr>
        <w:top w:val="none" w:sz="0" w:space="0" w:color="auto"/>
        <w:left w:val="none" w:sz="0" w:space="0" w:color="auto"/>
        <w:bottom w:val="none" w:sz="0" w:space="0" w:color="auto"/>
        <w:right w:val="none" w:sz="0" w:space="0" w:color="auto"/>
      </w:divBdr>
    </w:div>
    <w:div w:id="2061785137">
      <w:bodyDiv w:val="1"/>
      <w:marLeft w:val="0"/>
      <w:marRight w:val="0"/>
      <w:marTop w:val="0"/>
      <w:marBottom w:val="0"/>
      <w:divBdr>
        <w:top w:val="none" w:sz="0" w:space="0" w:color="auto"/>
        <w:left w:val="none" w:sz="0" w:space="0" w:color="auto"/>
        <w:bottom w:val="none" w:sz="0" w:space="0" w:color="auto"/>
        <w:right w:val="none" w:sz="0" w:space="0" w:color="auto"/>
      </w:divBdr>
    </w:div>
    <w:div w:id="2072997419">
      <w:bodyDiv w:val="1"/>
      <w:marLeft w:val="0"/>
      <w:marRight w:val="0"/>
      <w:marTop w:val="0"/>
      <w:marBottom w:val="0"/>
      <w:divBdr>
        <w:top w:val="none" w:sz="0" w:space="0" w:color="auto"/>
        <w:left w:val="none" w:sz="0" w:space="0" w:color="auto"/>
        <w:bottom w:val="none" w:sz="0" w:space="0" w:color="auto"/>
        <w:right w:val="none" w:sz="0" w:space="0" w:color="auto"/>
      </w:divBdr>
    </w:div>
    <w:div w:id="2079093075">
      <w:bodyDiv w:val="1"/>
      <w:marLeft w:val="0"/>
      <w:marRight w:val="0"/>
      <w:marTop w:val="0"/>
      <w:marBottom w:val="0"/>
      <w:divBdr>
        <w:top w:val="none" w:sz="0" w:space="0" w:color="auto"/>
        <w:left w:val="none" w:sz="0" w:space="0" w:color="auto"/>
        <w:bottom w:val="none" w:sz="0" w:space="0" w:color="auto"/>
        <w:right w:val="none" w:sz="0" w:space="0" w:color="auto"/>
      </w:divBdr>
      <w:divsChild>
        <w:div w:id="1596553110">
          <w:marLeft w:val="0"/>
          <w:marRight w:val="0"/>
          <w:marTop w:val="0"/>
          <w:marBottom w:val="0"/>
          <w:divBdr>
            <w:top w:val="none" w:sz="0" w:space="0" w:color="auto"/>
            <w:left w:val="none" w:sz="0" w:space="0" w:color="auto"/>
            <w:bottom w:val="none" w:sz="0" w:space="0" w:color="auto"/>
            <w:right w:val="none" w:sz="0" w:space="0" w:color="auto"/>
          </w:divBdr>
          <w:divsChild>
            <w:div w:id="1541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2109">
      <w:bodyDiv w:val="1"/>
      <w:marLeft w:val="0"/>
      <w:marRight w:val="0"/>
      <w:marTop w:val="0"/>
      <w:marBottom w:val="0"/>
      <w:divBdr>
        <w:top w:val="none" w:sz="0" w:space="0" w:color="auto"/>
        <w:left w:val="none" w:sz="0" w:space="0" w:color="auto"/>
        <w:bottom w:val="none" w:sz="0" w:space="0" w:color="auto"/>
        <w:right w:val="none" w:sz="0" w:space="0" w:color="auto"/>
      </w:divBdr>
      <w:divsChild>
        <w:div w:id="1081025143">
          <w:marLeft w:val="0"/>
          <w:marRight w:val="0"/>
          <w:marTop w:val="0"/>
          <w:marBottom w:val="0"/>
          <w:divBdr>
            <w:top w:val="none" w:sz="0" w:space="0" w:color="auto"/>
            <w:left w:val="none" w:sz="0" w:space="0" w:color="auto"/>
            <w:bottom w:val="none" w:sz="0" w:space="0" w:color="auto"/>
            <w:right w:val="none" w:sz="0" w:space="0" w:color="auto"/>
          </w:divBdr>
          <w:divsChild>
            <w:div w:id="20047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7743">
      <w:bodyDiv w:val="1"/>
      <w:marLeft w:val="0"/>
      <w:marRight w:val="0"/>
      <w:marTop w:val="0"/>
      <w:marBottom w:val="0"/>
      <w:divBdr>
        <w:top w:val="none" w:sz="0" w:space="0" w:color="auto"/>
        <w:left w:val="none" w:sz="0" w:space="0" w:color="auto"/>
        <w:bottom w:val="none" w:sz="0" w:space="0" w:color="auto"/>
        <w:right w:val="none" w:sz="0" w:space="0" w:color="auto"/>
      </w:divBdr>
    </w:div>
    <w:div w:id="21443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63F91-A4FC-2C47-B6DA-EFC946BF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180</Pages>
  <Words>96034</Words>
  <Characters>545479</Characters>
  <Application>Microsoft Office Word</Application>
  <DocSecurity>0</DocSecurity>
  <Lines>10101</Lines>
  <Paragraphs>2036</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639477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dc:creator>
  <cp:lastModifiedBy>Claudio Nash</cp:lastModifiedBy>
  <cp:revision>66</cp:revision>
  <cp:lastPrinted>2016-04-18T16:32:00Z</cp:lastPrinted>
  <dcterms:created xsi:type="dcterms:W3CDTF">2021-11-25T19:50:00Z</dcterms:created>
  <dcterms:modified xsi:type="dcterms:W3CDTF">2021-12-08T20:28:00Z</dcterms:modified>
</cp:coreProperties>
</file>