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AD140" w14:textId="41C55527" w:rsidR="00772D03" w:rsidRDefault="00772D03" w:rsidP="00772D03">
      <w:pPr>
        <w:rPr>
          <w:b/>
        </w:rPr>
      </w:pPr>
      <w:r>
        <w:rPr>
          <w:b/>
          <w:noProof/>
          <w:lang w:eastAsia="es-CL"/>
        </w:rPr>
        <w:drawing>
          <wp:anchor distT="0" distB="0" distL="114300" distR="114300" simplePos="0" relativeHeight="251658240" behindDoc="0" locked="0" layoutInCell="1" allowOverlap="1" wp14:anchorId="2CC279BC" wp14:editId="55343808">
            <wp:simplePos x="1078992" y="902208"/>
            <wp:positionH relativeFrom="column">
              <wp:align>left</wp:align>
            </wp:positionH>
            <wp:positionV relativeFrom="paragraph">
              <wp:align>top</wp:align>
            </wp:positionV>
            <wp:extent cx="2139315" cy="77914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550" cy="787823"/>
                    </a:xfrm>
                    <a:prstGeom prst="rect">
                      <a:avLst/>
                    </a:prstGeom>
                    <a:noFill/>
                  </pic:spPr>
                </pic:pic>
              </a:graphicData>
            </a:graphic>
            <wp14:sizeRelH relativeFrom="margin">
              <wp14:pctWidth>0</wp14:pctWidth>
            </wp14:sizeRelH>
            <wp14:sizeRelV relativeFrom="margin">
              <wp14:pctHeight>0</wp14:pctHeight>
            </wp14:sizeRelV>
          </wp:anchor>
        </w:drawing>
      </w:r>
    </w:p>
    <w:p w14:paraId="4A608A64" w14:textId="74A9F445" w:rsidR="00C413F0" w:rsidRDefault="00C413F0" w:rsidP="00772D03">
      <w:pPr>
        <w:rPr>
          <w:b/>
        </w:rPr>
      </w:pPr>
    </w:p>
    <w:p w14:paraId="370CE205" w14:textId="77777777" w:rsidR="00C413F0" w:rsidRDefault="00C413F0" w:rsidP="00772D03">
      <w:pPr>
        <w:rPr>
          <w:b/>
        </w:rPr>
      </w:pPr>
    </w:p>
    <w:p w14:paraId="30F6A226" w14:textId="7FB03ABF" w:rsidR="00772D03" w:rsidRPr="00A53736" w:rsidRDefault="002B7D5A" w:rsidP="00C413F0">
      <w:pPr>
        <w:spacing w:after="0" w:line="240" w:lineRule="auto"/>
        <w:jc w:val="center"/>
        <w:rPr>
          <w:rFonts w:cstheme="minorHAnsi"/>
          <w:b/>
        </w:rPr>
      </w:pPr>
      <w:r w:rsidRPr="00A53736">
        <w:rPr>
          <w:rFonts w:cstheme="minorHAnsi"/>
          <w:b/>
        </w:rPr>
        <w:t>PRUEBA</w:t>
      </w:r>
      <w:r w:rsidR="009E3187" w:rsidRPr="00A53736">
        <w:rPr>
          <w:rFonts w:cstheme="minorHAnsi"/>
          <w:b/>
        </w:rPr>
        <w:t xml:space="preserve"> DER</w:t>
      </w:r>
      <w:r w:rsidR="00DC3608" w:rsidRPr="00A53736">
        <w:rPr>
          <w:rFonts w:cstheme="minorHAnsi"/>
          <w:b/>
        </w:rPr>
        <w:t>ECHO DE</w:t>
      </w:r>
      <w:r w:rsidR="003C761F">
        <w:rPr>
          <w:rFonts w:cstheme="minorHAnsi"/>
          <w:b/>
        </w:rPr>
        <w:t>L TRABAJO I</w:t>
      </w:r>
      <w:r w:rsidR="00503DD1">
        <w:rPr>
          <w:rFonts w:cstheme="minorHAnsi"/>
          <w:b/>
        </w:rPr>
        <w:t>I</w:t>
      </w:r>
    </w:p>
    <w:p w14:paraId="68B24B65" w14:textId="77777777" w:rsidR="00C413F0" w:rsidRPr="00A53736" w:rsidRDefault="00C413F0" w:rsidP="00C413F0">
      <w:pPr>
        <w:spacing w:after="0" w:line="240" w:lineRule="auto"/>
        <w:jc w:val="center"/>
        <w:rPr>
          <w:rFonts w:cstheme="minorHAnsi"/>
          <w:b/>
        </w:rPr>
      </w:pPr>
    </w:p>
    <w:p w14:paraId="24067912" w14:textId="77777777" w:rsidR="003B77A9" w:rsidRDefault="003B77A9" w:rsidP="003B77A9">
      <w:pPr>
        <w:tabs>
          <w:tab w:val="center" w:pos="4419"/>
        </w:tabs>
        <w:spacing w:after="0" w:line="240" w:lineRule="auto"/>
        <w:rPr>
          <w:rFonts w:cstheme="minorHAnsi"/>
          <w:b/>
        </w:rPr>
      </w:pPr>
    </w:p>
    <w:p w14:paraId="6C9C228C" w14:textId="0A92279D" w:rsidR="0077738B" w:rsidRPr="00A53736" w:rsidRDefault="00772D03" w:rsidP="003B77A9">
      <w:pPr>
        <w:tabs>
          <w:tab w:val="center" w:pos="4419"/>
        </w:tabs>
        <w:spacing w:after="0" w:line="240" w:lineRule="auto"/>
        <w:rPr>
          <w:rFonts w:cstheme="minorHAnsi"/>
          <w:b/>
        </w:rPr>
      </w:pPr>
      <w:r w:rsidRPr="00A53736">
        <w:rPr>
          <w:rFonts w:cstheme="minorHAnsi"/>
          <w:b/>
        </w:rPr>
        <w:t>Nombre: _______________________________</w:t>
      </w:r>
      <w:r w:rsidR="00EC38B2" w:rsidRPr="00A53736">
        <w:rPr>
          <w:rFonts w:cstheme="minorHAnsi"/>
          <w:b/>
        </w:rPr>
        <w:t>___</w:t>
      </w:r>
      <w:r w:rsidR="005B62CB" w:rsidRPr="00A53736">
        <w:rPr>
          <w:rFonts w:cstheme="minorHAnsi"/>
          <w:b/>
        </w:rPr>
        <w:t>___________________</w:t>
      </w:r>
      <w:r w:rsidR="0077738B" w:rsidRPr="00A53736">
        <w:rPr>
          <w:rFonts w:cstheme="minorHAnsi"/>
          <w:b/>
        </w:rPr>
        <w:t>,</w:t>
      </w:r>
      <w:r w:rsidR="005B62CB" w:rsidRPr="00A53736">
        <w:rPr>
          <w:rFonts w:cstheme="minorHAnsi"/>
          <w:b/>
        </w:rPr>
        <w:t xml:space="preserve"> Fecha: </w:t>
      </w:r>
      <w:r w:rsidR="00503DD1">
        <w:rPr>
          <w:rFonts w:cstheme="minorHAnsi"/>
          <w:b/>
        </w:rPr>
        <w:t>24</w:t>
      </w:r>
      <w:r w:rsidR="005B62CB" w:rsidRPr="00A53736">
        <w:rPr>
          <w:rFonts w:cstheme="minorHAnsi"/>
          <w:b/>
        </w:rPr>
        <w:t>/</w:t>
      </w:r>
      <w:r w:rsidR="00503DD1">
        <w:rPr>
          <w:rFonts w:cstheme="minorHAnsi"/>
          <w:b/>
        </w:rPr>
        <w:t>10</w:t>
      </w:r>
      <w:r w:rsidR="00DF527F" w:rsidRPr="00A53736">
        <w:rPr>
          <w:rFonts w:cstheme="minorHAnsi"/>
          <w:b/>
        </w:rPr>
        <w:t>/20</w:t>
      </w:r>
      <w:r w:rsidR="005618D9">
        <w:rPr>
          <w:rFonts w:cstheme="minorHAnsi"/>
          <w:b/>
        </w:rPr>
        <w:t>24</w:t>
      </w:r>
    </w:p>
    <w:p w14:paraId="13790282" w14:textId="77777777" w:rsidR="00772D03" w:rsidRPr="00A53736" w:rsidRDefault="00772D03" w:rsidP="00270F38">
      <w:pPr>
        <w:spacing w:after="0" w:line="240" w:lineRule="auto"/>
        <w:jc w:val="center"/>
        <w:rPr>
          <w:rFonts w:cstheme="minorHAnsi"/>
          <w:b/>
        </w:rPr>
      </w:pPr>
    </w:p>
    <w:p w14:paraId="1152ED32" w14:textId="77777777" w:rsidR="003B77A9" w:rsidRDefault="003B77A9" w:rsidP="00503DD1">
      <w:pPr>
        <w:spacing w:before="120" w:after="120" w:line="300" w:lineRule="exact"/>
        <w:contextualSpacing/>
        <w:jc w:val="both"/>
        <w:rPr>
          <w:rFonts w:cstheme="minorHAnsi"/>
          <w:bCs/>
        </w:rPr>
      </w:pPr>
    </w:p>
    <w:p w14:paraId="1BF95205" w14:textId="275F6282" w:rsidR="00503DD1" w:rsidRDefault="00503DD1" w:rsidP="00503DD1">
      <w:pPr>
        <w:spacing w:before="120" w:after="120" w:line="300" w:lineRule="exact"/>
        <w:contextualSpacing/>
        <w:jc w:val="both"/>
        <w:rPr>
          <w:rFonts w:cstheme="minorHAnsi"/>
          <w:bCs/>
        </w:rPr>
      </w:pPr>
      <w:r>
        <w:rPr>
          <w:rFonts w:cstheme="minorHAnsi"/>
          <w:bCs/>
        </w:rPr>
        <w:t>El desarrollo de la prueba consta de dos casos. En estos deberá contestar cada una de las preguntas que derivan de los escenarios propuestos.</w:t>
      </w:r>
    </w:p>
    <w:p w14:paraId="768F907F" w14:textId="77777777" w:rsidR="00503DD1" w:rsidRDefault="00503DD1" w:rsidP="00503DD1">
      <w:pPr>
        <w:spacing w:before="120" w:after="120" w:line="300" w:lineRule="exact"/>
        <w:contextualSpacing/>
        <w:jc w:val="both"/>
        <w:rPr>
          <w:rFonts w:cstheme="minorHAnsi"/>
          <w:bCs/>
        </w:rPr>
      </w:pPr>
    </w:p>
    <w:p w14:paraId="37EF9637" w14:textId="3C1F610A" w:rsidR="00503DD1" w:rsidRDefault="00503DD1" w:rsidP="00503DD1">
      <w:pPr>
        <w:spacing w:before="120" w:after="120" w:line="300" w:lineRule="exact"/>
        <w:contextualSpacing/>
        <w:jc w:val="both"/>
        <w:rPr>
          <w:rFonts w:cstheme="minorHAnsi"/>
          <w:bCs/>
        </w:rPr>
      </w:pPr>
      <w:r>
        <w:rPr>
          <w:rFonts w:cstheme="minorHAnsi"/>
          <w:bCs/>
        </w:rPr>
        <w:t>La puntuación total de esta evaluación es de 6 puntos y se desagrega por cada pregunta específica del caso por un total de 1 punto cada una.</w:t>
      </w:r>
    </w:p>
    <w:p w14:paraId="24BA9E14" w14:textId="77777777" w:rsidR="003B77A9" w:rsidRDefault="003B77A9" w:rsidP="00503DD1">
      <w:pPr>
        <w:spacing w:before="120" w:after="120" w:line="300" w:lineRule="exact"/>
        <w:contextualSpacing/>
        <w:jc w:val="both"/>
        <w:rPr>
          <w:rFonts w:cstheme="minorHAnsi"/>
          <w:bCs/>
        </w:rPr>
      </w:pPr>
    </w:p>
    <w:p w14:paraId="468E5F00" w14:textId="5D13FE71" w:rsidR="003B77A9" w:rsidRDefault="003B77A9" w:rsidP="00503DD1">
      <w:pPr>
        <w:spacing w:before="120" w:after="120" w:line="300" w:lineRule="exact"/>
        <w:contextualSpacing/>
        <w:jc w:val="both"/>
        <w:rPr>
          <w:rFonts w:cstheme="minorHAnsi"/>
          <w:bCs/>
        </w:rPr>
      </w:pPr>
      <w:r>
        <w:rPr>
          <w:rFonts w:cstheme="minorHAnsi"/>
          <w:bCs/>
        </w:rPr>
        <w:t>Les deseamos éxito.</w:t>
      </w:r>
    </w:p>
    <w:p w14:paraId="117EBEFE" w14:textId="77777777" w:rsidR="00503DD1" w:rsidRDefault="00503DD1" w:rsidP="00503DD1">
      <w:pPr>
        <w:spacing w:before="120" w:after="120" w:line="300" w:lineRule="exact"/>
        <w:contextualSpacing/>
        <w:jc w:val="both"/>
        <w:rPr>
          <w:rFonts w:cstheme="minorHAnsi"/>
          <w:bCs/>
        </w:rPr>
      </w:pPr>
    </w:p>
    <w:p w14:paraId="19CAF498" w14:textId="77777777" w:rsidR="00503DD1" w:rsidRDefault="00503DD1" w:rsidP="00503DD1">
      <w:pPr>
        <w:spacing w:before="120" w:after="120" w:line="300" w:lineRule="exact"/>
        <w:contextualSpacing/>
        <w:jc w:val="both"/>
        <w:rPr>
          <w:rFonts w:cstheme="minorHAnsi"/>
          <w:bCs/>
        </w:rPr>
      </w:pPr>
    </w:p>
    <w:p w14:paraId="5FBCC78B" w14:textId="1F28A6FD" w:rsidR="00503DD1" w:rsidRPr="00503DD1" w:rsidRDefault="00503DD1" w:rsidP="00503DD1">
      <w:pPr>
        <w:spacing w:before="120" w:after="120" w:line="300" w:lineRule="exact"/>
        <w:contextualSpacing/>
        <w:jc w:val="both"/>
        <w:rPr>
          <w:rFonts w:cstheme="minorHAnsi"/>
          <w:bCs/>
        </w:rPr>
      </w:pPr>
      <w:r w:rsidRPr="00503DD1">
        <w:rPr>
          <w:rFonts w:cstheme="minorHAnsi"/>
          <w:b/>
        </w:rPr>
        <w:t>Caso 1: Libertad colectiva de actuación sindical</w:t>
      </w:r>
      <w:r>
        <w:rPr>
          <w:rFonts w:cstheme="minorHAnsi"/>
          <w:b/>
        </w:rPr>
        <w:t xml:space="preserve"> </w:t>
      </w:r>
      <w:r>
        <w:rPr>
          <w:rFonts w:cstheme="minorHAnsi"/>
          <w:bCs/>
        </w:rPr>
        <w:t>[2 puntos]</w:t>
      </w:r>
    </w:p>
    <w:p w14:paraId="68400758" w14:textId="77777777" w:rsidR="00503DD1" w:rsidRPr="00503DD1" w:rsidRDefault="00503DD1" w:rsidP="00503DD1">
      <w:pPr>
        <w:spacing w:before="120" w:after="120" w:line="300" w:lineRule="exact"/>
        <w:contextualSpacing/>
        <w:jc w:val="both"/>
        <w:rPr>
          <w:rFonts w:cstheme="minorHAnsi"/>
          <w:bCs/>
        </w:rPr>
      </w:pPr>
    </w:p>
    <w:p w14:paraId="7B66B1BA" w14:textId="77777777" w:rsidR="00503DD1" w:rsidRPr="00503DD1" w:rsidRDefault="00503DD1" w:rsidP="00503DD1">
      <w:pPr>
        <w:spacing w:before="120" w:after="120" w:line="300" w:lineRule="exact"/>
        <w:contextualSpacing/>
        <w:jc w:val="both"/>
        <w:rPr>
          <w:rFonts w:cstheme="minorHAnsi"/>
          <w:b/>
        </w:rPr>
      </w:pPr>
      <w:r w:rsidRPr="00503DD1">
        <w:rPr>
          <w:rFonts w:cstheme="minorHAnsi"/>
          <w:b/>
        </w:rPr>
        <w:t>Antecedentes</w:t>
      </w:r>
    </w:p>
    <w:p w14:paraId="2DBD28F4" w14:textId="77777777" w:rsidR="00503DD1" w:rsidRPr="00503DD1" w:rsidRDefault="00503DD1" w:rsidP="00503DD1">
      <w:pPr>
        <w:spacing w:before="120" w:after="120" w:line="300" w:lineRule="exact"/>
        <w:contextualSpacing/>
        <w:jc w:val="both"/>
        <w:rPr>
          <w:rFonts w:cstheme="minorHAnsi"/>
          <w:bCs/>
        </w:rPr>
      </w:pPr>
    </w:p>
    <w:p w14:paraId="4CD8E032" w14:textId="77777777" w:rsidR="00503DD1" w:rsidRPr="00503DD1" w:rsidRDefault="00503DD1" w:rsidP="00503DD1">
      <w:pPr>
        <w:spacing w:before="120" w:after="120" w:line="300" w:lineRule="exact"/>
        <w:contextualSpacing/>
        <w:jc w:val="both"/>
        <w:rPr>
          <w:rFonts w:cstheme="minorHAnsi"/>
          <w:bCs/>
        </w:rPr>
      </w:pPr>
      <w:r w:rsidRPr="00503DD1">
        <w:rPr>
          <w:rFonts w:cstheme="minorHAnsi"/>
          <w:bCs/>
        </w:rPr>
        <w:t>La empresa “</w:t>
      </w:r>
      <w:proofErr w:type="spellStart"/>
      <w:r w:rsidRPr="00503DD1">
        <w:rPr>
          <w:rFonts w:cstheme="minorHAnsi"/>
          <w:bCs/>
        </w:rPr>
        <w:t>Lateralus</w:t>
      </w:r>
      <w:proofErr w:type="spellEnd"/>
      <w:r w:rsidRPr="00503DD1">
        <w:rPr>
          <w:rFonts w:cstheme="minorHAnsi"/>
          <w:bCs/>
        </w:rPr>
        <w:t xml:space="preserve"> S.A.” ha acordado una cláusula sobre horas de trabajo sindical con la organización sindical existente en ella (“Sindicato Unido de Trabajadores de </w:t>
      </w:r>
      <w:proofErr w:type="spellStart"/>
      <w:r w:rsidRPr="00503DD1">
        <w:rPr>
          <w:rFonts w:cstheme="minorHAnsi"/>
          <w:bCs/>
        </w:rPr>
        <w:t>Lateralus</w:t>
      </w:r>
      <w:proofErr w:type="spellEnd"/>
      <w:r w:rsidRPr="00503DD1">
        <w:rPr>
          <w:rFonts w:cstheme="minorHAnsi"/>
          <w:bCs/>
        </w:rPr>
        <w:t xml:space="preserve"> S.A.”). </w:t>
      </w:r>
    </w:p>
    <w:p w14:paraId="371DC9E9" w14:textId="77777777" w:rsidR="00503DD1" w:rsidRPr="00503DD1" w:rsidRDefault="00503DD1" w:rsidP="00503DD1">
      <w:pPr>
        <w:spacing w:before="120" w:after="120" w:line="300" w:lineRule="exact"/>
        <w:contextualSpacing/>
        <w:jc w:val="both"/>
        <w:rPr>
          <w:rFonts w:cstheme="minorHAnsi"/>
          <w:bCs/>
        </w:rPr>
      </w:pPr>
    </w:p>
    <w:p w14:paraId="0CD7D121" w14:textId="77777777" w:rsidR="00503DD1" w:rsidRPr="00503DD1" w:rsidRDefault="00503DD1" w:rsidP="00503DD1">
      <w:pPr>
        <w:spacing w:before="120" w:after="120" w:line="300" w:lineRule="exact"/>
        <w:contextualSpacing/>
        <w:jc w:val="both"/>
        <w:rPr>
          <w:rFonts w:cstheme="minorHAnsi"/>
          <w:bCs/>
        </w:rPr>
      </w:pPr>
      <w:r w:rsidRPr="00503DD1">
        <w:rPr>
          <w:rFonts w:cstheme="minorHAnsi"/>
          <w:bCs/>
        </w:rPr>
        <w:t>Esta cláusula se encuentra incorporada al instrumento colectivo celebrado entre la Empresa y el Sindicato con fecha 1 de enero de 2023.</w:t>
      </w:r>
    </w:p>
    <w:p w14:paraId="4E7E9E87" w14:textId="77777777" w:rsidR="00503DD1" w:rsidRPr="00503DD1" w:rsidRDefault="00503DD1" w:rsidP="00503DD1">
      <w:pPr>
        <w:spacing w:before="120" w:after="120" w:line="300" w:lineRule="exact"/>
        <w:contextualSpacing/>
        <w:jc w:val="both"/>
        <w:rPr>
          <w:rFonts w:cstheme="minorHAnsi"/>
          <w:bCs/>
        </w:rPr>
      </w:pPr>
    </w:p>
    <w:p w14:paraId="6A947C14" w14:textId="77777777" w:rsidR="00503DD1" w:rsidRPr="00503DD1" w:rsidRDefault="00503DD1" w:rsidP="00503DD1">
      <w:pPr>
        <w:spacing w:before="120" w:after="120" w:line="300" w:lineRule="exact"/>
        <w:contextualSpacing/>
        <w:jc w:val="both"/>
        <w:rPr>
          <w:rFonts w:cstheme="minorHAnsi"/>
          <w:bCs/>
        </w:rPr>
      </w:pPr>
      <w:r w:rsidRPr="00503DD1">
        <w:rPr>
          <w:rFonts w:cstheme="minorHAnsi"/>
          <w:bCs/>
        </w:rPr>
        <w:t>La cláusula señala textualmente lo siguiente:</w:t>
      </w:r>
    </w:p>
    <w:p w14:paraId="5D68FFB4" w14:textId="77777777" w:rsidR="00503DD1" w:rsidRPr="00503DD1" w:rsidRDefault="00503DD1" w:rsidP="00503DD1">
      <w:pPr>
        <w:spacing w:before="120" w:after="120" w:line="300" w:lineRule="exact"/>
        <w:contextualSpacing/>
        <w:jc w:val="both"/>
        <w:rPr>
          <w:rFonts w:cstheme="minorHAnsi"/>
          <w:bCs/>
        </w:rPr>
      </w:pPr>
    </w:p>
    <w:p w14:paraId="20268092" w14:textId="77777777" w:rsidR="00503DD1" w:rsidRPr="00503DD1" w:rsidRDefault="00503DD1" w:rsidP="00503DD1">
      <w:pPr>
        <w:spacing w:before="120" w:after="120" w:line="300" w:lineRule="exact"/>
        <w:ind w:left="567"/>
        <w:contextualSpacing/>
        <w:jc w:val="both"/>
        <w:rPr>
          <w:rFonts w:cstheme="minorHAnsi"/>
          <w:bCs/>
          <w:sz w:val="20"/>
          <w:szCs w:val="20"/>
        </w:rPr>
      </w:pPr>
      <w:r w:rsidRPr="00503DD1">
        <w:rPr>
          <w:rFonts w:cstheme="minorHAnsi"/>
          <w:bCs/>
          <w:sz w:val="20"/>
          <w:szCs w:val="20"/>
        </w:rPr>
        <w:t>“Horas de Trabajo Sindical en favor de los Dirigentes Sindicales.</w:t>
      </w:r>
    </w:p>
    <w:p w14:paraId="001F3543" w14:textId="77777777" w:rsidR="00503DD1" w:rsidRPr="00503DD1" w:rsidRDefault="00503DD1" w:rsidP="00503DD1">
      <w:pPr>
        <w:spacing w:before="120" w:after="120" w:line="300" w:lineRule="exact"/>
        <w:ind w:left="567"/>
        <w:contextualSpacing/>
        <w:jc w:val="both"/>
        <w:rPr>
          <w:rFonts w:cstheme="minorHAnsi"/>
          <w:bCs/>
          <w:sz w:val="20"/>
          <w:szCs w:val="20"/>
        </w:rPr>
      </w:pPr>
      <w:r w:rsidRPr="00503DD1">
        <w:rPr>
          <w:rFonts w:cstheme="minorHAnsi"/>
          <w:bCs/>
          <w:sz w:val="20"/>
          <w:szCs w:val="20"/>
        </w:rPr>
        <w:t>La Empresa otorgará a los dirigentes sindicales los permisos establecidos por la ley y pagará las remuneraciones y beneficios correspondientes a esos permisos.</w:t>
      </w:r>
    </w:p>
    <w:p w14:paraId="484B051C" w14:textId="77777777" w:rsidR="00503DD1" w:rsidRPr="00503DD1" w:rsidRDefault="00503DD1" w:rsidP="00503DD1">
      <w:pPr>
        <w:spacing w:before="120" w:after="120" w:line="300" w:lineRule="exact"/>
        <w:ind w:left="567"/>
        <w:contextualSpacing/>
        <w:jc w:val="both"/>
        <w:rPr>
          <w:rFonts w:cstheme="minorHAnsi"/>
          <w:bCs/>
          <w:sz w:val="20"/>
          <w:szCs w:val="20"/>
        </w:rPr>
      </w:pPr>
    </w:p>
    <w:p w14:paraId="010FDEBD" w14:textId="77777777" w:rsidR="00503DD1" w:rsidRPr="00503DD1" w:rsidRDefault="00503DD1" w:rsidP="00503DD1">
      <w:pPr>
        <w:spacing w:before="120" w:after="120" w:line="300" w:lineRule="exact"/>
        <w:ind w:left="567"/>
        <w:contextualSpacing/>
        <w:jc w:val="both"/>
        <w:rPr>
          <w:rFonts w:cstheme="minorHAnsi"/>
          <w:bCs/>
        </w:rPr>
      </w:pPr>
      <w:r w:rsidRPr="00503DD1">
        <w:rPr>
          <w:rFonts w:cstheme="minorHAnsi"/>
          <w:bCs/>
          <w:sz w:val="20"/>
          <w:szCs w:val="20"/>
        </w:rPr>
        <w:t>Así se procederá, también según la ley, respecto de las horas semanales que correspondan en el caso de los dirigentes de Federaciones, Confederaciones o Centrales”.</w:t>
      </w:r>
    </w:p>
    <w:p w14:paraId="58E0B92C" w14:textId="77777777" w:rsidR="00503DD1" w:rsidRPr="00503DD1" w:rsidRDefault="00503DD1" w:rsidP="00503DD1">
      <w:pPr>
        <w:spacing w:before="120" w:after="120" w:line="300" w:lineRule="exact"/>
        <w:contextualSpacing/>
        <w:jc w:val="both"/>
        <w:rPr>
          <w:rFonts w:cstheme="minorHAnsi"/>
          <w:bCs/>
        </w:rPr>
      </w:pPr>
    </w:p>
    <w:p w14:paraId="402CB5E3" w14:textId="77777777" w:rsidR="00503DD1" w:rsidRPr="00503DD1" w:rsidRDefault="00503DD1" w:rsidP="00503DD1">
      <w:pPr>
        <w:spacing w:before="120" w:after="120" w:line="300" w:lineRule="exact"/>
        <w:contextualSpacing/>
        <w:jc w:val="both"/>
        <w:rPr>
          <w:rFonts w:cstheme="minorHAnsi"/>
          <w:bCs/>
        </w:rPr>
      </w:pPr>
      <w:r w:rsidRPr="00503DD1">
        <w:rPr>
          <w:rFonts w:cstheme="minorHAnsi"/>
          <w:bCs/>
        </w:rPr>
        <w:t>Es del caso señalar que el Sindicato tiene 200 socios y 3 directores sindicales con derecho a fuero y horas de trabajo sindical.</w:t>
      </w:r>
    </w:p>
    <w:p w14:paraId="0E4A8FCC" w14:textId="77777777" w:rsidR="00503DD1" w:rsidRPr="00503DD1" w:rsidRDefault="00503DD1" w:rsidP="00503DD1">
      <w:pPr>
        <w:spacing w:before="120" w:after="120" w:line="300" w:lineRule="exact"/>
        <w:contextualSpacing/>
        <w:jc w:val="both"/>
        <w:rPr>
          <w:rFonts w:cstheme="minorHAnsi"/>
          <w:bCs/>
        </w:rPr>
      </w:pPr>
    </w:p>
    <w:p w14:paraId="5D7B3FC7" w14:textId="77777777" w:rsidR="00503DD1" w:rsidRPr="00503DD1" w:rsidRDefault="00503DD1" w:rsidP="00503DD1">
      <w:pPr>
        <w:spacing w:before="120" w:after="120" w:line="300" w:lineRule="exact"/>
        <w:contextualSpacing/>
        <w:jc w:val="both"/>
        <w:rPr>
          <w:rFonts w:cstheme="minorHAnsi"/>
          <w:bCs/>
        </w:rPr>
      </w:pPr>
      <w:r w:rsidRPr="00503DD1">
        <w:rPr>
          <w:rFonts w:cstheme="minorHAnsi"/>
          <w:bCs/>
        </w:rPr>
        <w:lastRenderedPageBreak/>
        <w:t>Desde la vigencia del instrumento colectivo, los 3 directores del Sindicato han hecho uso de las horas de trabajo sindical excediendo las 6 horas semanales a que tienen derecho conforme el artículo 249 del Código del Trabajo y su empleador les ha pagado todas sus remuneraciones y beneficios (sin efectuar descuento alguno respecto de las horas que exceden del permiso legal básico).</w:t>
      </w:r>
    </w:p>
    <w:p w14:paraId="5C4A97BF" w14:textId="77777777" w:rsidR="00503DD1" w:rsidRPr="00503DD1" w:rsidRDefault="00503DD1" w:rsidP="00503DD1">
      <w:pPr>
        <w:spacing w:before="120" w:after="120" w:line="300" w:lineRule="exact"/>
        <w:contextualSpacing/>
        <w:jc w:val="both"/>
        <w:rPr>
          <w:rFonts w:cstheme="minorHAnsi"/>
          <w:bCs/>
        </w:rPr>
      </w:pPr>
    </w:p>
    <w:p w14:paraId="34AC6E27" w14:textId="77777777" w:rsidR="00503DD1" w:rsidRPr="00503DD1" w:rsidRDefault="00503DD1" w:rsidP="00503DD1">
      <w:pPr>
        <w:spacing w:before="120" w:after="120" w:line="300" w:lineRule="exact"/>
        <w:contextualSpacing/>
        <w:jc w:val="both"/>
        <w:rPr>
          <w:rFonts w:cstheme="minorHAnsi"/>
          <w:bCs/>
        </w:rPr>
      </w:pPr>
      <w:r w:rsidRPr="00503DD1">
        <w:rPr>
          <w:rFonts w:cstheme="minorHAnsi"/>
          <w:bCs/>
        </w:rPr>
        <w:t>En el mes de septiembre de 2024, el empleador le envió una carta a cada uno de los directores sindicales indicándoles que a contar del mes de octubre: “aplicará estrictamente la cláusula convenida colectivamente sobre horas de trabajo sindical, y, en consecuencia, no pagará remuneraciones ni beneficios respecto del tiempo que exceda del permiso legal básico”.</w:t>
      </w:r>
    </w:p>
    <w:p w14:paraId="560A99FF" w14:textId="77777777" w:rsidR="00503DD1" w:rsidRPr="00503DD1" w:rsidRDefault="00503DD1" w:rsidP="00503DD1">
      <w:pPr>
        <w:spacing w:before="120" w:after="120" w:line="300" w:lineRule="exact"/>
        <w:contextualSpacing/>
        <w:jc w:val="both"/>
        <w:rPr>
          <w:rFonts w:cstheme="minorHAnsi"/>
          <w:bCs/>
        </w:rPr>
      </w:pPr>
    </w:p>
    <w:p w14:paraId="6FC29E94" w14:textId="77777777" w:rsidR="00503DD1" w:rsidRPr="00503DD1" w:rsidRDefault="00503DD1" w:rsidP="00503DD1">
      <w:pPr>
        <w:spacing w:before="120" w:after="120" w:line="300" w:lineRule="exact"/>
        <w:contextualSpacing/>
        <w:jc w:val="both"/>
        <w:rPr>
          <w:rFonts w:cstheme="minorHAnsi"/>
          <w:bCs/>
        </w:rPr>
      </w:pPr>
      <w:r w:rsidRPr="00503DD1">
        <w:rPr>
          <w:rFonts w:cstheme="minorHAnsi"/>
          <w:bCs/>
        </w:rPr>
        <w:t>Los directores sindicales le responden a la Empresa que no cuenta con su consentimiento para modificar el contenido de la cláusula colectiva y, por ello: “</w:t>
      </w:r>
      <w:proofErr w:type="spellStart"/>
      <w:r w:rsidRPr="00503DD1">
        <w:rPr>
          <w:rFonts w:cstheme="minorHAnsi"/>
          <w:bCs/>
        </w:rPr>
        <w:t>Lateralus</w:t>
      </w:r>
      <w:proofErr w:type="spellEnd"/>
      <w:r w:rsidRPr="00503DD1">
        <w:rPr>
          <w:rFonts w:cstheme="minorHAnsi"/>
          <w:bCs/>
        </w:rPr>
        <w:t xml:space="preserve"> S.A. deberá continuar pagando remuneraciones y beneficios por todas las horas de trabajo sindical que los directores utilicen en el mes calendario sin que sea aplicable al caso que nos ocupa el límite legal”. </w:t>
      </w:r>
    </w:p>
    <w:p w14:paraId="184A96E5" w14:textId="77777777" w:rsidR="00503DD1" w:rsidRPr="00503DD1" w:rsidRDefault="00503DD1" w:rsidP="00503DD1">
      <w:pPr>
        <w:spacing w:before="120" w:after="120" w:line="300" w:lineRule="exact"/>
        <w:contextualSpacing/>
        <w:jc w:val="both"/>
        <w:rPr>
          <w:rFonts w:cstheme="minorHAnsi"/>
          <w:bCs/>
        </w:rPr>
      </w:pPr>
    </w:p>
    <w:p w14:paraId="008B7DE0" w14:textId="77777777" w:rsidR="00503DD1" w:rsidRPr="00503DD1" w:rsidRDefault="00503DD1" w:rsidP="00503DD1">
      <w:pPr>
        <w:spacing w:before="120" w:after="120" w:line="300" w:lineRule="exact"/>
        <w:contextualSpacing/>
        <w:jc w:val="both"/>
        <w:rPr>
          <w:rFonts w:cstheme="minorHAnsi"/>
          <w:bCs/>
        </w:rPr>
      </w:pPr>
      <w:r w:rsidRPr="00503DD1">
        <w:rPr>
          <w:rFonts w:cstheme="minorHAnsi"/>
          <w:bCs/>
        </w:rPr>
        <w:t xml:space="preserve">Además, en la misma carta, señalan que han denunciado a </w:t>
      </w:r>
      <w:proofErr w:type="spellStart"/>
      <w:r w:rsidRPr="00503DD1">
        <w:rPr>
          <w:rFonts w:cstheme="minorHAnsi"/>
          <w:bCs/>
        </w:rPr>
        <w:t>Lateralus</w:t>
      </w:r>
      <w:proofErr w:type="spellEnd"/>
      <w:r w:rsidRPr="00503DD1">
        <w:rPr>
          <w:rFonts w:cstheme="minorHAnsi"/>
          <w:bCs/>
        </w:rPr>
        <w:t xml:space="preserve"> S.A. ante la Inspección del Trabajo por prácticas antisindicales.</w:t>
      </w:r>
    </w:p>
    <w:p w14:paraId="0268B413" w14:textId="77777777" w:rsidR="00503DD1" w:rsidRPr="00503DD1" w:rsidRDefault="00503DD1" w:rsidP="00503DD1">
      <w:pPr>
        <w:spacing w:before="120" w:after="120" w:line="300" w:lineRule="exact"/>
        <w:contextualSpacing/>
        <w:jc w:val="both"/>
        <w:rPr>
          <w:rFonts w:cstheme="minorHAnsi"/>
          <w:bCs/>
        </w:rPr>
      </w:pPr>
      <w:r w:rsidRPr="00503DD1">
        <w:rPr>
          <w:rFonts w:cstheme="minorHAnsi"/>
          <w:bCs/>
        </w:rPr>
        <w:t xml:space="preserve"> </w:t>
      </w:r>
    </w:p>
    <w:p w14:paraId="05D0EB23" w14:textId="77777777" w:rsidR="00503DD1" w:rsidRDefault="00503DD1" w:rsidP="00503DD1">
      <w:pPr>
        <w:spacing w:before="120" w:after="120" w:line="300" w:lineRule="exact"/>
        <w:contextualSpacing/>
        <w:jc w:val="both"/>
        <w:rPr>
          <w:rFonts w:cstheme="minorHAnsi"/>
          <w:bCs/>
        </w:rPr>
      </w:pPr>
      <w:r w:rsidRPr="00503DD1">
        <w:rPr>
          <w:rFonts w:cstheme="minorHAnsi"/>
          <w:bCs/>
        </w:rPr>
        <w:t>Preguntas:</w:t>
      </w:r>
    </w:p>
    <w:p w14:paraId="473A85D9" w14:textId="77777777" w:rsidR="00503DD1" w:rsidRPr="00503DD1" w:rsidRDefault="00503DD1" w:rsidP="00503DD1">
      <w:pPr>
        <w:spacing w:before="120" w:after="120" w:line="300" w:lineRule="exact"/>
        <w:contextualSpacing/>
        <w:jc w:val="both"/>
        <w:rPr>
          <w:rFonts w:cstheme="minorHAnsi"/>
          <w:bCs/>
        </w:rPr>
      </w:pPr>
    </w:p>
    <w:p w14:paraId="3AD95F76" w14:textId="2EA06B4F" w:rsidR="00503DD1" w:rsidRDefault="00503DD1" w:rsidP="00503DD1">
      <w:pPr>
        <w:pStyle w:val="ListParagraph"/>
        <w:numPr>
          <w:ilvl w:val="0"/>
          <w:numId w:val="13"/>
        </w:numPr>
        <w:spacing w:before="120" w:after="120" w:line="300" w:lineRule="exact"/>
        <w:jc w:val="both"/>
        <w:rPr>
          <w:rFonts w:cstheme="minorHAnsi"/>
          <w:bCs/>
        </w:rPr>
      </w:pPr>
      <w:r w:rsidRPr="00503DD1">
        <w:rPr>
          <w:rFonts w:cstheme="minorHAnsi"/>
          <w:bCs/>
        </w:rPr>
        <w:t>Señale fundadamente la interpretación correcta que cabe efectuar respecto de la cláusula colectiva sobre horas de trabajo sindical. Para este efecto, deberá analizar la jurisprudencia administrativa y judicial vigentes respecto de la materia y contestar derechamente cuál de las partes ha interpretado correctamente la cláusula transcrita</w:t>
      </w:r>
      <w:r>
        <w:rPr>
          <w:rFonts w:cstheme="minorHAnsi"/>
          <w:bCs/>
        </w:rPr>
        <w:t xml:space="preserve"> (1 punto)</w:t>
      </w:r>
    </w:p>
    <w:p w14:paraId="40CEC197" w14:textId="77777777" w:rsidR="00EE702B" w:rsidRDefault="00EE702B" w:rsidP="00EE702B">
      <w:pPr>
        <w:pStyle w:val="ListParagraph"/>
        <w:spacing w:before="120" w:after="120" w:line="300" w:lineRule="exact"/>
        <w:jc w:val="both"/>
        <w:rPr>
          <w:rFonts w:cstheme="minorHAnsi"/>
          <w:bCs/>
        </w:rPr>
      </w:pPr>
    </w:p>
    <w:tbl>
      <w:tblPr>
        <w:tblStyle w:val="TableGrid"/>
        <w:tblW w:w="0" w:type="auto"/>
        <w:tblInd w:w="720" w:type="dxa"/>
        <w:tblLook w:val="04A0" w:firstRow="1" w:lastRow="0" w:firstColumn="1" w:lastColumn="0" w:noHBand="0" w:noVBand="1"/>
      </w:tblPr>
      <w:tblGrid>
        <w:gridCol w:w="8108"/>
      </w:tblGrid>
      <w:tr w:rsidR="00EE702B" w14:paraId="0460672E" w14:textId="77777777" w:rsidTr="00EE702B">
        <w:tc>
          <w:tcPr>
            <w:tcW w:w="8828" w:type="dxa"/>
          </w:tcPr>
          <w:p w14:paraId="5EDFEF40" w14:textId="03FC3B18" w:rsidR="00EE702B" w:rsidRDefault="00791E43" w:rsidP="00EE702B">
            <w:pPr>
              <w:pStyle w:val="ListParagraph"/>
              <w:spacing w:before="120" w:after="120" w:line="300" w:lineRule="exact"/>
              <w:ind w:left="23"/>
              <w:jc w:val="both"/>
              <w:rPr>
                <w:rFonts w:cstheme="minorHAnsi"/>
                <w:bCs/>
                <w:color w:val="1F497D" w:themeColor="text2"/>
              </w:rPr>
            </w:pPr>
            <w:r>
              <w:rPr>
                <w:rFonts w:cstheme="minorHAnsi"/>
                <w:bCs/>
                <w:color w:val="1F497D" w:themeColor="text2"/>
              </w:rPr>
              <w:t xml:space="preserve">Se considera como “desarrollo </w:t>
            </w:r>
            <w:r w:rsidR="006A32EA">
              <w:rPr>
                <w:rFonts w:cstheme="minorHAnsi"/>
                <w:bCs/>
                <w:color w:val="1F497D" w:themeColor="text2"/>
              </w:rPr>
              <w:t xml:space="preserve">correcto” </w:t>
            </w:r>
            <w:r>
              <w:rPr>
                <w:rFonts w:cstheme="minorHAnsi"/>
                <w:bCs/>
                <w:color w:val="1F497D" w:themeColor="text2"/>
              </w:rPr>
              <w:t>los dos caminos que se han reconocido en el tratamiento (sobre todo jurisprudencial)</w:t>
            </w:r>
            <w:r w:rsidR="006A32EA">
              <w:rPr>
                <w:rFonts w:cstheme="minorHAnsi"/>
                <w:bCs/>
                <w:color w:val="1F497D" w:themeColor="text2"/>
              </w:rPr>
              <w:t xml:space="preserve">: es decir, se admite el desarrollo de esta respuesta tanto </w:t>
            </w:r>
            <w:r>
              <w:rPr>
                <w:rFonts w:cstheme="minorHAnsi"/>
                <w:bCs/>
                <w:color w:val="1F497D" w:themeColor="text2"/>
              </w:rPr>
              <w:t xml:space="preserve">bajo un </w:t>
            </w:r>
            <w:r w:rsidR="006A32EA">
              <w:rPr>
                <w:rFonts w:cstheme="minorHAnsi"/>
                <w:bCs/>
                <w:color w:val="1F497D" w:themeColor="text2"/>
              </w:rPr>
              <w:t>criterio formal, que exige el acuerdo escrito y expreso; o bien, aquel desformalizado: basta el acuerdo sostenido entre las partes en el tiempo (parte de la jurisprudencia judicial más la postura de la DT).</w:t>
            </w:r>
          </w:p>
          <w:p w14:paraId="6FDDBAB8" w14:textId="77777777" w:rsidR="006A32EA" w:rsidRDefault="006A32EA" w:rsidP="00EE702B">
            <w:pPr>
              <w:pStyle w:val="ListParagraph"/>
              <w:spacing w:before="120" w:after="120" w:line="300" w:lineRule="exact"/>
              <w:ind w:left="23"/>
              <w:jc w:val="both"/>
              <w:rPr>
                <w:rFonts w:cstheme="minorHAnsi"/>
                <w:bCs/>
                <w:color w:val="1F497D" w:themeColor="text2"/>
              </w:rPr>
            </w:pPr>
          </w:p>
          <w:p w14:paraId="4CB38759" w14:textId="0022F550" w:rsidR="006A32EA" w:rsidRDefault="006A32EA" w:rsidP="00EE702B">
            <w:pPr>
              <w:pStyle w:val="ListParagraph"/>
              <w:spacing w:before="120" w:after="120" w:line="300" w:lineRule="exact"/>
              <w:ind w:left="23"/>
              <w:jc w:val="both"/>
              <w:rPr>
                <w:rFonts w:cstheme="minorHAnsi"/>
                <w:bCs/>
                <w:color w:val="1F497D" w:themeColor="text2"/>
              </w:rPr>
            </w:pPr>
            <w:r>
              <w:rPr>
                <w:rFonts w:cstheme="minorHAnsi"/>
                <w:bCs/>
                <w:color w:val="1F497D" w:themeColor="text2"/>
              </w:rPr>
              <w:t>Como referencias:</w:t>
            </w:r>
          </w:p>
          <w:p w14:paraId="54E591C7" w14:textId="77777777" w:rsidR="006A32EA" w:rsidRPr="00A13ABE" w:rsidRDefault="006A32EA" w:rsidP="00EE702B">
            <w:pPr>
              <w:pStyle w:val="ListParagraph"/>
              <w:spacing w:before="120" w:after="120" w:line="300" w:lineRule="exact"/>
              <w:ind w:left="23"/>
              <w:jc w:val="both"/>
              <w:rPr>
                <w:rFonts w:cstheme="minorHAnsi"/>
                <w:bCs/>
                <w:color w:val="1F497D" w:themeColor="text2"/>
              </w:rPr>
            </w:pPr>
          </w:p>
          <w:p w14:paraId="6CCAAB22" w14:textId="6E283FE3" w:rsidR="00A13ABE" w:rsidRDefault="00EE702B" w:rsidP="006A32EA">
            <w:pPr>
              <w:pStyle w:val="ListParagraph"/>
              <w:numPr>
                <w:ilvl w:val="0"/>
                <w:numId w:val="15"/>
              </w:numPr>
              <w:spacing w:before="120" w:after="120" w:line="300" w:lineRule="exact"/>
              <w:jc w:val="both"/>
              <w:rPr>
                <w:rFonts w:cstheme="minorHAnsi"/>
                <w:bCs/>
                <w:color w:val="1F497D" w:themeColor="text2"/>
              </w:rPr>
            </w:pPr>
            <w:r w:rsidRPr="00A13ABE">
              <w:rPr>
                <w:rFonts w:cstheme="minorHAnsi"/>
                <w:bCs/>
                <w:color w:val="1F497D" w:themeColor="text2"/>
              </w:rPr>
              <w:t xml:space="preserve">Criterio judicial: </w:t>
            </w:r>
            <w:r w:rsidR="00A13ABE" w:rsidRPr="00A13ABE">
              <w:rPr>
                <w:rFonts w:cstheme="minorHAnsi"/>
                <w:bCs/>
                <w:color w:val="1F497D" w:themeColor="text2"/>
              </w:rPr>
              <w:t xml:space="preserve">existe discrepancia. Se sostiene, por una parte, la validez de este tipo de acuerdos </w:t>
            </w:r>
            <w:r w:rsidR="00A13ABE" w:rsidRPr="00A13ABE">
              <w:rPr>
                <w:rFonts w:cstheme="minorHAnsi"/>
                <w:bCs/>
                <w:i/>
                <w:iCs/>
                <w:color w:val="1F497D" w:themeColor="text2"/>
              </w:rPr>
              <w:t>tácitos</w:t>
            </w:r>
            <w:r w:rsidR="00A13ABE" w:rsidRPr="00A13ABE">
              <w:rPr>
                <w:rFonts w:cstheme="minorHAnsi"/>
                <w:bCs/>
                <w:color w:val="1F497D" w:themeColor="text2"/>
              </w:rPr>
              <w:t xml:space="preserve"> al tratarse de materias que las partes pueden acordar libremente. Este criterio contrasta con otros fallos (ambos de Corte Suprema) en el que vinculan cualquier acuerdo de carácter colectivo (sindicato y empleadores) al elemento formal o solemne: escrituración. De ese modo, la jurisprudencia judicial ha sido variable.</w:t>
            </w:r>
          </w:p>
          <w:p w14:paraId="6BE93F24" w14:textId="77777777" w:rsidR="006A32EA" w:rsidRPr="00A13ABE" w:rsidRDefault="006A32EA" w:rsidP="006A32EA">
            <w:pPr>
              <w:pStyle w:val="ListParagraph"/>
              <w:spacing w:before="120" w:after="120" w:line="300" w:lineRule="exact"/>
              <w:ind w:left="383"/>
              <w:jc w:val="both"/>
              <w:rPr>
                <w:rFonts w:cstheme="minorHAnsi"/>
                <w:bCs/>
                <w:color w:val="1F497D" w:themeColor="text2"/>
              </w:rPr>
            </w:pPr>
          </w:p>
          <w:p w14:paraId="6AF5B9EE" w14:textId="1A15B34E" w:rsidR="00A13ABE" w:rsidRDefault="00A13ABE" w:rsidP="00A13ABE">
            <w:pPr>
              <w:pStyle w:val="ListParagraph"/>
              <w:spacing w:before="120" w:after="120" w:line="300" w:lineRule="exact"/>
              <w:ind w:left="0"/>
              <w:jc w:val="both"/>
              <w:rPr>
                <w:rFonts w:cstheme="minorHAnsi"/>
                <w:bCs/>
                <w:color w:val="1F497D" w:themeColor="text2"/>
              </w:rPr>
            </w:pPr>
            <w:r w:rsidRPr="00A13ABE">
              <w:rPr>
                <w:rFonts w:cstheme="minorHAnsi"/>
                <w:bCs/>
                <w:color w:val="1F497D" w:themeColor="text2"/>
              </w:rPr>
              <w:lastRenderedPageBreak/>
              <w:t xml:space="preserve">b. Criterio administrativo: uniforme y sostenidamente ha planteado la validez de los acuerdos </w:t>
            </w:r>
            <w:proofErr w:type="spellStart"/>
            <w:r w:rsidRPr="00A13ABE">
              <w:rPr>
                <w:rFonts w:cstheme="minorHAnsi"/>
                <w:bCs/>
                <w:color w:val="1F497D" w:themeColor="text2"/>
              </w:rPr>
              <w:t>desformalizados</w:t>
            </w:r>
            <w:proofErr w:type="spellEnd"/>
            <w:r w:rsidRPr="00A13ABE">
              <w:rPr>
                <w:rFonts w:cstheme="minorHAnsi"/>
                <w:bCs/>
                <w:color w:val="1F497D" w:themeColor="text2"/>
              </w:rPr>
              <w:t xml:space="preserve"> (tácitos) en materia de trabajo sindical, de modo que bastaría para esta entidad la corroboración de una práctica habitual entre las partes </w:t>
            </w:r>
          </w:p>
          <w:p w14:paraId="21434435" w14:textId="77777777" w:rsidR="00A13ABE" w:rsidRDefault="00A13ABE" w:rsidP="00A13ABE">
            <w:pPr>
              <w:pStyle w:val="ListParagraph"/>
              <w:spacing w:before="120" w:after="120" w:line="300" w:lineRule="exact"/>
              <w:ind w:left="0"/>
              <w:jc w:val="both"/>
              <w:rPr>
                <w:rFonts w:cstheme="minorHAnsi"/>
                <w:bCs/>
                <w:color w:val="1F497D" w:themeColor="text2"/>
              </w:rPr>
            </w:pPr>
          </w:p>
          <w:p w14:paraId="1699842F" w14:textId="77777777" w:rsidR="00A13ABE" w:rsidRDefault="00A13ABE" w:rsidP="00A13ABE">
            <w:pPr>
              <w:pStyle w:val="ListParagraph"/>
              <w:spacing w:before="120" w:after="120" w:line="300" w:lineRule="exact"/>
              <w:ind w:left="0"/>
              <w:jc w:val="both"/>
              <w:rPr>
                <w:rFonts w:cstheme="minorHAnsi"/>
                <w:bCs/>
                <w:color w:val="1F497D" w:themeColor="text2"/>
              </w:rPr>
            </w:pPr>
            <w:r>
              <w:rPr>
                <w:rFonts w:cstheme="minorHAnsi"/>
                <w:bCs/>
                <w:color w:val="1F497D" w:themeColor="text2"/>
              </w:rPr>
              <w:t xml:space="preserve">Reconocido lo anterior, podría fundarse una respuesta reconociendo el sentido formal del “acuerdo” (tesis más restringida de la CS) y negar la posibilidad del acuerdo tácito. En su caso, fundado en la jurisprudencia administrativa y judicial referida, establecer la pertinencia de una regulación meramente tácita. </w:t>
            </w:r>
          </w:p>
          <w:p w14:paraId="7383DA1A" w14:textId="77777777" w:rsidR="00A13ABE" w:rsidRDefault="00A13ABE" w:rsidP="00A13ABE">
            <w:pPr>
              <w:pStyle w:val="ListParagraph"/>
              <w:spacing w:before="120" w:after="120" w:line="300" w:lineRule="exact"/>
              <w:ind w:left="0"/>
              <w:jc w:val="both"/>
              <w:rPr>
                <w:rFonts w:cstheme="minorHAnsi"/>
                <w:bCs/>
                <w:color w:val="1F497D" w:themeColor="text2"/>
              </w:rPr>
            </w:pPr>
          </w:p>
          <w:p w14:paraId="3F10D8F8" w14:textId="50E1C3B0" w:rsidR="00EE702B" w:rsidRPr="00A13ABE" w:rsidRDefault="00A13ABE" w:rsidP="00EE702B">
            <w:pPr>
              <w:pStyle w:val="ListParagraph"/>
              <w:spacing w:before="120" w:after="120" w:line="300" w:lineRule="exact"/>
              <w:ind w:left="0"/>
              <w:jc w:val="both"/>
              <w:rPr>
                <w:rFonts w:cstheme="minorHAnsi"/>
                <w:bCs/>
                <w:color w:val="1F497D" w:themeColor="text2"/>
              </w:rPr>
            </w:pPr>
            <w:r>
              <w:rPr>
                <w:rFonts w:cstheme="minorHAnsi"/>
                <w:bCs/>
                <w:color w:val="1F497D" w:themeColor="text2"/>
              </w:rPr>
              <w:t>Para efectos de lo preguntado, la última tesis (la de reconocer la validez del acuerdo tácito por sobre cualquier formalidad) se aviene, a su vez, a los principios y protección asociada con la libertad sindical y la autonomía que se debe reconocer a las partes dentro de los procesos de relacionamiento.</w:t>
            </w:r>
          </w:p>
        </w:tc>
      </w:tr>
    </w:tbl>
    <w:p w14:paraId="3FFD78AE" w14:textId="77777777" w:rsidR="00EE702B" w:rsidRPr="00503DD1" w:rsidRDefault="00EE702B" w:rsidP="00EE702B">
      <w:pPr>
        <w:pStyle w:val="ListParagraph"/>
        <w:spacing w:before="120" w:after="120" w:line="300" w:lineRule="exact"/>
        <w:jc w:val="both"/>
        <w:rPr>
          <w:rFonts w:cstheme="minorHAnsi"/>
          <w:bCs/>
        </w:rPr>
      </w:pPr>
    </w:p>
    <w:p w14:paraId="0FE92933" w14:textId="67E1C988" w:rsidR="00503DD1" w:rsidRPr="00503DD1" w:rsidRDefault="00503DD1" w:rsidP="00503DD1">
      <w:pPr>
        <w:pStyle w:val="ListParagraph"/>
        <w:numPr>
          <w:ilvl w:val="0"/>
          <w:numId w:val="13"/>
        </w:numPr>
        <w:spacing w:before="120" w:after="120" w:line="300" w:lineRule="exact"/>
        <w:jc w:val="both"/>
        <w:rPr>
          <w:rFonts w:cstheme="minorHAnsi"/>
          <w:bCs/>
        </w:rPr>
      </w:pPr>
      <w:r w:rsidRPr="00503DD1">
        <w:rPr>
          <w:rFonts w:cstheme="minorHAnsi"/>
          <w:bCs/>
        </w:rPr>
        <w:t xml:space="preserve">Suponga, ahora, que no había cláusula alguna pactada colectivamente entre </w:t>
      </w:r>
      <w:proofErr w:type="spellStart"/>
      <w:r w:rsidRPr="00503DD1">
        <w:rPr>
          <w:rFonts w:cstheme="minorHAnsi"/>
          <w:bCs/>
        </w:rPr>
        <w:t>Lateralus</w:t>
      </w:r>
      <w:proofErr w:type="spellEnd"/>
      <w:r w:rsidRPr="00503DD1">
        <w:rPr>
          <w:rFonts w:cstheme="minorHAnsi"/>
          <w:bCs/>
        </w:rPr>
        <w:t xml:space="preserve"> S.A. y el Sindicato sobre horas de trabajo sindical, aunque la Empresa, en la práctica, ha aplicado la regla del artículo 249 del Código del Trabajo (6 horas semanales y financiamiento sindical) del mismo modo que la cláusula colectiva, esto es: sin el límite legal de las 6 horas semanales y financiando la Empresa el tiempo destinado a la actividad sindical</w:t>
      </w:r>
      <w:r>
        <w:rPr>
          <w:rFonts w:cstheme="minorHAnsi"/>
          <w:bCs/>
        </w:rPr>
        <w:t xml:space="preserve"> </w:t>
      </w:r>
    </w:p>
    <w:p w14:paraId="7EDE3D00" w14:textId="77777777" w:rsidR="00503DD1" w:rsidRPr="00503DD1" w:rsidRDefault="00503DD1" w:rsidP="00503DD1">
      <w:pPr>
        <w:spacing w:before="120" w:after="120" w:line="300" w:lineRule="exact"/>
        <w:contextualSpacing/>
        <w:jc w:val="both"/>
        <w:rPr>
          <w:rFonts w:cstheme="minorHAnsi"/>
          <w:bCs/>
        </w:rPr>
      </w:pPr>
    </w:p>
    <w:p w14:paraId="2ED72109" w14:textId="77777777" w:rsidR="00503DD1" w:rsidRPr="00503DD1" w:rsidRDefault="00503DD1" w:rsidP="00503DD1">
      <w:pPr>
        <w:spacing w:before="120" w:after="120" w:line="300" w:lineRule="exact"/>
        <w:ind w:firstLine="708"/>
        <w:contextualSpacing/>
        <w:jc w:val="both"/>
        <w:rPr>
          <w:rFonts w:cstheme="minorHAnsi"/>
          <w:bCs/>
        </w:rPr>
      </w:pPr>
      <w:r w:rsidRPr="00503DD1">
        <w:rPr>
          <w:rFonts w:cstheme="minorHAnsi"/>
          <w:bCs/>
        </w:rPr>
        <w:t>En este caso: ¿es aplicable la misma solución prevista para la pregunta 1? O bien:</w:t>
      </w:r>
    </w:p>
    <w:p w14:paraId="0E1B2FD0" w14:textId="77777777" w:rsidR="00503DD1" w:rsidRPr="00503DD1" w:rsidRDefault="00503DD1" w:rsidP="00503DD1">
      <w:pPr>
        <w:spacing w:before="120" w:after="120" w:line="300" w:lineRule="exact"/>
        <w:contextualSpacing/>
        <w:jc w:val="both"/>
        <w:rPr>
          <w:rFonts w:cstheme="minorHAnsi"/>
          <w:bCs/>
        </w:rPr>
      </w:pPr>
    </w:p>
    <w:p w14:paraId="0CC1EC34" w14:textId="227BCA2D" w:rsidR="005733FB" w:rsidRDefault="00503DD1" w:rsidP="00503DD1">
      <w:pPr>
        <w:spacing w:before="120" w:after="120" w:line="300" w:lineRule="exact"/>
        <w:ind w:left="709"/>
        <w:contextualSpacing/>
        <w:jc w:val="both"/>
        <w:rPr>
          <w:rFonts w:cstheme="minorHAnsi"/>
          <w:bCs/>
        </w:rPr>
      </w:pPr>
      <w:r w:rsidRPr="00503DD1">
        <w:rPr>
          <w:rFonts w:cstheme="minorHAnsi"/>
          <w:bCs/>
        </w:rPr>
        <w:t>¿es necesario efectuar distinciones y modificar el razonamiento que justifica una u otra decisión?</w:t>
      </w:r>
      <w:r>
        <w:rPr>
          <w:rFonts w:cstheme="minorHAnsi"/>
          <w:bCs/>
        </w:rPr>
        <w:t xml:space="preserve"> (1 punto)</w:t>
      </w:r>
    </w:p>
    <w:p w14:paraId="289B002D" w14:textId="77777777" w:rsidR="006A32EA" w:rsidRDefault="006A32EA" w:rsidP="00503DD1">
      <w:pPr>
        <w:spacing w:before="120" w:after="120" w:line="300" w:lineRule="exact"/>
        <w:ind w:left="709"/>
        <w:contextualSpacing/>
        <w:jc w:val="both"/>
        <w:rPr>
          <w:rFonts w:cstheme="minorHAnsi"/>
          <w:bCs/>
        </w:rPr>
      </w:pPr>
    </w:p>
    <w:tbl>
      <w:tblPr>
        <w:tblStyle w:val="TableGrid"/>
        <w:tblW w:w="0" w:type="auto"/>
        <w:tblInd w:w="709" w:type="dxa"/>
        <w:tblLook w:val="04A0" w:firstRow="1" w:lastRow="0" w:firstColumn="1" w:lastColumn="0" w:noHBand="0" w:noVBand="1"/>
      </w:tblPr>
      <w:tblGrid>
        <w:gridCol w:w="8119"/>
      </w:tblGrid>
      <w:tr w:rsidR="006A32EA" w14:paraId="3D71F23B" w14:textId="77777777" w:rsidTr="006A32EA">
        <w:tc>
          <w:tcPr>
            <w:tcW w:w="8828" w:type="dxa"/>
          </w:tcPr>
          <w:p w14:paraId="3ADFB990" w14:textId="77777777" w:rsidR="006A32EA" w:rsidRDefault="006A32EA" w:rsidP="00503DD1">
            <w:pPr>
              <w:spacing w:before="120" w:after="120" w:line="300" w:lineRule="exact"/>
              <w:contextualSpacing/>
              <w:jc w:val="both"/>
              <w:rPr>
                <w:rFonts w:cstheme="minorHAnsi"/>
                <w:bCs/>
                <w:color w:val="1F497D" w:themeColor="text2"/>
              </w:rPr>
            </w:pPr>
            <w:r>
              <w:rPr>
                <w:rFonts w:cstheme="minorHAnsi"/>
                <w:bCs/>
                <w:color w:val="1F497D" w:themeColor="text2"/>
              </w:rPr>
              <w:t>Esta respuesta es tributaria de la anterior. Parte de la base de si se reconoce o no se reconoce el acuerdo tácito.</w:t>
            </w:r>
          </w:p>
          <w:p w14:paraId="7C54614C" w14:textId="77777777" w:rsidR="006A32EA" w:rsidRDefault="006A32EA" w:rsidP="00503DD1">
            <w:pPr>
              <w:spacing w:before="120" w:after="120" w:line="300" w:lineRule="exact"/>
              <w:contextualSpacing/>
              <w:jc w:val="both"/>
              <w:rPr>
                <w:rFonts w:cstheme="minorHAnsi"/>
                <w:bCs/>
                <w:color w:val="1F497D" w:themeColor="text2"/>
              </w:rPr>
            </w:pPr>
          </w:p>
          <w:p w14:paraId="72BBE065" w14:textId="77777777" w:rsidR="006A32EA" w:rsidRDefault="006A32EA" w:rsidP="00503DD1">
            <w:pPr>
              <w:spacing w:before="120" w:after="120" w:line="300" w:lineRule="exact"/>
              <w:contextualSpacing/>
              <w:jc w:val="both"/>
              <w:rPr>
                <w:rFonts w:cstheme="minorHAnsi"/>
                <w:bCs/>
                <w:color w:val="1F497D" w:themeColor="text2"/>
              </w:rPr>
            </w:pPr>
            <w:r>
              <w:rPr>
                <w:rFonts w:cstheme="minorHAnsi"/>
                <w:bCs/>
                <w:color w:val="1F497D" w:themeColor="text2"/>
              </w:rPr>
              <w:t>Se puede seguir la posición formalista, indicando que el acuerdo no puede reconocerse al no constar por escrito.</w:t>
            </w:r>
          </w:p>
          <w:p w14:paraId="08BB7AF2" w14:textId="77777777" w:rsidR="006A32EA" w:rsidRDefault="006A32EA" w:rsidP="00503DD1">
            <w:pPr>
              <w:spacing w:before="120" w:after="120" w:line="300" w:lineRule="exact"/>
              <w:contextualSpacing/>
              <w:jc w:val="both"/>
              <w:rPr>
                <w:rFonts w:cstheme="minorHAnsi"/>
                <w:bCs/>
                <w:color w:val="1F497D" w:themeColor="text2"/>
              </w:rPr>
            </w:pPr>
          </w:p>
          <w:p w14:paraId="4D833415" w14:textId="1E7918D6" w:rsidR="006A32EA" w:rsidRPr="006A32EA" w:rsidRDefault="006A32EA" w:rsidP="00503DD1">
            <w:pPr>
              <w:spacing w:before="120" w:after="120" w:line="300" w:lineRule="exact"/>
              <w:contextualSpacing/>
              <w:jc w:val="both"/>
              <w:rPr>
                <w:rFonts w:cstheme="minorHAnsi"/>
                <w:bCs/>
                <w:color w:val="1F497D" w:themeColor="text2"/>
              </w:rPr>
            </w:pPr>
            <w:r>
              <w:rPr>
                <w:rFonts w:cstheme="minorHAnsi"/>
                <w:bCs/>
                <w:color w:val="1F497D" w:themeColor="text2"/>
              </w:rPr>
              <w:t xml:space="preserve">Si sigue la postura </w:t>
            </w:r>
            <w:proofErr w:type="spellStart"/>
            <w:r>
              <w:rPr>
                <w:rFonts w:cstheme="minorHAnsi"/>
                <w:bCs/>
                <w:color w:val="1F497D" w:themeColor="text2"/>
              </w:rPr>
              <w:t>desformalizada</w:t>
            </w:r>
            <w:proofErr w:type="spellEnd"/>
            <w:r>
              <w:rPr>
                <w:rFonts w:cstheme="minorHAnsi"/>
                <w:bCs/>
                <w:color w:val="1F497D" w:themeColor="text2"/>
              </w:rPr>
              <w:t>, el desarrollo debiere reconocer el derecho conformado por la práctica y dar validez al acuerdo en materia de trabajo sindical.</w:t>
            </w:r>
          </w:p>
        </w:tc>
      </w:tr>
    </w:tbl>
    <w:p w14:paraId="265C0A51" w14:textId="77777777" w:rsidR="006A32EA" w:rsidRDefault="006A32EA" w:rsidP="00503DD1">
      <w:pPr>
        <w:spacing w:before="120" w:after="120" w:line="300" w:lineRule="exact"/>
        <w:ind w:left="709"/>
        <w:contextualSpacing/>
        <w:jc w:val="both"/>
        <w:rPr>
          <w:rFonts w:cstheme="minorHAnsi"/>
          <w:bCs/>
        </w:rPr>
      </w:pPr>
    </w:p>
    <w:p w14:paraId="5F79EB3A" w14:textId="77777777" w:rsidR="00503DD1" w:rsidRDefault="00503DD1" w:rsidP="00503DD1">
      <w:pPr>
        <w:spacing w:after="0" w:line="240" w:lineRule="auto"/>
        <w:jc w:val="both"/>
        <w:rPr>
          <w:rFonts w:cstheme="minorHAnsi"/>
          <w:bCs/>
        </w:rPr>
      </w:pPr>
    </w:p>
    <w:p w14:paraId="768D6881" w14:textId="63152152" w:rsidR="003B77A9" w:rsidRDefault="003B77A9">
      <w:pPr>
        <w:rPr>
          <w:rFonts w:cstheme="minorHAnsi"/>
          <w:bCs/>
        </w:rPr>
      </w:pPr>
      <w:r>
        <w:rPr>
          <w:rFonts w:cstheme="minorHAnsi"/>
          <w:bCs/>
        </w:rPr>
        <w:br w:type="page"/>
      </w:r>
    </w:p>
    <w:p w14:paraId="245BAEFF" w14:textId="07B48548" w:rsidR="00503DD1" w:rsidRPr="00503DD1" w:rsidRDefault="00503DD1" w:rsidP="00503DD1">
      <w:pPr>
        <w:spacing w:after="0" w:line="240" w:lineRule="auto"/>
        <w:jc w:val="both"/>
        <w:rPr>
          <w:rFonts w:cstheme="minorHAnsi"/>
          <w:bCs/>
        </w:rPr>
      </w:pPr>
      <w:r w:rsidRPr="00503DD1">
        <w:rPr>
          <w:rFonts w:cstheme="minorHAnsi"/>
          <w:b/>
        </w:rPr>
        <w:lastRenderedPageBreak/>
        <w:t>Caso 2: Negociación colectiva reglada, servicios mínimos, reemplazo ilegal y adecuaciones necesarias durante la huelga</w:t>
      </w:r>
      <w:r>
        <w:rPr>
          <w:rFonts w:cstheme="minorHAnsi"/>
          <w:b/>
        </w:rPr>
        <w:t xml:space="preserve"> </w:t>
      </w:r>
      <w:r>
        <w:rPr>
          <w:rFonts w:cstheme="minorHAnsi"/>
          <w:bCs/>
        </w:rPr>
        <w:t>[4 puntos]</w:t>
      </w:r>
    </w:p>
    <w:p w14:paraId="6C5535C4" w14:textId="77777777" w:rsidR="00503DD1" w:rsidRPr="00503DD1" w:rsidRDefault="00503DD1" w:rsidP="00503DD1">
      <w:pPr>
        <w:spacing w:after="0" w:line="240" w:lineRule="auto"/>
        <w:jc w:val="both"/>
        <w:rPr>
          <w:rFonts w:cstheme="minorHAnsi"/>
          <w:bCs/>
        </w:rPr>
      </w:pPr>
    </w:p>
    <w:p w14:paraId="1BFC84D6" w14:textId="77777777" w:rsidR="00503DD1" w:rsidRPr="00503DD1" w:rsidRDefault="00503DD1" w:rsidP="00503DD1">
      <w:pPr>
        <w:spacing w:after="0" w:line="240" w:lineRule="auto"/>
        <w:jc w:val="both"/>
        <w:rPr>
          <w:rFonts w:cstheme="minorHAnsi"/>
          <w:bCs/>
        </w:rPr>
      </w:pPr>
    </w:p>
    <w:p w14:paraId="4180B71F" w14:textId="77777777" w:rsidR="00503DD1" w:rsidRPr="00503DD1" w:rsidRDefault="00503DD1" w:rsidP="00503DD1">
      <w:pPr>
        <w:spacing w:after="0" w:line="240" w:lineRule="auto"/>
        <w:jc w:val="both"/>
        <w:rPr>
          <w:rFonts w:cstheme="minorHAnsi"/>
          <w:b/>
        </w:rPr>
      </w:pPr>
      <w:r w:rsidRPr="00503DD1">
        <w:rPr>
          <w:rFonts w:cstheme="minorHAnsi"/>
          <w:b/>
        </w:rPr>
        <w:t>Antecedentes</w:t>
      </w:r>
    </w:p>
    <w:p w14:paraId="01FDEEA4" w14:textId="77777777" w:rsidR="00503DD1" w:rsidRPr="00503DD1" w:rsidRDefault="00503DD1" w:rsidP="00503DD1">
      <w:pPr>
        <w:spacing w:after="0" w:line="240" w:lineRule="auto"/>
        <w:jc w:val="both"/>
        <w:rPr>
          <w:rFonts w:cstheme="minorHAnsi"/>
          <w:bCs/>
        </w:rPr>
      </w:pPr>
    </w:p>
    <w:p w14:paraId="05B8BCE8" w14:textId="77777777" w:rsidR="00503DD1" w:rsidRPr="00503DD1" w:rsidRDefault="00503DD1" w:rsidP="00503DD1">
      <w:pPr>
        <w:spacing w:after="0" w:line="240" w:lineRule="auto"/>
        <w:jc w:val="both"/>
        <w:rPr>
          <w:rFonts w:cstheme="minorHAnsi"/>
          <w:bCs/>
        </w:rPr>
      </w:pPr>
      <w:proofErr w:type="spellStart"/>
      <w:r w:rsidRPr="00503DD1">
        <w:rPr>
          <w:rFonts w:cstheme="minorHAnsi"/>
          <w:bCs/>
        </w:rPr>
        <w:t>LabLab</w:t>
      </w:r>
      <w:proofErr w:type="spellEnd"/>
      <w:r w:rsidRPr="00503DD1">
        <w:rPr>
          <w:rFonts w:cstheme="minorHAnsi"/>
          <w:bCs/>
        </w:rPr>
        <w:t xml:space="preserve"> es una empresa cuyo giro es la consultoría en materia de innovación tecnológica y científica y que está domiciliada en la ciudad de Valparaíso. Para otorgar sus servicios a terceros ha contratado a más de mil trabajadores y la mayoría de ellos son profesionales.</w:t>
      </w:r>
    </w:p>
    <w:p w14:paraId="1B33D405" w14:textId="77777777" w:rsidR="00503DD1" w:rsidRPr="00503DD1" w:rsidRDefault="00503DD1" w:rsidP="00503DD1">
      <w:pPr>
        <w:spacing w:after="0" w:line="240" w:lineRule="auto"/>
        <w:jc w:val="both"/>
        <w:rPr>
          <w:rFonts w:cstheme="minorHAnsi"/>
          <w:bCs/>
        </w:rPr>
      </w:pPr>
    </w:p>
    <w:p w14:paraId="2E599614" w14:textId="77777777" w:rsidR="00503DD1" w:rsidRPr="00503DD1" w:rsidRDefault="00503DD1" w:rsidP="00503DD1">
      <w:pPr>
        <w:spacing w:after="0" w:line="240" w:lineRule="auto"/>
        <w:jc w:val="both"/>
        <w:rPr>
          <w:rFonts w:cstheme="minorHAnsi"/>
          <w:bCs/>
        </w:rPr>
      </w:pPr>
      <w:r w:rsidRPr="00503DD1">
        <w:rPr>
          <w:rFonts w:cstheme="minorHAnsi"/>
          <w:bCs/>
        </w:rPr>
        <w:t xml:space="preserve">En </w:t>
      </w:r>
      <w:proofErr w:type="spellStart"/>
      <w:r w:rsidRPr="00503DD1">
        <w:rPr>
          <w:rFonts w:cstheme="minorHAnsi"/>
          <w:bCs/>
        </w:rPr>
        <w:t>LabLab</w:t>
      </w:r>
      <w:proofErr w:type="spellEnd"/>
      <w:r w:rsidRPr="00503DD1">
        <w:rPr>
          <w:rFonts w:cstheme="minorHAnsi"/>
          <w:bCs/>
        </w:rPr>
        <w:t xml:space="preserve"> se han constituido dos organizaciones sindicales que mantienen vigentes sus respectivos instrumentos colectivos. El convenio colectivo celebrado con el “Sindicato N°1 de Profesionales y Supervisores de </w:t>
      </w:r>
      <w:proofErr w:type="spellStart"/>
      <w:r w:rsidRPr="00503DD1">
        <w:rPr>
          <w:rFonts w:cstheme="minorHAnsi"/>
          <w:bCs/>
        </w:rPr>
        <w:t>LabLab</w:t>
      </w:r>
      <w:proofErr w:type="spellEnd"/>
      <w:r w:rsidRPr="00503DD1">
        <w:rPr>
          <w:rFonts w:cstheme="minorHAnsi"/>
          <w:bCs/>
        </w:rPr>
        <w:t xml:space="preserve">” vence el 31 de diciembre de 2024 y el convenio colectivo suscrito con el “Sindicato N°2 de </w:t>
      </w:r>
      <w:proofErr w:type="spellStart"/>
      <w:r w:rsidRPr="00503DD1">
        <w:rPr>
          <w:rFonts w:cstheme="minorHAnsi"/>
          <w:bCs/>
        </w:rPr>
        <w:t>LabLab</w:t>
      </w:r>
      <w:proofErr w:type="spellEnd"/>
      <w:r w:rsidRPr="00503DD1">
        <w:rPr>
          <w:rFonts w:cstheme="minorHAnsi"/>
          <w:bCs/>
        </w:rPr>
        <w:t>” estará vigente hasta el 31 de enero de 2025.</w:t>
      </w:r>
    </w:p>
    <w:p w14:paraId="3DDF58CA" w14:textId="77777777" w:rsidR="00503DD1" w:rsidRPr="00503DD1" w:rsidRDefault="00503DD1" w:rsidP="00503DD1">
      <w:pPr>
        <w:spacing w:after="0" w:line="240" w:lineRule="auto"/>
        <w:jc w:val="both"/>
        <w:rPr>
          <w:rFonts w:cstheme="minorHAnsi"/>
          <w:bCs/>
        </w:rPr>
      </w:pPr>
    </w:p>
    <w:p w14:paraId="3C5E2592" w14:textId="77777777" w:rsidR="00503DD1" w:rsidRPr="00503DD1" w:rsidRDefault="00503DD1" w:rsidP="00503DD1">
      <w:pPr>
        <w:spacing w:after="0" w:line="240" w:lineRule="auto"/>
        <w:jc w:val="both"/>
        <w:rPr>
          <w:rFonts w:cstheme="minorHAnsi"/>
          <w:bCs/>
        </w:rPr>
      </w:pPr>
      <w:r w:rsidRPr="00503DD1">
        <w:rPr>
          <w:rFonts w:cstheme="minorHAnsi"/>
          <w:bCs/>
        </w:rPr>
        <w:t xml:space="preserve">La empresa suele negociar colectivamente en forma no reglada con sus sindicatos y, por ello, no había calificado los servicios mínimos hasta ahora. Para precaver el escenario de una negociación colectiva reglada durante el año 2024: </w:t>
      </w:r>
      <w:proofErr w:type="spellStart"/>
      <w:r w:rsidRPr="00503DD1">
        <w:rPr>
          <w:rFonts w:cstheme="minorHAnsi"/>
          <w:bCs/>
        </w:rPr>
        <w:t>LabLab</w:t>
      </w:r>
      <w:proofErr w:type="spellEnd"/>
      <w:r w:rsidRPr="00503DD1">
        <w:rPr>
          <w:rFonts w:cstheme="minorHAnsi"/>
          <w:bCs/>
        </w:rPr>
        <w:t xml:space="preserve"> presentó una propuesta de calificación de servicios mínimos a ambos sindicatos el 1 de junio de 2024. Dentro del plazo legal, la empresa alcanzó un acuerdo de servicios mínimos con el “Sindicato N°1” (agrupa a 500 trabajadores), aunque no con el “Sindicato N°2” (afilia a 350 trabajadores). </w:t>
      </w:r>
    </w:p>
    <w:p w14:paraId="02D42EA8" w14:textId="77777777" w:rsidR="00503DD1" w:rsidRPr="00503DD1" w:rsidRDefault="00503DD1" w:rsidP="00503DD1">
      <w:pPr>
        <w:spacing w:after="0" w:line="240" w:lineRule="auto"/>
        <w:jc w:val="both"/>
        <w:rPr>
          <w:rFonts w:cstheme="minorHAnsi"/>
          <w:bCs/>
        </w:rPr>
      </w:pPr>
    </w:p>
    <w:p w14:paraId="210E83A1" w14:textId="77777777" w:rsidR="00503DD1" w:rsidRPr="00503DD1" w:rsidRDefault="00503DD1" w:rsidP="00503DD1">
      <w:pPr>
        <w:spacing w:after="0" w:line="240" w:lineRule="auto"/>
        <w:jc w:val="both"/>
        <w:rPr>
          <w:rFonts w:cstheme="minorHAnsi"/>
          <w:bCs/>
        </w:rPr>
      </w:pPr>
      <w:r w:rsidRPr="00503DD1">
        <w:rPr>
          <w:rFonts w:cstheme="minorHAnsi"/>
          <w:bCs/>
        </w:rPr>
        <w:t xml:space="preserve">Ante eso, </w:t>
      </w:r>
      <w:proofErr w:type="spellStart"/>
      <w:r w:rsidRPr="00503DD1">
        <w:rPr>
          <w:rFonts w:cstheme="minorHAnsi"/>
          <w:bCs/>
        </w:rPr>
        <w:t>LabLab</w:t>
      </w:r>
      <w:proofErr w:type="spellEnd"/>
      <w:r w:rsidRPr="00503DD1">
        <w:rPr>
          <w:rFonts w:cstheme="minorHAnsi"/>
          <w:bCs/>
        </w:rPr>
        <w:t xml:space="preserve"> presentó un requerimiento de calificación de servicios mínimos y equipos de emergencia a la Dirección Regional del Trabajo (DRT) de Valparaíso. La resolución emitida por la DRT fue desfavorable a la empresa (no le concedió todos los puestos de trabajo que solicitó y que había acordado con el Sindicato N°1) y </w:t>
      </w:r>
      <w:proofErr w:type="spellStart"/>
      <w:r w:rsidRPr="00503DD1">
        <w:rPr>
          <w:rFonts w:cstheme="minorHAnsi"/>
          <w:bCs/>
        </w:rPr>
        <w:t>LabLab</w:t>
      </w:r>
      <w:proofErr w:type="spellEnd"/>
      <w:r w:rsidRPr="00503DD1">
        <w:rPr>
          <w:rFonts w:cstheme="minorHAnsi"/>
          <w:bCs/>
        </w:rPr>
        <w:t xml:space="preserve"> presentó un recurso jerárquico ante el Director del Trabajo. Esta resolución no ha sido emitida hasta esta fecha.</w:t>
      </w:r>
    </w:p>
    <w:p w14:paraId="44DC6B7E" w14:textId="77777777" w:rsidR="00503DD1" w:rsidRPr="00503DD1" w:rsidRDefault="00503DD1" w:rsidP="00503DD1">
      <w:pPr>
        <w:spacing w:after="0" w:line="240" w:lineRule="auto"/>
        <w:jc w:val="both"/>
        <w:rPr>
          <w:rFonts w:cstheme="minorHAnsi"/>
          <w:bCs/>
        </w:rPr>
      </w:pPr>
    </w:p>
    <w:p w14:paraId="57148D80" w14:textId="77777777" w:rsidR="00503DD1" w:rsidRPr="00503DD1" w:rsidRDefault="00503DD1" w:rsidP="00503DD1">
      <w:pPr>
        <w:spacing w:after="0" w:line="240" w:lineRule="auto"/>
        <w:jc w:val="both"/>
        <w:rPr>
          <w:rFonts w:cstheme="minorHAnsi"/>
          <w:bCs/>
        </w:rPr>
      </w:pPr>
      <w:r w:rsidRPr="00503DD1">
        <w:rPr>
          <w:rFonts w:cstheme="minorHAnsi"/>
          <w:bCs/>
        </w:rPr>
        <w:t xml:space="preserve">El “Sindicato N°2” presentó un proyecto de contrato colectivo a </w:t>
      </w:r>
      <w:proofErr w:type="spellStart"/>
      <w:r w:rsidRPr="00503DD1">
        <w:rPr>
          <w:rFonts w:cstheme="minorHAnsi"/>
          <w:bCs/>
        </w:rPr>
        <w:t>LabLab</w:t>
      </w:r>
      <w:proofErr w:type="spellEnd"/>
      <w:r w:rsidRPr="00503DD1">
        <w:rPr>
          <w:rFonts w:cstheme="minorHAnsi"/>
          <w:bCs/>
        </w:rPr>
        <w:t xml:space="preserve"> el 15 de noviembre de 2024. La propuesta sindical incluyó a 15 trabajadores que eran socios del “Sindicato N°1” y que son parte del convenio colectivo que vencerá el 31 de diciembre de 2024.</w:t>
      </w:r>
    </w:p>
    <w:p w14:paraId="4A854157" w14:textId="77777777" w:rsidR="00503DD1" w:rsidRPr="00503DD1" w:rsidRDefault="00503DD1" w:rsidP="00503DD1">
      <w:pPr>
        <w:spacing w:after="0" w:line="240" w:lineRule="auto"/>
        <w:jc w:val="both"/>
        <w:rPr>
          <w:rFonts w:cstheme="minorHAnsi"/>
          <w:bCs/>
        </w:rPr>
      </w:pPr>
    </w:p>
    <w:p w14:paraId="75287846" w14:textId="77777777" w:rsidR="00503DD1" w:rsidRPr="00503DD1" w:rsidRDefault="00503DD1" w:rsidP="00503DD1">
      <w:pPr>
        <w:spacing w:after="0" w:line="240" w:lineRule="auto"/>
        <w:jc w:val="both"/>
        <w:rPr>
          <w:rFonts w:cstheme="minorHAnsi"/>
          <w:bCs/>
        </w:rPr>
      </w:pPr>
      <w:r w:rsidRPr="00503DD1">
        <w:rPr>
          <w:rFonts w:cstheme="minorHAnsi"/>
          <w:bCs/>
        </w:rPr>
        <w:t xml:space="preserve">En el mismo acto, el Sindicato N°2 le solicitó a </w:t>
      </w:r>
      <w:proofErr w:type="spellStart"/>
      <w:r w:rsidRPr="00503DD1">
        <w:rPr>
          <w:rFonts w:cstheme="minorHAnsi"/>
          <w:bCs/>
        </w:rPr>
        <w:t>LabLab</w:t>
      </w:r>
      <w:proofErr w:type="spellEnd"/>
      <w:r w:rsidRPr="00503DD1">
        <w:rPr>
          <w:rFonts w:cstheme="minorHAnsi"/>
          <w:bCs/>
        </w:rPr>
        <w:t xml:space="preserve"> que le entregara la información específica y necesaria contemplada en el artículo 316 del Código del Trabajo, y, además, el detalle de “las remuneraciones pagadas a los trabajadores no afiliados al Sindicato, en particular, de los gerentes y subgerentes </w:t>
      </w:r>
      <w:proofErr w:type="spellStart"/>
      <w:r w:rsidRPr="00503DD1">
        <w:rPr>
          <w:rFonts w:cstheme="minorHAnsi"/>
          <w:bCs/>
        </w:rPr>
        <w:t>deLabLab</w:t>
      </w:r>
      <w:proofErr w:type="spellEnd"/>
      <w:r w:rsidRPr="00503DD1">
        <w:rPr>
          <w:rFonts w:cstheme="minorHAnsi"/>
          <w:bCs/>
        </w:rPr>
        <w:t>, desagregada por haberes y con el detalle de la fecha de ingreso a la empresa y cargo o función que desempeñan”.</w:t>
      </w:r>
    </w:p>
    <w:p w14:paraId="2C9B152F" w14:textId="77777777" w:rsidR="00503DD1" w:rsidRPr="00503DD1" w:rsidRDefault="00503DD1" w:rsidP="00503DD1">
      <w:pPr>
        <w:spacing w:after="0" w:line="240" w:lineRule="auto"/>
        <w:jc w:val="both"/>
        <w:rPr>
          <w:rFonts w:cstheme="minorHAnsi"/>
          <w:bCs/>
        </w:rPr>
      </w:pPr>
    </w:p>
    <w:p w14:paraId="251DC071" w14:textId="50FFE4CB" w:rsidR="00503DD1" w:rsidRPr="00503DD1" w:rsidRDefault="00503DD1" w:rsidP="00503DD1">
      <w:pPr>
        <w:spacing w:after="0" w:line="240" w:lineRule="auto"/>
        <w:jc w:val="both"/>
        <w:rPr>
          <w:rFonts w:cstheme="minorHAnsi"/>
          <w:bCs/>
        </w:rPr>
      </w:pPr>
      <w:r w:rsidRPr="00503DD1">
        <w:rPr>
          <w:rFonts w:cstheme="minorHAnsi"/>
          <w:bCs/>
        </w:rPr>
        <w:t xml:space="preserve">La socia principal y gerente general de </w:t>
      </w:r>
      <w:proofErr w:type="spellStart"/>
      <w:r w:rsidRPr="00503DD1">
        <w:rPr>
          <w:rFonts w:cstheme="minorHAnsi"/>
          <w:bCs/>
        </w:rPr>
        <w:t>LabLab</w:t>
      </w:r>
      <w:proofErr w:type="spellEnd"/>
      <w:r w:rsidRPr="00503DD1">
        <w:rPr>
          <w:rFonts w:cstheme="minorHAnsi"/>
          <w:bCs/>
        </w:rPr>
        <w:t xml:space="preserve"> le contacta y pide un breve informe sobre el proyecto de contrato colectivo presentado por el Sindicato N°2. En lo concreto su informe deberá referirse a los siguientes puntos:</w:t>
      </w:r>
    </w:p>
    <w:p w14:paraId="016C69F3" w14:textId="77777777" w:rsidR="00503DD1" w:rsidRPr="00503DD1" w:rsidRDefault="00503DD1" w:rsidP="00503DD1">
      <w:pPr>
        <w:spacing w:after="0" w:line="240" w:lineRule="auto"/>
        <w:jc w:val="both"/>
        <w:rPr>
          <w:rFonts w:cstheme="minorHAnsi"/>
          <w:bCs/>
        </w:rPr>
      </w:pPr>
    </w:p>
    <w:p w14:paraId="5C66292C" w14:textId="79A97242" w:rsidR="00503DD1" w:rsidRDefault="00503DD1" w:rsidP="00503DD1">
      <w:pPr>
        <w:pStyle w:val="ListParagraph"/>
        <w:numPr>
          <w:ilvl w:val="0"/>
          <w:numId w:val="14"/>
        </w:numPr>
        <w:spacing w:after="0" w:line="240" w:lineRule="auto"/>
        <w:jc w:val="both"/>
        <w:rPr>
          <w:rFonts w:cstheme="minorHAnsi"/>
          <w:bCs/>
        </w:rPr>
      </w:pPr>
      <w:r w:rsidRPr="00503DD1">
        <w:rPr>
          <w:rFonts w:cstheme="minorHAnsi"/>
          <w:bCs/>
        </w:rPr>
        <w:t xml:space="preserve">¿Está jurídicamente obligada </w:t>
      </w:r>
      <w:proofErr w:type="spellStart"/>
      <w:r w:rsidRPr="00503DD1">
        <w:rPr>
          <w:rFonts w:cstheme="minorHAnsi"/>
          <w:bCs/>
        </w:rPr>
        <w:t>LabLab</w:t>
      </w:r>
      <w:proofErr w:type="spellEnd"/>
      <w:r w:rsidRPr="00503DD1">
        <w:rPr>
          <w:rFonts w:cstheme="minorHAnsi"/>
          <w:bCs/>
        </w:rPr>
        <w:t xml:space="preserve"> a responder el contrato colectivo presentado por el Sindicato N°2 y a negociar colectivamente en forma reglada con este? Si no puede negociar en forma reglada: ¿cuándo debería hacerlo?, o bien, ¿en qué condiciones podría negociar con el Sindicato N°2 en esta oportunidad?</w:t>
      </w:r>
      <w:r>
        <w:rPr>
          <w:rFonts w:cstheme="minorHAnsi"/>
          <w:bCs/>
        </w:rPr>
        <w:t xml:space="preserve"> (1 punto)</w:t>
      </w:r>
    </w:p>
    <w:p w14:paraId="6FB79292" w14:textId="77777777" w:rsidR="00EE702B" w:rsidRDefault="00EE702B" w:rsidP="00EE702B">
      <w:pPr>
        <w:pStyle w:val="ListParagraph"/>
        <w:spacing w:after="0" w:line="240" w:lineRule="auto"/>
        <w:jc w:val="both"/>
        <w:rPr>
          <w:rFonts w:cstheme="minorHAnsi"/>
          <w:bCs/>
        </w:rPr>
      </w:pPr>
    </w:p>
    <w:p w14:paraId="4CC38159" w14:textId="77777777" w:rsidR="00EE702B" w:rsidRDefault="00EE702B" w:rsidP="00EE702B">
      <w:pPr>
        <w:pStyle w:val="ListParagraph"/>
        <w:spacing w:after="0" w:line="240" w:lineRule="auto"/>
        <w:jc w:val="both"/>
        <w:rPr>
          <w:rFonts w:cstheme="minorHAnsi"/>
          <w:bCs/>
        </w:rPr>
      </w:pPr>
    </w:p>
    <w:tbl>
      <w:tblPr>
        <w:tblStyle w:val="TableGrid"/>
        <w:tblW w:w="0" w:type="auto"/>
        <w:tblInd w:w="720" w:type="dxa"/>
        <w:tblLook w:val="04A0" w:firstRow="1" w:lastRow="0" w:firstColumn="1" w:lastColumn="0" w:noHBand="0" w:noVBand="1"/>
      </w:tblPr>
      <w:tblGrid>
        <w:gridCol w:w="8108"/>
      </w:tblGrid>
      <w:tr w:rsidR="00EE702B" w14:paraId="2DD3257C" w14:textId="77777777" w:rsidTr="00EE702B">
        <w:tc>
          <w:tcPr>
            <w:tcW w:w="8828" w:type="dxa"/>
          </w:tcPr>
          <w:p w14:paraId="5F3C92A8" w14:textId="77777777" w:rsidR="006A32EA" w:rsidRDefault="00EE702B" w:rsidP="00EE702B">
            <w:pPr>
              <w:pStyle w:val="ListParagraph"/>
              <w:ind w:left="23"/>
              <w:jc w:val="both"/>
              <w:rPr>
                <w:rFonts w:cstheme="minorHAnsi"/>
                <w:bCs/>
                <w:color w:val="1F497D" w:themeColor="text2"/>
              </w:rPr>
            </w:pPr>
            <w:proofErr w:type="spellStart"/>
            <w:r w:rsidRPr="00EE702B">
              <w:rPr>
                <w:rFonts w:cstheme="minorHAnsi"/>
                <w:bCs/>
                <w:color w:val="1F497D" w:themeColor="text2"/>
              </w:rPr>
              <w:lastRenderedPageBreak/>
              <w:t>LabLab</w:t>
            </w:r>
            <w:proofErr w:type="spellEnd"/>
            <w:r>
              <w:rPr>
                <w:rFonts w:cstheme="minorHAnsi"/>
                <w:bCs/>
                <w:color w:val="1F497D" w:themeColor="text2"/>
              </w:rPr>
              <w:t xml:space="preserve"> </w:t>
            </w:r>
            <w:r w:rsidRPr="00EE702B">
              <w:rPr>
                <w:rFonts w:cstheme="minorHAnsi"/>
                <w:bCs/>
                <w:color w:val="1F497D" w:themeColor="text2"/>
              </w:rPr>
              <w:t xml:space="preserve">está obligada a negociar colectivamente conforme al procedimiento reglado una vez que el Sindicato N°2 presenta su proyecto. </w:t>
            </w:r>
          </w:p>
          <w:p w14:paraId="0A0CE33F" w14:textId="77777777" w:rsidR="006A32EA" w:rsidRDefault="006A32EA" w:rsidP="00EE702B">
            <w:pPr>
              <w:pStyle w:val="ListParagraph"/>
              <w:ind w:left="23"/>
              <w:jc w:val="both"/>
              <w:rPr>
                <w:rFonts w:cstheme="minorHAnsi"/>
                <w:bCs/>
                <w:color w:val="1F497D" w:themeColor="text2"/>
              </w:rPr>
            </w:pPr>
          </w:p>
          <w:p w14:paraId="0B2289C5" w14:textId="4F2D8B81" w:rsidR="00EE702B" w:rsidRPr="00EE702B" w:rsidRDefault="00791E43" w:rsidP="00EE702B">
            <w:pPr>
              <w:pStyle w:val="ListParagraph"/>
              <w:ind w:left="23"/>
              <w:jc w:val="both"/>
              <w:rPr>
                <w:rFonts w:cstheme="minorHAnsi"/>
                <w:bCs/>
                <w:color w:val="1F497D" w:themeColor="text2"/>
              </w:rPr>
            </w:pPr>
            <w:r>
              <w:rPr>
                <w:rFonts w:cstheme="minorHAnsi"/>
                <w:bCs/>
                <w:color w:val="1F497D" w:themeColor="text2"/>
              </w:rPr>
              <w:t>Importante: d</w:t>
            </w:r>
            <w:r w:rsidR="006A32EA">
              <w:rPr>
                <w:rFonts w:cstheme="minorHAnsi"/>
                <w:bCs/>
                <w:color w:val="1F497D" w:themeColor="text2"/>
              </w:rPr>
              <w:t>ebe advertirse que el proyecto fue</w:t>
            </w:r>
            <w:r w:rsidR="00EE702B" w:rsidRPr="00EE702B">
              <w:rPr>
                <w:rFonts w:cstheme="minorHAnsi"/>
                <w:bCs/>
                <w:color w:val="1F497D" w:themeColor="text2"/>
              </w:rPr>
              <w:t xml:space="preserve"> presentado con antelación al plazo legal</w:t>
            </w:r>
            <w:r w:rsidR="006A32EA">
              <w:rPr>
                <w:rFonts w:cstheme="minorHAnsi"/>
                <w:bCs/>
                <w:color w:val="1F497D" w:themeColor="text2"/>
              </w:rPr>
              <w:t xml:space="preserve">, por lo que </w:t>
            </w:r>
            <w:r w:rsidR="006A32EA" w:rsidRPr="00791E43">
              <w:rPr>
                <w:rFonts w:cstheme="minorHAnsi"/>
                <w:b/>
                <w:color w:val="1F497D" w:themeColor="text2"/>
              </w:rPr>
              <w:t xml:space="preserve">aplica la presunción de haber sido presentado </w:t>
            </w:r>
            <w:r w:rsidR="00EE702B" w:rsidRPr="00791E43">
              <w:rPr>
                <w:rFonts w:cstheme="minorHAnsi"/>
                <w:b/>
                <w:color w:val="1F497D" w:themeColor="text2"/>
              </w:rPr>
              <w:t>al día 60°</w:t>
            </w:r>
            <w:r w:rsidR="00EE702B" w:rsidRPr="00EE702B">
              <w:rPr>
                <w:rFonts w:cstheme="minorHAnsi"/>
                <w:bCs/>
                <w:color w:val="1F497D" w:themeColor="text2"/>
              </w:rPr>
              <w:t xml:space="preserve"> contado desde la fecha de término del instrumento colectivo vigente.</w:t>
            </w:r>
            <w:r w:rsidR="006A32EA">
              <w:rPr>
                <w:rFonts w:cstheme="minorHAnsi"/>
                <w:bCs/>
                <w:color w:val="1F497D" w:themeColor="text2"/>
              </w:rPr>
              <w:t xml:space="preserve"> A partir de ahí, surgirá la obligación de la empresa de responder dentro del </w:t>
            </w:r>
            <w:r w:rsidR="00EE702B" w:rsidRPr="00EE702B">
              <w:rPr>
                <w:rFonts w:cstheme="minorHAnsi"/>
                <w:bCs/>
                <w:color w:val="1F497D" w:themeColor="text2"/>
              </w:rPr>
              <w:t xml:space="preserve">plazo legal tendrá 10 días </w:t>
            </w:r>
            <w:r w:rsidR="006A32EA">
              <w:rPr>
                <w:rFonts w:cstheme="minorHAnsi"/>
                <w:bCs/>
                <w:color w:val="1F497D" w:themeColor="text2"/>
              </w:rPr>
              <w:t>(</w:t>
            </w:r>
            <w:r w:rsidR="00EE702B" w:rsidRPr="00EE702B">
              <w:rPr>
                <w:rFonts w:cstheme="minorHAnsi"/>
                <w:bCs/>
                <w:color w:val="1F497D" w:themeColor="text2"/>
              </w:rPr>
              <w:t>para contestar el proyecto</w:t>
            </w:r>
            <w:r w:rsidR="006A32EA">
              <w:rPr>
                <w:rFonts w:cstheme="minorHAnsi"/>
                <w:bCs/>
                <w:color w:val="1F497D" w:themeColor="text2"/>
              </w:rPr>
              <w:t>)</w:t>
            </w:r>
            <w:r w:rsidR="00EE702B" w:rsidRPr="00EE702B">
              <w:rPr>
                <w:rFonts w:cstheme="minorHAnsi"/>
                <w:bCs/>
                <w:color w:val="1F497D" w:themeColor="text2"/>
              </w:rPr>
              <w:t xml:space="preserve"> y deberá formular sus reclamaciones e impugnaciones en su respuesta.</w:t>
            </w:r>
          </w:p>
          <w:p w14:paraId="30D60C6A" w14:textId="77777777" w:rsidR="00EE702B" w:rsidRPr="00EE702B" w:rsidRDefault="00EE702B" w:rsidP="00EE702B">
            <w:pPr>
              <w:pStyle w:val="ListParagraph"/>
              <w:ind w:left="23"/>
              <w:jc w:val="both"/>
              <w:rPr>
                <w:rFonts w:cstheme="minorHAnsi"/>
                <w:bCs/>
                <w:color w:val="1F497D" w:themeColor="text2"/>
              </w:rPr>
            </w:pPr>
          </w:p>
          <w:p w14:paraId="4C211FF0" w14:textId="76C57BE4" w:rsidR="00EE702B" w:rsidRDefault="00791E43" w:rsidP="00EE702B">
            <w:pPr>
              <w:pStyle w:val="ListParagraph"/>
              <w:ind w:left="23"/>
              <w:jc w:val="both"/>
              <w:rPr>
                <w:rFonts w:cstheme="minorHAnsi"/>
                <w:bCs/>
              </w:rPr>
            </w:pPr>
            <w:r>
              <w:rPr>
                <w:rFonts w:cstheme="minorHAnsi"/>
                <w:bCs/>
                <w:color w:val="1F497D" w:themeColor="text2"/>
              </w:rPr>
              <w:t xml:space="preserve">El/la estudiante podrá también advertir que lo anterior </w:t>
            </w:r>
            <w:r w:rsidR="00EE702B" w:rsidRPr="00EE702B">
              <w:rPr>
                <w:rFonts w:cstheme="minorHAnsi"/>
                <w:bCs/>
                <w:color w:val="1F497D" w:themeColor="text2"/>
              </w:rPr>
              <w:t>no obsta a que las partes puedan acordar negociar colectivamente en forma no reglada</w:t>
            </w:r>
            <w:r>
              <w:rPr>
                <w:rFonts w:cstheme="minorHAnsi"/>
                <w:bCs/>
                <w:color w:val="1F497D" w:themeColor="text2"/>
              </w:rPr>
              <w:t>.</w:t>
            </w:r>
          </w:p>
        </w:tc>
      </w:tr>
    </w:tbl>
    <w:p w14:paraId="2F9CB7DE" w14:textId="77777777" w:rsidR="00EE702B" w:rsidRDefault="00EE702B" w:rsidP="00EE702B">
      <w:pPr>
        <w:pStyle w:val="ListParagraph"/>
        <w:spacing w:after="0" w:line="240" w:lineRule="auto"/>
        <w:jc w:val="both"/>
        <w:rPr>
          <w:rFonts w:cstheme="minorHAnsi"/>
          <w:bCs/>
        </w:rPr>
      </w:pPr>
    </w:p>
    <w:p w14:paraId="6729A408" w14:textId="77777777" w:rsidR="00503DD1" w:rsidRDefault="00503DD1" w:rsidP="00503DD1">
      <w:pPr>
        <w:pStyle w:val="ListParagraph"/>
        <w:spacing w:after="0" w:line="240" w:lineRule="auto"/>
        <w:jc w:val="both"/>
        <w:rPr>
          <w:rFonts w:cstheme="minorHAnsi"/>
          <w:bCs/>
        </w:rPr>
      </w:pPr>
    </w:p>
    <w:p w14:paraId="78C5E162" w14:textId="1C2443A7" w:rsidR="00503DD1" w:rsidRDefault="00503DD1" w:rsidP="00503DD1">
      <w:pPr>
        <w:pStyle w:val="ListParagraph"/>
        <w:numPr>
          <w:ilvl w:val="0"/>
          <w:numId w:val="14"/>
        </w:numPr>
        <w:spacing w:after="0" w:line="240" w:lineRule="auto"/>
        <w:jc w:val="both"/>
        <w:rPr>
          <w:rFonts w:cstheme="minorHAnsi"/>
          <w:bCs/>
        </w:rPr>
      </w:pPr>
      <w:r w:rsidRPr="00503DD1">
        <w:rPr>
          <w:rFonts w:cstheme="minorHAnsi"/>
          <w:bCs/>
        </w:rPr>
        <w:t xml:space="preserve">Suponga también que el Director del Trabajo (DT) confirma la resolución de la DRT de Valparaíso con fecha 3 de enero de 2025 y </w:t>
      </w:r>
      <w:proofErr w:type="spellStart"/>
      <w:r w:rsidRPr="00503DD1">
        <w:rPr>
          <w:rFonts w:cstheme="minorHAnsi"/>
          <w:bCs/>
        </w:rPr>
        <w:t>LabLab</w:t>
      </w:r>
      <w:proofErr w:type="spellEnd"/>
      <w:r w:rsidRPr="00503DD1">
        <w:rPr>
          <w:rFonts w:cstheme="minorHAnsi"/>
          <w:bCs/>
        </w:rPr>
        <w:t xml:space="preserve"> reclama ante el juez laboral para que modifique lo resuelto por el DT con fecha 10 de enero de 2025: ¿es procedente este reclamo judicial? </w:t>
      </w:r>
      <w:r>
        <w:rPr>
          <w:rFonts w:cstheme="minorHAnsi"/>
          <w:bCs/>
        </w:rPr>
        <w:t xml:space="preserve"> </w:t>
      </w:r>
    </w:p>
    <w:p w14:paraId="52C6BC51" w14:textId="77777777" w:rsidR="00EE702B" w:rsidRDefault="00EE702B" w:rsidP="00EE702B">
      <w:pPr>
        <w:pStyle w:val="ListParagraph"/>
        <w:spacing w:after="0" w:line="240" w:lineRule="auto"/>
        <w:jc w:val="both"/>
        <w:rPr>
          <w:rFonts w:cstheme="minorHAnsi"/>
          <w:bCs/>
        </w:rPr>
      </w:pPr>
    </w:p>
    <w:p w14:paraId="7899225F" w14:textId="7B4D6783" w:rsidR="00EE702B" w:rsidRDefault="00503DD1" w:rsidP="00EE702B">
      <w:pPr>
        <w:pStyle w:val="ListParagraph"/>
        <w:spacing w:after="0" w:line="240" w:lineRule="auto"/>
        <w:jc w:val="both"/>
        <w:rPr>
          <w:rFonts w:cstheme="minorHAnsi"/>
          <w:bCs/>
        </w:rPr>
      </w:pPr>
      <w:r w:rsidRPr="00503DD1">
        <w:rPr>
          <w:rFonts w:cstheme="minorHAnsi"/>
          <w:bCs/>
        </w:rPr>
        <w:t xml:space="preserve">Para el caso que sea procedente: ¿la presentación del reclamo suspende la negociación colectiva reglada que debería producirse para renovar el instrumento colectivo vigente con el Sindicato N°2? </w:t>
      </w:r>
      <w:r>
        <w:rPr>
          <w:rFonts w:cstheme="minorHAnsi"/>
          <w:bCs/>
        </w:rPr>
        <w:t>(1 punto)</w:t>
      </w:r>
    </w:p>
    <w:p w14:paraId="1C54F291" w14:textId="77777777" w:rsidR="00EE702B" w:rsidRDefault="00EE702B" w:rsidP="00EE702B">
      <w:pPr>
        <w:pStyle w:val="ListParagraph"/>
        <w:spacing w:after="0" w:line="240" w:lineRule="auto"/>
        <w:jc w:val="both"/>
        <w:rPr>
          <w:rFonts w:cstheme="minorHAnsi"/>
          <w:bCs/>
        </w:rPr>
      </w:pPr>
    </w:p>
    <w:tbl>
      <w:tblPr>
        <w:tblStyle w:val="TableGrid"/>
        <w:tblW w:w="0" w:type="auto"/>
        <w:tblInd w:w="720" w:type="dxa"/>
        <w:tblLook w:val="04A0" w:firstRow="1" w:lastRow="0" w:firstColumn="1" w:lastColumn="0" w:noHBand="0" w:noVBand="1"/>
      </w:tblPr>
      <w:tblGrid>
        <w:gridCol w:w="8108"/>
      </w:tblGrid>
      <w:tr w:rsidR="00EE702B" w14:paraId="191ED58F" w14:textId="77777777" w:rsidTr="00EE702B">
        <w:tc>
          <w:tcPr>
            <w:tcW w:w="8828" w:type="dxa"/>
          </w:tcPr>
          <w:p w14:paraId="62CAEEE4" w14:textId="77777777" w:rsidR="00791E43" w:rsidRDefault="00791E43" w:rsidP="00EE702B">
            <w:pPr>
              <w:pStyle w:val="ListParagraph"/>
              <w:ind w:left="23"/>
              <w:jc w:val="both"/>
              <w:rPr>
                <w:rFonts w:cstheme="minorHAnsi"/>
                <w:bCs/>
                <w:color w:val="1F497D" w:themeColor="text2"/>
              </w:rPr>
            </w:pPr>
            <w:r>
              <w:rPr>
                <w:rFonts w:cstheme="minorHAnsi"/>
                <w:bCs/>
                <w:color w:val="1F497D" w:themeColor="text2"/>
              </w:rPr>
              <w:t>Se debe indicar por el/la estudiante que e</w:t>
            </w:r>
            <w:r w:rsidR="00EE702B" w:rsidRPr="00EE702B">
              <w:rPr>
                <w:rFonts w:cstheme="minorHAnsi"/>
                <w:bCs/>
                <w:color w:val="1F497D" w:themeColor="text2"/>
              </w:rPr>
              <w:t>l reclamo judicial no está contemplado en la ley laboral</w:t>
            </w:r>
            <w:r>
              <w:rPr>
                <w:rFonts w:cstheme="minorHAnsi"/>
                <w:bCs/>
                <w:color w:val="1F497D" w:themeColor="text2"/>
              </w:rPr>
              <w:t xml:space="preserve"> y por tanto no se regula la suspensión en caso de interposición (como sí ocurre con el recurso administrativo). </w:t>
            </w:r>
          </w:p>
          <w:p w14:paraId="6BC0D993" w14:textId="77777777" w:rsidR="00791E43" w:rsidRDefault="00791E43" w:rsidP="00EE702B">
            <w:pPr>
              <w:pStyle w:val="ListParagraph"/>
              <w:ind w:left="23"/>
              <w:jc w:val="both"/>
              <w:rPr>
                <w:rFonts w:cstheme="minorHAnsi"/>
                <w:bCs/>
                <w:color w:val="1F497D" w:themeColor="text2"/>
              </w:rPr>
            </w:pPr>
          </w:p>
          <w:p w14:paraId="5881511C" w14:textId="69495C35" w:rsidR="00EE702B" w:rsidRDefault="00791E43" w:rsidP="00EE702B">
            <w:pPr>
              <w:pStyle w:val="ListParagraph"/>
              <w:ind w:left="23"/>
              <w:jc w:val="both"/>
              <w:rPr>
                <w:rFonts w:cstheme="minorHAnsi"/>
                <w:bCs/>
                <w:color w:val="1F497D" w:themeColor="text2"/>
              </w:rPr>
            </w:pPr>
            <w:r>
              <w:rPr>
                <w:rFonts w:cstheme="minorHAnsi"/>
                <w:bCs/>
                <w:color w:val="1F497D" w:themeColor="text2"/>
              </w:rPr>
              <w:t>También será pertinente considerar que el reclamo judicial (como vía para impugnar) ha sido fundamentalmente construcción jurisprudencial (</w:t>
            </w:r>
            <w:r w:rsidR="00EE702B" w:rsidRPr="00EE702B">
              <w:rPr>
                <w:rFonts w:cstheme="minorHAnsi"/>
                <w:bCs/>
                <w:color w:val="1F497D" w:themeColor="text2"/>
              </w:rPr>
              <w:t xml:space="preserve">sentencia de la Corte Suprema </w:t>
            </w:r>
            <w:r>
              <w:rPr>
                <w:rFonts w:cstheme="minorHAnsi"/>
                <w:bCs/>
                <w:color w:val="1F497D" w:themeColor="text2"/>
              </w:rPr>
              <w:t xml:space="preserve">—recurso de queja— </w:t>
            </w:r>
            <w:r w:rsidRPr="00EE702B">
              <w:rPr>
                <w:rFonts w:cstheme="minorHAnsi"/>
                <w:bCs/>
                <w:color w:val="1F497D" w:themeColor="text2"/>
              </w:rPr>
              <w:t xml:space="preserve">que </w:t>
            </w:r>
            <w:r w:rsidR="00EE702B" w:rsidRPr="00EE702B">
              <w:rPr>
                <w:rFonts w:cstheme="minorHAnsi"/>
                <w:bCs/>
                <w:color w:val="1F497D" w:themeColor="text2"/>
              </w:rPr>
              <w:t>resolvió en ese sentido</w:t>
            </w:r>
            <w:r w:rsidR="004261C0">
              <w:rPr>
                <w:rFonts w:cstheme="minorHAnsi"/>
                <w:bCs/>
                <w:color w:val="1F497D" w:themeColor="text2"/>
              </w:rPr>
              <w:t xml:space="preserve"> [que las decisiones administrativas serán siempre revisables, más allá de que no lo contemplare la ley]</w:t>
            </w:r>
            <w:r>
              <w:rPr>
                <w:rFonts w:cstheme="minorHAnsi"/>
                <w:bCs/>
                <w:color w:val="1F497D" w:themeColor="text2"/>
              </w:rPr>
              <w:t>)</w:t>
            </w:r>
            <w:r w:rsidR="00EE702B" w:rsidRPr="00EE702B">
              <w:rPr>
                <w:rFonts w:cstheme="minorHAnsi"/>
                <w:bCs/>
                <w:color w:val="1F497D" w:themeColor="text2"/>
              </w:rPr>
              <w:t>.</w:t>
            </w:r>
          </w:p>
          <w:p w14:paraId="6373BF29" w14:textId="77777777" w:rsidR="00EE702B" w:rsidRPr="00EE702B" w:rsidRDefault="00EE702B" w:rsidP="00EE702B">
            <w:pPr>
              <w:pStyle w:val="ListParagraph"/>
              <w:ind w:left="23"/>
              <w:jc w:val="both"/>
              <w:rPr>
                <w:rFonts w:cstheme="minorHAnsi"/>
                <w:bCs/>
                <w:color w:val="1F497D" w:themeColor="text2"/>
              </w:rPr>
            </w:pPr>
          </w:p>
          <w:p w14:paraId="1C7394C4" w14:textId="5EEC8DAD" w:rsidR="00EE702B" w:rsidRDefault="006A32EA" w:rsidP="00EE702B">
            <w:pPr>
              <w:pStyle w:val="ListParagraph"/>
              <w:ind w:left="23"/>
              <w:jc w:val="both"/>
              <w:rPr>
                <w:rFonts w:cstheme="minorHAnsi"/>
                <w:bCs/>
              </w:rPr>
            </w:pPr>
            <w:r>
              <w:rPr>
                <w:rFonts w:cstheme="minorHAnsi"/>
                <w:bCs/>
                <w:color w:val="1F497D" w:themeColor="text2"/>
              </w:rPr>
              <w:t>Entonces: debe advertirse que (i) no existe suspensión por el mero hecho del ejercicio de la acción judicial; y (ii) que, pese a ello, podría pretenderse la suspensión como una medida requerida al momento de interponer la acción (a través de la decisión del juez que conozca de la causa)</w:t>
            </w:r>
            <w:r w:rsidR="00EE702B" w:rsidRPr="00EE702B">
              <w:rPr>
                <w:rFonts w:cstheme="minorHAnsi"/>
                <w:bCs/>
                <w:color w:val="1F497D" w:themeColor="text2"/>
              </w:rPr>
              <w:t>.</w:t>
            </w:r>
          </w:p>
        </w:tc>
      </w:tr>
    </w:tbl>
    <w:p w14:paraId="17F6AE50" w14:textId="77777777" w:rsidR="00EE702B" w:rsidRPr="00EE702B" w:rsidRDefault="00EE702B" w:rsidP="00EE702B">
      <w:pPr>
        <w:pStyle w:val="ListParagraph"/>
        <w:spacing w:after="0" w:line="240" w:lineRule="auto"/>
        <w:jc w:val="both"/>
        <w:rPr>
          <w:rFonts w:cstheme="minorHAnsi"/>
          <w:bCs/>
        </w:rPr>
      </w:pPr>
    </w:p>
    <w:p w14:paraId="353B95BF" w14:textId="77777777" w:rsidR="00503DD1" w:rsidRPr="00503DD1" w:rsidRDefault="00503DD1" w:rsidP="00503DD1">
      <w:pPr>
        <w:spacing w:after="0" w:line="240" w:lineRule="auto"/>
        <w:jc w:val="both"/>
        <w:rPr>
          <w:rFonts w:cstheme="minorHAnsi"/>
          <w:bCs/>
        </w:rPr>
      </w:pPr>
    </w:p>
    <w:p w14:paraId="5FACDD55" w14:textId="56D3DE26" w:rsidR="00503DD1" w:rsidRDefault="00503DD1" w:rsidP="00503DD1">
      <w:pPr>
        <w:pStyle w:val="ListParagraph"/>
        <w:numPr>
          <w:ilvl w:val="0"/>
          <w:numId w:val="14"/>
        </w:numPr>
        <w:spacing w:after="0" w:line="240" w:lineRule="auto"/>
        <w:jc w:val="both"/>
        <w:rPr>
          <w:rFonts w:cstheme="minorHAnsi"/>
          <w:bCs/>
        </w:rPr>
      </w:pPr>
      <w:r w:rsidRPr="00503DD1">
        <w:rPr>
          <w:rFonts w:cstheme="minorHAnsi"/>
          <w:bCs/>
        </w:rPr>
        <w:t>¿Es procedente que negocien colectivamente los exsocios del Sindicato N°1? En caso de que sea posible negociar colectivamente, deberá señalar los efectos jurídicos de la inclusión de ellos en la nómina negociadora</w:t>
      </w:r>
      <w:r>
        <w:rPr>
          <w:rFonts w:cstheme="minorHAnsi"/>
          <w:bCs/>
        </w:rPr>
        <w:t xml:space="preserve"> (1 punto)</w:t>
      </w:r>
    </w:p>
    <w:p w14:paraId="166E0AC8" w14:textId="77777777" w:rsidR="00EE702B" w:rsidRDefault="00EE702B" w:rsidP="00EE702B">
      <w:pPr>
        <w:pStyle w:val="ListParagraph"/>
        <w:spacing w:after="0" w:line="240" w:lineRule="auto"/>
        <w:jc w:val="both"/>
        <w:rPr>
          <w:rFonts w:cstheme="minorHAnsi"/>
          <w:bCs/>
        </w:rPr>
      </w:pPr>
    </w:p>
    <w:tbl>
      <w:tblPr>
        <w:tblStyle w:val="TableGrid"/>
        <w:tblW w:w="0" w:type="auto"/>
        <w:tblInd w:w="720" w:type="dxa"/>
        <w:tblLook w:val="04A0" w:firstRow="1" w:lastRow="0" w:firstColumn="1" w:lastColumn="0" w:noHBand="0" w:noVBand="1"/>
      </w:tblPr>
      <w:tblGrid>
        <w:gridCol w:w="8108"/>
      </w:tblGrid>
      <w:tr w:rsidR="00EE702B" w14:paraId="40124D7C" w14:textId="77777777" w:rsidTr="00EE702B">
        <w:tc>
          <w:tcPr>
            <w:tcW w:w="8828" w:type="dxa"/>
          </w:tcPr>
          <w:p w14:paraId="2858EC62" w14:textId="77777777" w:rsidR="00EE702B" w:rsidRDefault="00EE702B" w:rsidP="00EE702B">
            <w:pPr>
              <w:pStyle w:val="ListParagraph"/>
              <w:ind w:left="0"/>
              <w:jc w:val="both"/>
              <w:rPr>
                <w:rFonts w:cstheme="minorHAnsi"/>
                <w:bCs/>
                <w:color w:val="1F497D" w:themeColor="text2"/>
              </w:rPr>
            </w:pPr>
            <w:r w:rsidRPr="00EE702B">
              <w:rPr>
                <w:rFonts w:cstheme="minorHAnsi"/>
                <w:bCs/>
              </w:rPr>
              <w:t>L</w:t>
            </w:r>
            <w:r w:rsidRPr="00EE702B">
              <w:rPr>
                <w:rFonts w:cstheme="minorHAnsi"/>
                <w:bCs/>
                <w:color w:val="1F497D" w:themeColor="text2"/>
              </w:rPr>
              <w:t>os exsocios del Sindicato N°1 podrán negociar colectivamente, aunque los efectos del instrumento colectivo del Sindicato N°2 les serán aplicables solo cuando se extinga el instrumento del Sindicato N°1.</w:t>
            </w:r>
          </w:p>
          <w:p w14:paraId="6F825440" w14:textId="77777777" w:rsidR="00EE702B" w:rsidRDefault="00EE702B" w:rsidP="00EE702B">
            <w:pPr>
              <w:pStyle w:val="ListParagraph"/>
              <w:ind w:left="0"/>
              <w:jc w:val="both"/>
              <w:rPr>
                <w:rFonts w:cstheme="minorHAnsi"/>
                <w:bCs/>
                <w:color w:val="1F497D" w:themeColor="text2"/>
              </w:rPr>
            </w:pPr>
          </w:p>
          <w:p w14:paraId="66860FA0" w14:textId="512FB384" w:rsidR="00EE702B" w:rsidRDefault="006A32EA" w:rsidP="00EE702B">
            <w:pPr>
              <w:pStyle w:val="ListParagraph"/>
              <w:ind w:left="23"/>
              <w:jc w:val="both"/>
              <w:rPr>
                <w:rFonts w:cstheme="minorHAnsi"/>
                <w:bCs/>
              </w:rPr>
            </w:pPr>
            <w:r>
              <w:rPr>
                <w:rFonts w:cstheme="minorHAnsi"/>
                <w:bCs/>
                <w:color w:val="1F497D" w:themeColor="text2"/>
              </w:rPr>
              <w:t xml:space="preserve">Se considerará como información complementaria y útil para la respuesta el criterio definido </w:t>
            </w:r>
            <w:r w:rsidR="00EE702B" w:rsidRPr="00EE702B">
              <w:rPr>
                <w:rFonts w:cstheme="minorHAnsi"/>
                <w:bCs/>
                <w:color w:val="1F497D" w:themeColor="text2"/>
              </w:rPr>
              <w:t xml:space="preserve">por la DT </w:t>
            </w:r>
            <w:r w:rsidR="00EE702B">
              <w:rPr>
                <w:rFonts w:cstheme="minorHAnsi"/>
                <w:bCs/>
                <w:color w:val="1F497D" w:themeColor="text2"/>
              </w:rPr>
              <w:t>(</w:t>
            </w:r>
            <w:r w:rsidR="00EE702B" w:rsidRPr="00EE702B">
              <w:rPr>
                <w:rFonts w:cstheme="minorHAnsi"/>
                <w:bCs/>
                <w:color w:val="1F497D" w:themeColor="text2"/>
              </w:rPr>
              <w:t>Ord. N° 838/28</w:t>
            </w:r>
            <w:r w:rsidR="00440A3C">
              <w:rPr>
                <w:rFonts w:cstheme="minorHAnsi"/>
                <w:bCs/>
                <w:color w:val="1F497D" w:themeColor="text2"/>
              </w:rPr>
              <w:t xml:space="preserve">, </w:t>
            </w:r>
            <w:r w:rsidR="00EE702B" w:rsidRPr="00EE702B">
              <w:rPr>
                <w:rFonts w:cstheme="minorHAnsi"/>
                <w:bCs/>
                <w:color w:val="1F497D" w:themeColor="text2"/>
              </w:rPr>
              <w:t>12.06.2023)</w:t>
            </w:r>
            <w:r w:rsidR="00EE702B">
              <w:rPr>
                <w:rFonts w:cstheme="minorHAnsi"/>
                <w:bCs/>
                <w:color w:val="1F497D" w:themeColor="text2"/>
              </w:rPr>
              <w:t xml:space="preserve">, en el que fijó un criterio distinto: se permitiría negociar (al ser un derecho fundamental), pero los efectos del instrumento </w:t>
            </w:r>
            <w:r w:rsidR="00EE702B">
              <w:rPr>
                <w:rFonts w:cstheme="minorHAnsi"/>
                <w:bCs/>
                <w:color w:val="1F497D" w:themeColor="text2"/>
              </w:rPr>
              <w:lastRenderedPageBreak/>
              <w:t>solo regirían tras el término de vigencia del contrato colectivo al que estaba afecto (de su anterior sindicato: N° 1).</w:t>
            </w:r>
          </w:p>
        </w:tc>
      </w:tr>
    </w:tbl>
    <w:p w14:paraId="210D0711" w14:textId="77777777" w:rsidR="00EE702B" w:rsidRDefault="00EE702B" w:rsidP="00EE702B">
      <w:pPr>
        <w:pStyle w:val="ListParagraph"/>
        <w:spacing w:after="0" w:line="240" w:lineRule="auto"/>
        <w:jc w:val="both"/>
        <w:rPr>
          <w:rFonts w:cstheme="minorHAnsi"/>
          <w:bCs/>
        </w:rPr>
      </w:pPr>
    </w:p>
    <w:p w14:paraId="626372F3" w14:textId="77777777" w:rsidR="00503DD1" w:rsidRDefault="00503DD1" w:rsidP="00503DD1">
      <w:pPr>
        <w:pStyle w:val="ListParagraph"/>
        <w:spacing w:after="0" w:line="240" w:lineRule="auto"/>
        <w:jc w:val="both"/>
        <w:rPr>
          <w:rFonts w:cstheme="minorHAnsi"/>
          <w:bCs/>
        </w:rPr>
      </w:pPr>
    </w:p>
    <w:p w14:paraId="5D082B5C" w14:textId="0637C738" w:rsidR="00503DD1" w:rsidRDefault="00503DD1" w:rsidP="00503DD1">
      <w:pPr>
        <w:pStyle w:val="ListParagraph"/>
        <w:numPr>
          <w:ilvl w:val="0"/>
          <w:numId w:val="14"/>
        </w:numPr>
        <w:spacing w:after="0" w:line="240" w:lineRule="auto"/>
        <w:jc w:val="both"/>
        <w:rPr>
          <w:rFonts w:cstheme="minorHAnsi"/>
          <w:bCs/>
        </w:rPr>
      </w:pPr>
      <w:r w:rsidRPr="00503DD1">
        <w:rPr>
          <w:rFonts w:cstheme="minorHAnsi"/>
          <w:bCs/>
        </w:rPr>
        <w:t xml:space="preserve">¿Es procedente que el Sindicato N°2 le exija a </w:t>
      </w:r>
      <w:proofErr w:type="spellStart"/>
      <w:r w:rsidRPr="00503DD1">
        <w:rPr>
          <w:rFonts w:cstheme="minorHAnsi"/>
          <w:bCs/>
        </w:rPr>
        <w:t>LabLab</w:t>
      </w:r>
      <w:proofErr w:type="spellEnd"/>
      <w:r w:rsidRPr="00503DD1">
        <w:rPr>
          <w:rFonts w:cstheme="minorHAnsi"/>
          <w:bCs/>
        </w:rPr>
        <w:t xml:space="preserve"> la información adicional respecto de las remuneraciones de trabajadores que no son sus socios que pide juntamente con su proyecto?</w:t>
      </w:r>
      <w:r>
        <w:rPr>
          <w:rFonts w:cstheme="minorHAnsi"/>
          <w:bCs/>
        </w:rPr>
        <w:t xml:space="preserve"> (1 punto).</w:t>
      </w:r>
    </w:p>
    <w:p w14:paraId="597A9F46" w14:textId="77777777" w:rsidR="00EE702B" w:rsidRDefault="00EE702B" w:rsidP="00EE702B">
      <w:pPr>
        <w:pStyle w:val="ListParagraph"/>
        <w:spacing w:after="0" w:line="240" w:lineRule="auto"/>
        <w:jc w:val="both"/>
        <w:rPr>
          <w:rFonts w:cstheme="minorHAnsi"/>
          <w:bCs/>
        </w:rPr>
      </w:pPr>
    </w:p>
    <w:tbl>
      <w:tblPr>
        <w:tblStyle w:val="TableGrid"/>
        <w:tblW w:w="0" w:type="auto"/>
        <w:tblInd w:w="720" w:type="dxa"/>
        <w:tblLook w:val="04A0" w:firstRow="1" w:lastRow="0" w:firstColumn="1" w:lastColumn="0" w:noHBand="0" w:noVBand="1"/>
      </w:tblPr>
      <w:tblGrid>
        <w:gridCol w:w="8108"/>
      </w:tblGrid>
      <w:tr w:rsidR="00EE702B" w14:paraId="28142CDC" w14:textId="77777777" w:rsidTr="00EE702B">
        <w:tc>
          <w:tcPr>
            <w:tcW w:w="8828" w:type="dxa"/>
          </w:tcPr>
          <w:p w14:paraId="4891D933" w14:textId="77777777" w:rsidR="00EE702B" w:rsidRPr="00EE702B" w:rsidRDefault="00EE702B" w:rsidP="00EE702B">
            <w:pPr>
              <w:pStyle w:val="ListParagraph"/>
              <w:ind w:left="23"/>
              <w:jc w:val="both"/>
              <w:rPr>
                <w:rFonts w:cstheme="minorHAnsi"/>
                <w:bCs/>
                <w:color w:val="1F497D" w:themeColor="text2"/>
              </w:rPr>
            </w:pPr>
            <w:r w:rsidRPr="00EE702B">
              <w:rPr>
                <w:rFonts w:cstheme="minorHAnsi"/>
                <w:bCs/>
                <w:color w:val="1F497D" w:themeColor="text2"/>
              </w:rPr>
              <w:t>El Sindicato N°2 no puede solicitar información sobre las remuneraciones pagadas a</w:t>
            </w:r>
          </w:p>
          <w:p w14:paraId="1E466640" w14:textId="77777777" w:rsidR="00EE702B" w:rsidRDefault="00EE702B" w:rsidP="00EE702B">
            <w:pPr>
              <w:pStyle w:val="ListParagraph"/>
              <w:ind w:left="23"/>
              <w:jc w:val="both"/>
              <w:rPr>
                <w:rFonts w:cstheme="minorHAnsi"/>
                <w:bCs/>
                <w:color w:val="1F497D" w:themeColor="text2"/>
              </w:rPr>
            </w:pPr>
            <w:r w:rsidRPr="00EE702B">
              <w:rPr>
                <w:rFonts w:cstheme="minorHAnsi"/>
                <w:bCs/>
                <w:color w:val="1F497D" w:themeColor="text2"/>
              </w:rPr>
              <w:t>trabajadores ajenos a la negociación colectiva (menos de gerentes de la empresa).</w:t>
            </w:r>
          </w:p>
          <w:p w14:paraId="01844B88" w14:textId="77777777" w:rsidR="00791E43" w:rsidRDefault="00791E43" w:rsidP="00EE702B">
            <w:pPr>
              <w:pStyle w:val="ListParagraph"/>
              <w:ind w:left="23"/>
              <w:jc w:val="both"/>
              <w:rPr>
                <w:rFonts w:cstheme="minorHAnsi"/>
                <w:bCs/>
                <w:color w:val="1F497D" w:themeColor="text2"/>
              </w:rPr>
            </w:pPr>
          </w:p>
          <w:p w14:paraId="2D8EB7A0" w14:textId="4BE336BE" w:rsidR="00791E43" w:rsidRDefault="00791E43" w:rsidP="00EE702B">
            <w:pPr>
              <w:pStyle w:val="ListParagraph"/>
              <w:ind w:left="23"/>
              <w:jc w:val="both"/>
              <w:rPr>
                <w:rFonts w:cstheme="minorHAnsi"/>
                <w:bCs/>
                <w:color w:val="1F497D" w:themeColor="text2"/>
              </w:rPr>
            </w:pPr>
            <w:r>
              <w:rPr>
                <w:rFonts w:cstheme="minorHAnsi"/>
                <w:bCs/>
                <w:color w:val="1F497D" w:themeColor="text2"/>
              </w:rPr>
              <w:t>Se deberá diferenciar:</w:t>
            </w:r>
          </w:p>
          <w:p w14:paraId="0AE56AEB" w14:textId="77777777" w:rsidR="00791E43" w:rsidRDefault="00791E43" w:rsidP="00EE702B">
            <w:pPr>
              <w:pStyle w:val="ListParagraph"/>
              <w:ind w:left="23"/>
              <w:jc w:val="both"/>
              <w:rPr>
                <w:rFonts w:cstheme="minorHAnsi"/>
                <w:bCs/>
                <w:color w:val="1F497D" w:themeColor="text2"/>
              </w:rPr>
            </w:pPr>
          </w:p>
          <w:p w14:paraId="38C45938" w14:textId="77777777" w:rsidR="00791E43" w:rsidRDefault="00791E43" w:rsidP="00791E43">
            <w:pPr>
              <w:pStyle w:val="ListParagraph"/>
              <w:numPr>
                <w:ilvl w:val="0"/>
                <w:numId w:val="16"/>
              </w:numPr>
              <w:jc w:val="both"/>
              <w:rPr>
                <w:rFonts w:cstheme="minorHAnsi"/>
                <w:bCs/>
                <w:color w:val="1F497D" w:themeColor="text2"/>
              </w:rPr>
            </w:pPr>
            <w:r>
              <w:rPr>
                <w:rFonts w:cstheme="minorHAnsi"/>
                <w:bCs/>
                <w:color w:val="1F497D" w:themeColor="text2"/>
              </w:rPr>
              <w:t>Información para el proceso de negociación colectiva: no es viable requerir la información que se pide.</w:t>
            </w:r>
          </w:p>
          <w:p w14:paraId="0549217F" w14:textId="77777777" w:rsidR="00791E43" w:rsidRDefault="00791E43" w:rsidP="00791E43">
            <w:pPr>
              <w:pStyle w:val="ListParagraph"/>
              <w:ind w:left="383"/>
              <w:jc w:val="both"/>
              <w:rPr>
                <w:rFonts w:cstheme="minorHAnsi"/>
                <w:bCs/>
                <w:color w:val="1F497D" w:themeColor="text2"/>
              </w:rPr>
            </w:pPr>
          </w:p>
          <w:p w14:paraId="233E4CC7" w14:textId="15ECA15D" w:rsidR="00EE702B" w:rsidRDefault="00791E43" w:rsidP="00791E43">
            <w:pPr>
              <w:pStyle w:val="ListParagraph"/>
              <w:numPr>
                <w:ilvl w:val="0"/>
                <w:numId w:val="16"/>
              </w:numPr>
              <w:jc w:val="both"/>
              <w:rPr>
                <w:rFonts w:cstheme="minorHAnsi"/>
                <w:bCs/>
              </w:rPr>
            </w:pPr>
            <w:r w:rsidRPr="00791E43">
              <w:rPr>
                <w:rFonts w:cstheme="minorHAnsi"/>
                <w:bCs/>
                <w:color w:val="1F497D" w:themeColor="text2"/>
              </w:rPr>
              <w:t xml:space="preserve">Información </w:t>
            </w:r>
            <w:r w:rsidRPr="00791E43">
              <w:rPr>
                <w:rFonts w:cstheme="minorHAnsi"/>
                <w:bCs/>
                <w:i/>
                <w:iCs/>
                <w:color w:val="1F497D" w:themeColor="text2"/>
              </w:rPr>
              <w:t>periódica</w:t>
            </w:r>
            <w:r w:rsidRPr="00791E43">
              <w:rPr>
                <w:rFonts w:cstheme="minorHAnsi"/>
                <w:bCs/>
                <w:color w:val="1F497D" w:themeColor="text2"/>
              </w:rPr>
              <w:t>: c</w:t>
            </w:r>
            <w:r w:rsidR="00EE702B" w:rsidRPr="00791E43">
              <w:rPr>
                <w:rFonts w:cstheme="minorHAnsi"/>
                <w:bCs/>
                <w:color w:val="1F497D" w:themeColor="text2"/>
              </w:rPr>
              <w:t>onforme el artículo 317 del CT podría solicitar una vez en cada año calendario la</w:t>
            </w:r>
            <w:r w:rsidRPr="00791E43">
              <w:rPr>
                <w:rFonts w:cstheme="minorHAnsi"/>
                <w:bCs/>
                <w:color w:val="1F497D" w:themeColor="text2"/>
              </w:rPr>
              <w:t xml:space="preserve"> </w:t>
            </w:r>
            <w:r w:rsidR="00EE702B" w:rsidRPr="00791E43">
              <w:rPr>
                <w:rFonts w:cstheme="minorHAnsi"/>
                <w:bCs/>
                <w:color w:val="1F497D" w:themeColor="text2"/>
              </w:rPr>
              <w:t>información sobre remuneraciones asignadas a trabajadores de los diversos cargos o</w:t>
            </w:r>
            <w:r>
              <w:rPr>
                <w:rFonts w:cstheme="minorHAnsi"/>
                <w:bCs/>
                <w:color w:val="1F497D" w:themeColor="text2"/>
              </w:rPr>
              <w:t xml:space="preserve"> </w:t>
            </w:r>
            <w:r w:rsidR="00EE702B" w:rsidRPr="00791E43">
              <w:rPr>
                <w:rFonts w:cstheme="minorHAnsi"/>
                <w:bCs/>
                <w:color w:val="1F497D" w:themeColor="text2"/>
              </w:rPr>
              <w:t>funciones de la empresa que se encuentren contenidas en el registro a que se refiere el</w:t>
            </w:r>
            <w:r>
              <w:rPr>
                <w:rFonts w:cstheme="minorHAnsi"/>
                <w:bCs/>
                <w:color w:val="1F497D" w:themeColor="text2"/>
              </w:rPr>
              <w:t xml:space="preserve"> </w:t>
            </w:r>
            <w:r w:rsidR="00EE702B" w:rsidRPr="00EE702B">
              <w:rPr>
                <w:rFonts w:cstheme="minorHAnsi"/>
                <w:bCs/>
                <w:color w:val="1F497D" w:themeColor="text2"/>
              </w:rPr>
              <w:t>numeral 6) del artículo 154 del CT</w:t>
            </w:r>
          </w:p>
        </w:tc>
      </w:tr>
    </w:tbl>
    <w:p w14:paraId="528A61B9" w14:textId="77777777" w:rsidR="00EE702B" w:rsidRPr="00503DD1" w:rsidRDefault="00EE702B" w:rsidP="00EE702B">
      <w:pPr>
        <w:pStyle w:val="ListParagraph"/>
        <w:spacing w:after="0" w:line="240" w:lineRule="auto"/>
        <w:jc w:val="both"/>
        <w:rPr>
          <w:rFonts w:cstheme="minorHAnsi"/>
          <w:bCs/>
        </w:rPr>
      </w:pPr>
    </w:p>
    <w:p w14:paraId="29390CDA" w14:textId="2F9BF074" w:rsidR="007E7CC5" w:rsidRPr="00004900" w:rsidRDefault="007E7CC5" w:rsidP="00503DD1">
      <w:pPr>
        <w:spacing w:after="0" w:line="240" w:lineRule="auto"/>
        <w:contextualSpacing/>
        <w:jc w:val="both"/>
        <w:rPr>
          <w:rFonts w:cstheme="minorHAnsi"/>
          <w:color w:val="000000" w:themeColor="text1"/>
        </w:rPr>
      </w:pPr>
    </w:p>
    <w:sectPr w:rsidR="007E7CC5" w:rsidRPr="00004900" w:rsidSect="00F02F56">
      <w:footerReference w:type="even"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12F74" w14:textId="77777777" w:rsidR="00CB04BD" w:rsidRDefault="00CB04BD" w:rsidP="007645E5">
      <w:pPr>
        <w:spacing w:after="0" w:line="240" w:lineRule="auto"/>
      </w:pPr>
      <w:r>
        <w:separator/>
      </w:r>
    </w:p>
  </w:endnote>
  <w:endnote w:type="continuationSeparator" w:id="0">
    <w:p w14:paraId="24696A9F" w14:textId="77777777" w:rsidR="00CB04BD" w:rsidRDefault="00CB04BD" w:rsidP="0076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4014900"/>
      <w:docPartObj>
        <w:docPartGallery w:val="Page Numbers (Bottom of Page)"/>
        <w:docPartUnique/>
      </w:docPartObj>
    </w:sdtPr>
    <w:sdtContent>
      <w:p w14:paraId="2D93BD6A" w14:textId="149C544B" w:rsidR="007645E5" w:rsidRDefault="007645E5" w:rsidP="001F79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0AB377" w14:textId="77777777" w:rsidR="007645E5" w:rsidRDefault="007645E5" w:rsidP="007645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6533254"/>
      <w:docPartObj>
        <w:docPartGallery w:val="Page Numbers (Bottom of Page)"/>
        <w:docPartUnique/>
      </w:docPartObj>
    </w:sdtPr>
    <w:sdtContent>
      <w:p w14:paraId="4B2C1D8F" w14:textId="6A8B5429" w:rsidR="007645E5" w:rsidRDefault="007645E5" w:rsidP="001F79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CA1FA1" w14:textId="77777777" w:rsidR="007645E5" w:rsidRDefault="007645E5" w:rsidP="007645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062D1" w14:textId="77777777" w:rsidR="00CB04BD" w:rsidRDefault="00CB04BD" w:rsidP="007645E5">
      <w:pPr>
        <w:spacing w:after="0" w:line="240" w:lineRule="auto"/>
      </w:pPr>
      <w:r>
        <w:separator/>
      </w:r>
    </w:p>
  </w:footnote>
  <w:footnote w:type="continuationSeparator" w:id="0">
    <w:p w14:paraId="28770638" w14:textId="77777777" w:rsidR="00CB04BD" w:rsidRDefault="00CB04BD" w:rsidP="00764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D7E9E"/>
    <w:multiLevelType w:val="hybridMultilevel"/>
    <w:tmpl w:val="5BCE7D84"/>
    <w:lvl w:ilvl="0" w:tplc="3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9043D41"/>
    <w:multiLevelType w:val="hybridMultilevel"/>
    <w:tmpl w:val="79B69EFC"/>
    <w:lvl w:ilvl="0" w:tplc="631494F2">
      <w:start w:val="1"/>
      <w:numFmt w:val="lowerLetter"/>
      <w:lvlText w:val="%1."/>
      <w:lvlJc w:val="left"/>
      <w:pPr>
        <w:ind w:left="383" w:hanging="360"/>
      </w:pPr>
      <w:rPr>
        <w:rFonts w:hint="default"/>
      </w:rPr>
    </w:lvl>
    <w:lvl w:ilvl="1" w:tplc="340A0019" w:tentative="1">
      <w:start w:val="1"/>
      <w:numFmt w:val="lowerLetter"/>
      <w:lvlText w:val="%2."/>
      <w:lvlJc w:val="left"/>
      <w:pPr>
        <w:ind w:left="1103" w:hanging="360"/>
      </w:pPr>
    </w:lvl>
    <w:lvl w:ilvl="2" w:tplc="340A001B" w:tentative="1">
      <w:start w:val="1"/>
      <w:numFmt w:val="lowerRoman"/>
      <w:lvlText w:val="%3."/>
      <w:lvlJc w:val="right"/>
      <w:pPr>
        <w:ind w:left="1823" w:hanging="180"/>
      </w:pPr>
    </w:lvl>
    <w:lvl w:ilvl="3" w:tplc="340A000F" w:tentative="1">
      <w:start w:val="1"/>
      <w:numFmt w:val="decimal"/>
      <w:lvlText w:val="%4."/>
      <w:lvlJc w:val="left"/>
      <w:pPr>
        <w:ind w:left="2543" w:hanging="360"/>
      </w:pPr>
    </w:lvl>
    <w:lvl w:ilvl="4" w:tplc="340A0019" w:tentative="1">
      <w:start w:val="1"/>
      <w:numFmt w:val="lowerLetter"/>
      <w:lvlText w:val="%5."/>
      <w:lvlJc w:val="left"/>
      <w:pPr>
        <w:ind w:left="3263" w:hanging="360"/>
      </w:pPr>
    </w:lvl>
    <w:lvl w:ilvl="5" w:tplc="340A001B" w:tentative="1">
      <w:start w:val="1"/>
      <w:numFmt w:val="lowerRoman"/>
      <w:lvlText w:val="%6."/>
      <w:lvlJc w:val="right"/>
      <w:pPr>
        <w:ind w:left="3983" w:hanging="180"/>
      </w:pPr>
    </w:lvl>
    <w:lvl w:ilvl="6" w:tplc="340A000F" w:tentative="1">
      <w:start w:val="1"/>
      <w:numFmt w:val="decimal"/>
      <w:lvlText w:val="%7."/>
      <w:lvlJc w:val="left"/>
      <w:pPr>
        <w:ind w:left="4703" w:hanging="360"/>
      </w:pPr>
    </w:lvl>
    <w:lvl w:ilvl="7" w:tplc="340A0019" w:tentative="1">
      <w:start w:val="1"/>
      <w:numFmt w:val="lowerLetter"/>
      <w:lvlText w:val="%8."/>
      <w:lvlJc w:val="left"/>
      <w:pPr>
        <w:ind w:left="5423" w:hanging="360"/>
      </w:pPr>
    </w:lvl>
    <w:lvl w:ilvl="8" w:tplc="340A001B" w:tentative="1">
      <w:start w:val="1"/>
      <w:numFmt w:val="lowerRoman"/>
      <w:lvlText w:val="%9."/>
      <w:lvlJc w:val="right"/>
      <w:pPr>
        <w:ind w:left="6143" w:hanging="180"/>
      </w:pPr>
    </w:lvl>
  </w:abstractNum>
  <w:abstractNum w:abstractNumId="2" w15:restartNumberingAfterBreak="0">
    <w:nsid w:val="2B2017EC"/>
    <w:multiLevelType w:val="hybridMultilevel"/>
    <w:tmpl w:val="286E80EA"/>
    <w:lvl w:ilvl="0" w:tplc="8A46467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E565763"/>
    <w:multiLevelType w:val="hybridMultilevel"/>
    <w:tmpl w:val="BDE0F36E"/>
    <w:lvl w:ilvl="0" w:tplc="90024698">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E8550E6"/>
    <w:multiLevelType w:val="hybridMultilevel"/>
    <w:tmpl w:val="B054179E"/>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7C41161"/>
    <w:multiLevelType w:val="hybridMultilevel"/>
    <w:tmpl w:val="EFE24A2E"/>
    <w:lvl w:ilvl="0" w:tplc="3CA28F4A">
      <w:start w:val="1"/>
      <w:numFmt w:val="upperRoman"/>
      <w:lvlText w:val="%1."/>
      <w:lvlJc w:val="left"/>
      <w:pPr>
        <w:ind w:left="360" w:hanging="360"/>
      </w:pPr>
      <w:rPr>
        <w:rFonts w:hint="default"/>
      </w:rPr>
    </w:lvl>
    <w:lvl w:ilvl="1" w:tplc="040A000F">
      <w:start w:val="1"/>
      <w:numFmt w:val="decimal"/>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3C8A3EE3"/>
    <w:multiLevelType w:val="hybridMultilevel"/>
    <w:tmpl w:val="6FE293A2"/>
    <w:lvl w:ilvl="0" w:tplc="CC0A537E">
      <w:start w:val="1"/>
      <w:numFmt w:val="lowerLetter"/>
      <w:lvlText w:val="%1."/>
      <w:lvlJc w:val="left"/>
      <w:pPr>
        <w:ind w:left="383" w:hanging="360"/>
      </w:pPr>
      <w:rPr>
        <w:rFonts w:hint="default"/>
      </w:rPr>
    </w:lvl>
    <w:lvl w:ilvl="1" w:tplc="340A0019" w:tentative="1">
      <w:start w:val="1"/>
      <w:numFmt w:val="lowerLetter"/>
      <w:lvlText w:val="%2."/>
      <w:lvlJc w:val="left"/>
      <w:pPr>
        <w:ind w:left="1103" w:hanging="360"/>
      </w:pPr>
    </w:lvl>
    <w:lvl w:ilvl="2" w:tplc="340A001B" w:tentative="1">
      <w:start w:val="1"/>
      <w:numFmt w:val="lowerRoman"/>
      <w:lvlText w:val="%3."/>
      <w:lvlJc w:val="right"/>
      <w:pPr>
        <w:ind w:left="1823" w:hanging="180"/>
      </w:pPr>
    </w:lvl>
    <w:lvl w:ilvl="3" w:tplc="340A000F" w:tentative="1">
      <w:start w:val="1"/>
      <w:numFmt w:val="decimal"/>
      <w:lvlText w:val="%4."/>
      <w:lvlJc w:val="left"/>
      <w:pPr>
        <w:ind w:left="2543" w:hanging="360"/>
      </w:pPr>
    </w:lvl>
    <w:lvl w:ilvl="4" w:tplc="340A0019" w:tentative="1">
      <w:start w:val="1"/>
      <w:numFmt w:val="lowerLetter"/>
      <w:lvlText w:val="%5."/>
      <w:lvlJc w:val="left"/>
      <w:pPr>
        <w:ind w:left="3263" w:hanging="360"/>
      </w:pPr>
    </w:lvl>
    <w:lvl w:ilvl="5" w:tplc="340A001B" w:tentative="1">
      <w:start w:val="1"/>
      <w:numFmt w:val="lowerRoman"/>
      <w:lvlText w:val="%6."/>
      <w:lvlJc w:val="right"/>
      <w:pPr>
        <w:ind w:left="3983" w:hanging="180"/>
      </w:pPr>
    </w:lvl>
    <w:lvl w:ilvl="6" w:tplc="340A000F" w:tentative="1">
      <w:start w:val="1"/>
      <w:numFmt w:val="decimal"/>
      <w:lvlText w:val="%7."/>
      <w:lvlJc w:val="left"/>
      <w:pPr>
        <w:ind w:left="4703" w:hanging="360"/>
      </w:pPr>
    </w:lvl>
    <w:lvl w:ilvl="7" w:tplc="340A0019" w:tentative="1">
      <w:start w:val="1"/>
      <w:numFmt w:val="lowerLetter"/>
      <w:lvlText w:val="%8."/>
      <w:lvlJc w:val="left"/>
      <w:pPr>
        <w:ind w:left="5423" w:hanging="360"/>
      </w:pPr>
    </w:lvl>
    <w:lvl w:ilvl="8" w:tplc="340A001B" w:tentative="1">
      <w:start w:val="1"/>
      <w:numFmt w:val="lowerRoman"/>
      <w:lvlText w:val="%9."/>
      <w:lvlJc w:val="right"/>
      <w:pPr>
        <w:ind w:left="6143" w:hanging="180"/>
      </w:pPr>
    </w:lvl>
  </w:abstractNum>
  <w:abstractNum w:abstractNumId="7" w15:restartNumberingAfterBreak="0">
    <w:nsid w:val="3FFA1293"/>
    <w:multiLevelType w:val="hybridMultilevel"/>
    <w:tmpl w:val="A184C89C"/>
    <w:lvl w:ilvl="0" w:tplc="3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0E71DC4"/>
    <w:multiLevelType w:val="hybridMultilevel"/>
    <w:tmpl w:val="2766C1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C9C51F6"/>
    <w:multiLevelType w:val="hybridMultilevel"/>
    <w:tmpl w:val="06B49664"/>
    <w:lvl w:ilvl="0" w:tplc="3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0" w15:restartNumberingAfterBreak="0">
    <w:nsid w:val="5E411D49"/>
    <w:multiLevelType w:val="hybridMultilevel"/>
    <w:tmpl w:val="8BAE3C14"/>
    <w:lvl w:ilvl="0" w:tplc="BE14AC1A">
      <w:start w:val="3"/>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67363D2A"/>
    <w:multiLevelType w:val="hybridMultilevel"/>
    <w:tmpl w:val="5C208CB6"/>
    <w:lvl w:ilvl="0" w:tplc="340A000F">
      <w:start w:val="1"/>
      <w:numFmt w:val="decimal"/>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12" w15:restartNumberingAfterBreak="0">
    <w:nsid w:val="674B723B"/>
    <w:multiLevelType w:val="hybridMultilevel"/>
    <w:tmpl w:val="F7201544"/>
    <w:lvl w:ilvl="0" w:tplc="7DFCC00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9D13CB6"/>
    <w:multiLevelType w:val="hybridMultilevel"/>
    <w:tmpl w:val="AE523446"/>
    <w:lvl w:ilvl="0" w:tplc="3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6C7F06A1"/>
    <w:multiLevelType w:val="hybridMultilevel"/>
    <w:tmpl w:val="7CB83CB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9602E92"/>
    <w:multiLevelType w:val="hybridMultilevel"/>
    <w:tmpl w:val="15F24D32"/>
    <w:lvl w:ilvl="0" w:tplc="6FAA6C9C">
      <w:start w:val="1"/>
      <w:numFmt w:val="lowerLetter"/>
      <w:lvlText w:val="%1)"/>
      <w:lvlJc w:val="left"/>
      <w:pPr>
        <w:ind w:left="349" w:hanging="360"/>
      </w:pPr>
      <w:rPr>
        <w:rFonts w:hint="default"/>
      </w:rPr>
    </w:lvl>
    <w:lvl w:ilvl="1" w:tplc="340A0019" w:tentative="1">
      <w:start w:val="1"/>
      <w:numFmt w:val="lowerLetter"/>
      <w:lvlText w:val="%2."/>
      <w:lvlJc w:val="left"/>
      <w:pPr>
        <w:ind w:left="1069" w:hanging="360"/>
      </w:pPr>
    </w:lvl>
    <w:lvl w:ilvl="2" w:tplc="340A001B" w:tentative="1">
      <w:start w:val="1"/>
      <w:numFmt w:val="lowerRoman"/>
      <w:lvlText w:val="%3."/>
      <w:lvlJc w:val="right"/>
      <w:pPr>
        <w:ind w:left="1789" w:hanging="180"/>
      </w:pPr>
    </w:lvl>
    <w:lvl w:ilvl="3" w:tplc="340A000F" w:tentative="1">
      <w:start w:val="1"/>
      <w:numFmt w:val="decimal"/>
      <w:lvlText w:val="%4."/>
      <w:lvlJc w:val="left"/>
      <w:pPr>
        <w:ind w:left="2509" w:hanging="360"/>
      </w:pPr>
    </w:lvl>
    <w:lvl w:ilvl="4" w:tplc="340A0019" w:tentative="1">
      <w:start w:val="1"/>
      <w:numFmt w:val="lowerLetter"/>
      <w:lvlText w:val="%5."/>
      <w:lvlJc w:val="left"/>
      <w:pPr>
        <w:ind w:left="3229" w:hanging="360"/>
      </w:pPr>
    </w:lvl>
    <w:lvl w:ilvl="5" w:tplc="340A001B" w:tentative="1">
      <w:start w:val="1"/>
      <w:numFmt w:val="lowerRoman"/>
      <w:lvlText w:val="%6."/>
      <w:lvlJc w:val="right"/>
      <w:pPr>
        <w:ind w:left="3949" w:hanging="180"/>
      </w:pPr>
    </w:lvl>
    <w:lvl w:ilvl="6" w:tplc="340A000F" w:tentative="1">
      <w:start w:val="1"/>
      <w:numFmt w:val="decimal"/>
      <w:lvlText w:val="%7."/>
      <w:lvlJc w:val="left"/>
      <w:pPr>
        <w:ind w:left="4669" w:hanging="360"/>
      </w:pPr>
    </w:lvl>
    <w:lvl w:ilvl="7" w:tplc="340A0019" w:tentative="1">
      <w:start w:val="1"/>
      <w:numFmt w:val="lowerLetter"/>
      <w:lvlText w:val="%8."/>
      <w:lvlJc w:val="left"/>
      <w:pPr>
        <w:ind w:left="5389" w:hanging="360"/>
      </w:pPr>
    </w:lvl>
    <w:lvl w:ilvl="8" w:tplc="340A001B" w:tentative="1">
      <w:start w:val="1"/>
      <w:numFmt w:val="lowerRoman"/>
      <w:lvlText w:val="%9."/>
      <w:lvlJc w:val="right"/>
      <w:pPr>
        <w:ind w:left="6109" w:hanging="180"/>
      </w:pPr>
    </w:lvl>
  </w:abstractNum>
  <w:num w:numId="1" w16cid:durableId="332756340">
    <w:abstractNumId w:val="3"/>
  </w:num>
  <w:num w:numId="2" w16cid:durableId="1892040059">
    <w:abstractNumId w:val="13"/>
  </w:num>
  <w:num w:numId="3" w16cid:durableId="467668006">
    <w:abstractNumId w:val="0"/>
  </w:num>
  <w:num w:numId="4" w16cid:durableId="2101247123">
    <w:abstractNumId w:val="7"/>
  </w:num>
  <w:num w:numId="5" w16cid:durableId="1328172769">
    <w:abstractNumId w:val="9"/>
  </w:num>
  <w:num w:numId="6" w16cid:durableId="1311054403">
    <w:abstractNumId w:val="11"/>
  </w:num>
  <w:num w:numId="7" w16cid:durableId="1041125079">
    <w:abstractNumId w:val="5"/>
  </w:num>
  <w:num w:numId="8" w16cid:durableId="767654907">
    <w:abstractNumId w:val="4"/>
  </w:num>
  <w:num w:numId="9" w16cid:durableId="820658158">
    <w:abstractNumId w:val="10"/>
  </w:num>
  <w:num w:numId="10" w16cid:durableId="888882925">
    <w:abstractNumId w:val="12"/>
  </w:num>
  <w:num w:numId="11" w16cid:durableId="210845114">
    <w:abstractNumId w:val="2"/>
  </w:num>
  <w:num w:numId="12" w16cid:durableId="719212567">
    <w:abstractNumId w:val="15"/>
  </w:num>
  <w:num w:numId="13" w16cid:durableId="2090418241">
    <w:abstractNumId w:val="14"/>
  </w:num>
  <w:num w:numId="14" w16cid:durableId="107622386">
    <w:abstractNumId w:val="8"/>
  </w:num>
  <w:num w:numId="15" w16cid:durableId="2014792931">
    <w:abstractNumId w:val="6"/>
  </w:num>
  <w:num w:numId="16" w16cid:durableId="1681085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03"/>
    <w:rsid w:val="00004900"/>
    <w:rsid w:val="00072A85"/>
    <w:rsid w:val="00087AC5"/>
    <w:rsid w:val="00094300"/>
    <w:rsid w:val="000A505F"/>
    <w:rsid w:val="000C0604"/>
    <w:rsid w:val="00113E7F"/>
    <w:rsid w:val="00123060"/>
    <w:rsid w:val="00137F56"/>
    <w:rsid w:val="0014641B"/>
    <w:rsid w:val="00157C44"/>
    <w:rsid w:val="001A409B"/>
    <w:rsid w:val="001C5DD7"/>
    <w:rsid w:val="001F143D"/>
    <w:rsid w:val="00210BCC"/>
    <w:rsid w:val="00215AA9"/>
    <w:rsid w:val="00233A7B"/>
    <w:rsid w:val="0024059E"/>
    <w:rsid w:val="00270F38"/>
    <w:rsid w:val="002821F6"/>
    <w:rsid w:val="00292402"/>
    <w:rsid w:val="002B7D5A"/>
    <w:rsid w:val="002C5C2A"/>
    <w:rsid w:val="002D7CB4"/>
    <w:rsid w:val="002E7F98"/>
    <w:rsid w:val="00304907"/>
    <w:rsid w:val="00307582"/>
    <w:rsid w:val="00326BAC"/>
    <w:rsid w:val="00332189"/>
    <w:rsid w:val="0033342E"/>
    <w:rsid w:val="003926A6"/>
    <w:rsid w:val="003A154A"/>
    <w:rsid w:val="003B77A9"/>
    <w:rsid w:val="003C761F"/>
    <w:rsid w:val="003D6223"/>
    <w:rsid w:val="003D6716"/>
    <w:rsid w:val="003E494F"/>
    <w:rsid w:val="004261C0"/>
    <w:rsid w:val="00440A3C"/>
    <w:rsid w:val="00443A1C"/>
    <w:rsid w:val="00450258"/>
    <w:rsid w:val="00474E8C"/>
    <w:rsid w:val="00475E8A"/>
    <w:rsid w:val="00494978"/>
    <w:rsid w:val="004A0557"/>
    <w:rsid w:val="004C2300"/>
    <w:rsid w:val="00503DD1"/>
    <w:rsid w:val="00525E5D"/>
    <w:rsid w:val="0053546A"/>
    <w:rsid w:val="00556E60"/>
    <w:rsid w:val="005610A9"/>
    <w:rsid w:val="00561434"/>
    <w:rsid w:val="005618D9"/>
    <w:rsid w:val="005632BC"/>
    <w:rsid w:val="005733FB"/>
    <w:rsid w:val="00597949"/>
    <w:rsid w:val="005B62CB"/>
    <w:rsid w:val="005C1E5D"/>
    <w:rsid w:val="006066D9"/>
    <w:rsid w:val="006458ED"/>
    <w:rsid w:val="00697BC4"/>
    <w:rsid w:val="006A32EA"/>
    <w:rsid w:val="006B7F8A"/>
    <w:rsid w:val="006E0A52"/>
    <w:rsid w:val="00710FCC"/>
    <w:rsid w:val="007353A9"/>
    <w:rsid w:val="00736B2C"/>
    <w:rsid w:val="007645E5"/>
    <w:rsid w:val="00766C63"/>
    <w:rsid w:val="00772D03"/>
    <w:rsid w:val="007730FD"/>
    <w:rsid w:val="0077738B"/>
    <w:rsid w:val="007777E2"/>
    <w:rsid w:val="00781A96"/>
    <w:rsid w:val="00791E43"/>
    <w:rsid w:val="00791F8E"/>
    <w:rsid w:val="007A2C49"/>
    <w:rsid w:val="007B640F"/>
    <w:rsid w:val="007C3311"/>
    <w:rsid w:val="007E7CC5"/>
    <w:rsid w:val="00830A46"/>
    <w:rsid w:val="008566F1"/>
    <w:rsid w:val="00864605"/>
    <w:rsid w:val="00865330"/>
    <w:rsid w:val="008A52F2"/>
    <w:rsid w:val="008D3F67"/>
    <w:rsid w:val="008E0E68"/>
    <w:rsid w:val="008E2BAF"/>
    <w:rsid w:val="00925231"/>
    <w:rsid w:val="00931D17"/>
    <w:rsid w:val="0094147D"/>
    <w:rsid w:val="009509EE"/>
    <w:rsid w:val="00971B28"/>
    <w:rsid w:val="00980183"/>
    <w:rsid w:val="009C2025"/>
    <w:rsid w:val="009D1336"/>
    <w:rsid w:val="009E3187"/>
    <w:rsid w:val="00A13ABE"/>
    <w:rsid w:val="00A2606D"/>
    <w:rsid w:val="00A43EDD"/>
    <w:rsid w:val="00A47959"/>
    <w:rsid w:val="00A53736"/>
    <w:rsid w:val="00A6344F"/>
    <w:rsid w:val="00A843A9"/>
    <w:rsid w:val="00A84737"/>
    <w:rsid w:val="00AA1456"/>
    <w:rsid w:val="00AB28B1"/>
    <w:rsid w:val="00AB6EE0"/>
    <w:rsid w:val="00AE18E4"/>
    <w:rsid w:val="00B40540"/>
    <w:rsid w:val="00B61727"/>
    <w:rsid w:val="00B84696"/>
    <w:rsid w:val="00B95B3A"/>
    <w:rsid w:val="00BA481C"/>
    <w:rsid w:val="00BB5290"/>
    <w:rsid w:val="00BC3994"/>
    <w:rsid w:val="00BC6190"/>
    <w:rsid w:val="00BE7959"/>
    <w:rsid w:val="00BF7C9B"/>
    <w:rsid w:val="00C0370E"/>
    <w:rsid w:val="00C403C9"/>
    <w:rsid w:val="00C413F0"/>
    <w:rsid w:val="00CB04BD"/>
    <w:rsid w:val="00CB10BB"/>
    <w:rsid w:val="00CD78EC"/>
    <w:rsid w:val="00D0192A"/>
    <w:rsid w:val="00D34328"/>
    <w:rsid w:val="00D37395"/>
    <w:rsid w:val="00D41E0A"/>
    <w:rsid w:val="00D90AAE"/>
    <w:rsid w:val="00D90C6B"/>
    <w:rsid w:val="00DB2E34"/>
    <w:rsid w:val="00DB4307"/>
    <w:rsid w:val="00DC3608"/>
    <w:rsid w:val="00DF527F"/>
    <w:rsid w:val="00E45ADD"/>
    <w:rsid w:val="00E6043D"/>
    <w:rsid w:val="00E71819"/>
    <w:rsid w:val="00E82AA9"/>
    <w:rsid w:val="00E908B6"/>
    <w:rsid w:val="00EC38B2"/>
    <w:rsid w:val="00EC4C80"/>
    <w:rsid w:val="00EE702B"/>
    <w:rsid w:val="00EF4819"/>
    <w:rsid w:val="00F02F56"/>
    <w:rsid w:val="00F144C5"/>
    <w:rsid w:val="00F21733"/>
    <w:rsid w:val="00F414D1"/>
    <w:rsid w:val="00FA63ED"/>
    <w:rsid w:val="00FB3CE2"/>
    <w:rsid w:val="00FC12FE"/>
    <w:rsid w:val="00FC1FB2"/>
    <w:rsid w:val="00FD0F39"/>
    <w:rsid w:val="00FE2E9B"/>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9970"/>
  <w15:docId w15:val="{73A09764-26E3-4A0A-9285-BB5D2E79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E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D03"/>
    <w:rPr>
      <w:rFonts w:ascii="Tahoma" w:hAnsi="Tahoma" w:cs="Tahoma"/>
      <w:sz w:val="16"/>
      <w:szCs w:val="16"/>
    </w:rPr>
  </w:style>
  <w:style w:type="character" w:customStyle="1" w:styleId="apple-converted-space">
    <w:name w:val="apple-converted-space"/>
    <w:basedOn w:val="DefaultParagraphFont"/>
    <w:rsid w:val="00EC38B2"/>
  </w:style>
  <w:style w:type="paragraph" w:styleId="ListParagraph">
    <w:name w:val="List Paragraph"/>
    <w:basedOn w:val="Normal"/>
    <w:uiPriority w:val="34"/>
    <w:qFormat/>
    <w:rsid w:val="003E494F"/>
    <w:pPr>
      <w:ind w:left="720"/>
      <w:contextualSpacing/>
    </w:pPr>
  </w:style>
  <w:style w:type="character" w:customStyle="1" w:styleId="Heading1Char">
    <w:name w:val="Heading 1 Char"/>
    <w:basedOn w:val="DefaultParagraphFont"/>
    <w:link w:val="Heading1"/>
    <w:uiPriority w:val="9"/>
    <w:rsid w:val="00474E8C"/>
    <w:rPr>
      <w:rFonts w:asciiTheme="majorHAnsi" w:eastAsiaTheme="majorEastAsia" w:hAnsiTheme="majorHAnsi" w:cstheme="majorBidi"/>
      <w:color w:val="365F91" w:themeColor="accent1" w:themeShade="BF"/>
      <w:sz w:val="32"/>
      <w:szCs w:val="32"/>
    </w:rPr>
  </w:style>
  <w:style w:type="paragraph" w:styleId="Footer">
    <w:name w:val="footer"/>
    <w:basedOn w:val="Normal"/>
    <w:link w:val="FooterChar"/>
    <w:uiPriority w:val="99"/>
    <w:unhideWhenUsed/>
    <w:rsid w:val="007645E5"/>
    <w:pPr>
      <w:tabs>
        <w:tab w:val="center" w:pos="4419"/>
        <w:tab w:val="right" w:pos="8838"/>
      </w:tabs>
      <w:spacing w:after="0" w:line="240" w:lineRule="auto"/>
    </w:pPr>
  </w:style>
  <w:style w:type="character" w:customStyle="1" w:styleId="FooterChar">
    <w:name w:val="Footer Char"/>
    <w:basedOn w:val="DefaultParagraphFont"/>
    <w:link w:val="Footer"/>
    <w:uiPriority w:val="99"/>
    <w:rsid w:val="007645E5"/>
  </w:style>
  <w:style w:type="character" w:styleId="PageNumber">
    <w:name w:val="page number"/>
    <w:basedOn w:val="DefaultParagraphFont"/>
    <w:uiPriority w:val="99"/>
    <w:semiHidden/>
    <w:unhideWhenUsed/>
    <w:rsid w:val="007645E5"/>
  </w:style>
  <w:style w:type="paragraph" w:styleId="Revision">
    <w:name w:val="Revision"/>
    <w:hidden/>
    <w:uiPriority w:val="99"/>
    <w:semiHidden/>
    <w:rsid w:val="005733FB"/>
    <w:pPr>
      <w:spacing w:after="0" w:line="240" w:lineRule="auto"/>
    </w:pPr>
  </w:style>
  <w:style w:type="table" w:styleId="TableGrid">
    <w:name w:val="Table Grid"/>
    <w:basedOn w:val="TableNormal"/>
    <w:uiPriority w:val="59"/>
    <w:rsid w:val="00EE7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7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57640">
      <w:bodyDiv w:val="1"/>
      <w:marLeft w:val="0"/>
      <w:marRight w:val="0"/>
      <w:marTop w:val="0"/>
      <w:marBottom w:val="0"/>
      <w:divBdr>
        <w:top w:val="none" w:sz="0" w:space="0" w:color="auto"/>
        <w:left w:val="none" w:sz="0" w:space="0" w:color="auto"/>
        <w:bottom w:val="none" w:sz="0" w:space="0" w:color="auto"/>
        <w:right w:val="none" w:sz="0" w:space="0" w:color="auto"/>
      </w:divBdr>
    </w:div>
    <w:div w:id="119480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1911</Words>
  <Characters>10514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Universidad de Chile</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 del Trabajo</dc:creator>
  <cp:lastModifiedBy>isidora martinez</cp:lastModifiedBy>
  <cp:revision>6</cp:revision>
  <cp:lastPrinted>2016-06-08T21:44:00Z</cp:lastPrinted>
  <dcterms:created xsi:type="dcterms:W3CDTF">2024-10-25T13:50:00Z</dcterms:created>
  <dcterms:modified xsi:type="dcterms:W3CDTF">2024-11-07T10:32:00Z</dcterms:modified>
</cp:coreProperties>
</file>