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F8" w:rsidRDefault="009B13F8">
      <w:pPr>
        <w:pBdr>
          <w:top w:val="nil"/>
          <w:left w:val="nil"/>
          <w:bottom w:val="nil"/>
          <w:right w:val="nil"/>
          <w:between w:val="nil"/>
        </w:pBdr>
        <w:spacing w:line="276" w:lineRule="auto"/>
        <w:rPr>
          <w:rFonts w:ascii="Arial" w:eastAsia="Arial" w:hAnsi="Arial" w:cs="Arial"/>
          <w:color w:val="000000"/>
        </w:rPr>
      </w:pPr>
    </w:p>
    <w:tbl>
      <w:tblPr>
        <w:tblStyle w:val="a"/>
        <w:tblW w:w="881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36"/>
        <w:gridCol w:w="6782"/>
      </w:tblGrid>
      <w:tr w:rsidR="009B13F8">
        <w:trPr>
          <w:trHeight w:val="487"/>
        </w:trPr>
        <w:tc>
          <w:tcPr>
            <w:tcW w:w="2036" w:type="dxa"/>
            <w:tcBorders>
              <w:bottom w:val="single" w:sz="18" w:space="0" w:color="000000"/>
            </w:tcBorders>
          </w:tcPr>
          <w:p w:rsidR="009B13F8" w:rsidRDefault="00420F5A">
            <w:pPr>
              <w:pBdr>
                <w:top w:val="nil"/>
                <w:left w:val="nil"/>
                <w:bottom w:val="nil"/>
                <w:right w:val="nil"/>
                <w:between w:val="nil"/>
              </w:pBdr>
              <w:spacing w:line="242" w:lineRule="auto"/>
              <w:ind w:left="110"/>
              <w:rPr>
                <w:b/>
                <w:color w:val="000000"/>
                <w:sz w:val="20"/>
                <w:szCs w:val="20"/>
              </w:rPr>
            </w:pPr>
            <w:r>
              <w:rPr>
                <w:b/>
                <w:color w:val="000000"/>
                <w:sz w:val="20"/>
                <w:szCs w:val="20"/>
              </w:rPr>
              <w:t>Nombre del curso</w:t>
            </w:r>
          </w:p>
        </w:tc>
        <w:tc>
          <w:tcPr>
            <w:tcW w:w="6782" w:type="dxa"/>
            <w:tcBorders>
              <w:bottom w:val="single" w:sz="18" w:space="0" w:color="000000"/>
            </w:tcBorders>
          </w:tcPr>
          <w:p w:rsidR="009B13F8" w:rsidRDefault="00420F5A">
            <w:pPr>
              <w:pBdr>
                <w:top w:val="nil"/>
                <w:left w:val="nil"/>
                <w:bottom w:val="nil"/>
                <w:right w:val="nil"/>
                <w:between w:val="nil"/>
              </w:pBdr>
              <w:spacing w:line="242" w:lineRule="auto"/>
              <w:ind w:left="110"/>
              <w:rPr>
                <w:b/>
                <w:color w:val="000000"/>
                <w:sz w:val="20"/>
                <w:szCs w:val="20"/>
              </w:rPr>
            </w:pPr>
            <w:r>
              <w:rPr>
                <w:b/>
                <w:color w:val="000000"/>
                <w:sz w:val="20"/>
                <w:szCs w:val="20"/>
              </w:rPr>
              <w:t xml:space="preserve">Memorias colectivas y perspectivas feministas.  </w:t>
            </w:r>
          </w:p>
        </w:tc>
      </w:tr>
      <w:tr w:rsidR="009B13F8">
        <w:trPr>
          <w:trHeight w:val="8873"/>
        </w:trPr>
        <w:tc>
          <w:tcPr>
            <w:tcW w:w="2036" w:type="dxa"/>
            <w:tcBorders>
              <w:top w:val="single" w:sz="18" w:space="0" w:color="000000"/>
            </w:tcBorders>
          </w:tcPr>
          <w:p w:rsidR="009B13F8" w:rsidRDefault="00420F5A">
            <w:pPr>
              <w:pBdr>
                <w:top w:val="nil"/>
                <w:left w:val="nil"/>
                <w:bottom w:val="nil"/>
                <w:right w:val="nil"/>
                <w:between w:val="nil"/>
              </w:pBdr>
              <w:spacing w:before="1"/>
              <w:ind w:left="110"/>
              <w:rPr>
                <w:b/>
                <w:color w:val="000000"/>
                <w:sz w:val="20"/>
                <w:szCs w:val="20"/>
              </w:rPr>
            </w:pPr>
            <w:r>
              <w:rPr>
                <w:b/>
                <w:color w:val="000000"/>
                <w:sz w:val="20"/>
                <w:szCs w:val="20"/>
              </w:rPr>
              <w:t>Descripción del curso</w:t>
            </w:r>
          </w:p>
        </w:tc>
        <w:tc>
          <w:tcPr>
            <w:tcW w:w="6782" w:type="dxa"/>
            <w:tcBorders>
              <w:top w:val="single" w:sz="18" w:space="0" w:color="000000"/>
            </w:tcBorders>
          </w:tcPr>
          <w:p w:rsidR="009B13F8" w:rsidRDefault="00420F5A">
            <w:pPr>
              <w:rPr>
                <w:color w:val="000000"/>
              </w:rPr>
            </w:pPr>
            <w:r>
              <w:rPr>
                <w:color w:val="000000"/>
              </w:rPr>
              <w:t xml:space="preserve">Las reflexiones en torno a los procesos de memoria colectiva suelen surgir de la mano de los intentos por resolver y elaborar conflictos políticos violentos. Las transiciones – entre guerra y paz, o entre dictadura y democracia – se plantean el desafío de reparar los daños psicológicos y sociales producido por la violencia, y promover la construcción de versiones consensuadas sobre el pasado que permitan establecer las bases de una convivencia democrática en la que la violencia </w:t>
            </w:r>
            <w:r>
              <w:rPr>
                <w:i/>
                <w:color w:val="000000"/>
              </w:rPr>
              <w:t>nunca más</w:t>
            </w:r>
            <w:r>
              <w:rPr>
                <w:color w:val="000000"/>
              </w:rPr>
              <w:t xml:space="preserve"> se vuelva a producir.  Sin embargo, hoy nos encontramos frente a una importante apertura del campo que se ocupa no sólo de la violencia y sus efectos traumáticos, sino de la búsqueda por comprender el presente a partir de su articulación con el pasado. La preocupación central no está ya exclusivamente en la recuperación de la memoria de las víctimas de violencias socio políticas, sino en la multiplicidad de voces que construyen relatos sobre el pasado, y en la recuperación no sólo experiencias de dolor sino también de prácticas de resistencia. </w:t>
            </w:r>
          </w:p>
          <w:p w:rsidR="009B13F8" w:rsidRDefault="009B13F8">
            <w:pPr>
              <w:jc w:val="both"/>
              <w:rPr>
                <w:color w:val="000000"/>
              </w:rPr>
            </w:pPr>
          </w:p>
          <w:p w:rsidR="009B13F8" w:rsidRDefault="00420F5A">
            <w:pPr>
              <w:shd w:val="clear" w:color="auto" w:fill="FFFFFF"/>
              <w:rPr>
                <w:color w:val="222222"/>
                <w:highlight w:val="white"/>
              </w:rPr>
            </w:pPr>
            <w:r>
              <w:rPr>
                <w:color w:val="222222"/>
                <w:highlight w:val="white"/>
              </w:rPr>
              <w:t xml:space="preserve">Este curso abordará los principales debates contemporáneos sobre memorias colectivas y su relación con las violencias políticas, siempre desde una perspectiva crítica y analizando la articulación entre procesos globales y locales.  Se problematizarán las nociones clásicas de memoria y las relaciones que habitualmente se establecen con el recuerdo de conflictos sociales violentos.  A partir de la descripción y análisis de los enfoques que entienden a la memoria como una práctica social que construye simbólicamente el pasado en el presente, se analizará su relación con los Derechos Humanos y diversas prácticas políticas.  </w:t>
            </w:r>
          </w:p>
          <w:p w:rsidR="009B13F8" w:rsidRDefault="009B13F8">
            <w:pPr>
              <w:shd w:val="clear" w:color="auto" w:fill="FFFFFF"/>
              <w:rPr>
                <w:color w:val="222222"/>
                <w:highlight w:val="white"/>
              </w:rPr>
            </w:pPr>
          </w:p>
          <w:p w:rsidR="009B13F8" w:rsidRDefault="00420F5A">
            <w:pPr>
              <w:shd w:val="clear" w:color="auto" w:fill="FFFFFF"/>
            </w:pPr>
            <w:r>
              <w:rPr>
                <w:color w:val="000000"/>
              </w:rPr>
              <w:t xml:space="preserve">Desde una postura feminista se propondrá pensar las prácticas de memoria como constructora de relaciones de género. Se presentará una </w:t>
            </w:r>
            <w:r>
              <w:t xml:space="preserve">reflexión crítica en torno a la articulación del campo de la memoria y perspectivas feministas, teniendo en consideración las consecuencias teóricas, metodológicas y políticas de  este entramado. A partir investigaciones que abordan procesos de memoria colectiva y relaciones de género, se mostrará la potencia de investigar dichas articulaciones.  </w:t>
            </w:r>
          </w:p>
        </w:tc>
      </w:tr>
      <w:tr w:rsidR="009B13F8">
        <w:trPr>
          <w:trHeight w:val="40"/>
        </w:trPr>
        <w:tc>
          <w:tcPr>
            <w:tcW w:w="2036" w:type="dxa"/>
          </w:tcPr>
          <w:p w:rsidR="009B13F8" w:rsidRDefault="00420F5A">
            <w:pPr>
              <w:pBdr>
                <w:top w:val="nil"/>
                <w:left w:val="nil"/>
                <w:bottom w:val="nil"/>
                <w:right w:val="nil"/>
                <w:between w:val="nil"/>
              </w:pBdr>
              <w:spacing w:line="242" w:lineRule="auto"/>
              <w:ind w:left="110"/>
              <w:rPr>
                <w:b/>
                <w:color w:val="000000"/>
                <w:sz w:val="20"/>
                <w:szCs w:val="20"/>
              </w:rPr>
            </w:pPr>
            <w:r>
              <w:rPr>
                <w:b/>
                <w:color w:val="000000"/>
                <w:sz w:val="20"/>
                <w:szCs w:val="20"/>
              </w:rPr>
              <w:t>Objetivos</w:t>
            </w:r>
          </w:p>
        </w:tc>
        <w:tc>
          <w:tcPr>
            <w:tcW w:w="6782" w:type="dxa"/>
          </w:tcPr>
          <w:p w:rsidR="009B13F8" w:rsidRDefault="009B13F8">
            <w:pPr>
              <w:pBdr>
                <w:top w:val="nil"/>
                <w:left w:val="nil"/>
                <w:bottom w:val="nil"/>
                <w:right w:val="nil"/>
                <w:between w:val="nil"/>
              </w:pBdr>
              <w:spacing w:before="5"/>
              <w:rPr>
                <w:rFonts w:ascii="Times New Roman" w:eastAsia="Times New Roman" w:hAnsi="Times New Roman" w:cs="Times New Roman"/>
                <w:color w:val="000000"/>
                <w:sz w:val="20"/>
                <w:szCs w:val="20"/>
              </w:rPr>
            </w:pPr>
          </w:p>
          <w:p w:rsidR="009B13F8" w:rsidRDefault="00420F5A">
            <w:pPr>
              <w:numPr>
                <w:ilvl w:val="0"/>
                <w:numId w:val="1"/>
              </w:numPr>
              <w:pBdr>
                <w:top w:val="nil"/>
                <w:left w:val="nil"/>
                <w:bottom w:val="nil"/>
                <w:right w:val="nil"/>
                <w:between w:val="nil"/>
              </w:pBdr>
              <w:tabs>
                <w:tab w:val="left" w:pos="832"/>
              </w:tabs>
              <w:spacing w:line="273" w:lineRule="auto"/>
              <w:ind w:right="86"/>
              <w:rPr>
                <w:color w:val="000000"/>
              </w:rPr>
            </w:pPr>
            <w:r>
              <w:rPr>
                <w:color w:val="000000"/>
              </w:rPr>
              <w:t xml:space="preserve">Conocer y problematizar las nociones clásicas de memoria y sus usos habituales en relación con los Derechos Humanos en América Latina. </w:t>
            </w:r>
          </w:p>
          <w:p w:rsidR="009B13F8" w:rsidRDefault="00420F5A">
            <w:pPr>
              <w:numPr>
                <w:ilvl w:val="0"/>
                <w:numId w:val="1"/>
              </w:numPr>
              <w:pBdr>
                <w:top w:val="nil"/>
                <w:left w:val="nil"/>
                <w:bottom w:val="nil"/>
                <w:right w:val="nil"/>
                <w:between w:val="nil"/>
              </w:pBdr>
              <w:tabs>
                <w:tab w:val="left" w:pos="832"/>
              </w:tabs>
              <w:spacing w:line="273" w:lineRule="auto"/>
              <w:ind w:right="86"/>
              <w:rPr>
                <w:color w:val="000000"/>
              </w:rPr>
            </w:pPr>
            <w:r>
              <w:rPr>
                <w:color w:val="000000"/>
              </w:rPr>
              <w:t>Describir y analizar aquellas perspectivas que entienden a la memoria como una práctica social (Bartlett, Halbwachs, Vázquez).</w:t>
            </w:r>
          </w:p>
          <w:p w:rsidR="009B13F8" w:rsidRDefault="00420F5A">
            <w:pPr>
              <w:numPr>
                <w:ilvl w:val="0"/>
                <w:numId w:val="1"/>
              </w:numPr>
              <w:pBdr>
                <w:top w:val="nil"/>
                <w:left w:val="nil"/>
                <w:bottom w:val="nil"/>
                <w:right w:val="nil"/>
                <w:between w:val="nil"/>
              </w:pBdr>
              <w:tabs>
                <w:tab w:val="left" w:pos="832"/>
              </w:tabs>
              <w:spacing w:line="273" w:lineRule="auto"/>
              <w:ind w:right="86"/>
              <w:rPr>
                <w:color w:val="000000"/>
              </w:rPr>
            </w:pPr>
            <w:r>
              <w:rPr>
                <w:color w:val="000000"/>
              </w:rPr>
              <w:t>Reflexionar en torno a la relación entre memoria social y otros  procesos psicosociales, subrayando la naturaleza social e histórica de dichas prácticas.</w:t>
            </w:r>
          </w:p>
          <w:p w:rsidR="009B13F8" w:rsidRDefault="00420F5A">
            <w:pPr>
              <w:numPr>
                <w:ilvl w:val="0"/>
                <w:numId w:val="1"/>
              </w:numPr>
              <w:pBdr>
                <w:top w:val="nil"/>
                <w:left w:val="nil"/>
                <w:bottom w:val="nil"/>
                <w:right w:val="nil"/>
                <w:between w:val="nil"/>
              </w:pBdr>
              <w:tabs>
                <w:tab w:val="left" w:pos="832"/>
              </w:tabs>
              <w:spacing w:line="273" w:lineRule="auto"/>
              <w:ind w:right="86"/>
              <w:rPr>
                <w:color w:val="000000"/>
              </w:rPr>
            </w:pPr>
            <w:r>
              <w:rPr>
                <w:color w:val="000009"/>
              </w:rPr>
              <w:t>Analizar articulaciones entre perspectivas feministas y de memoria colectiva, desde un punto de vista epistemológico, teórico, metodológico y político.</w:t>
            </w:r>
          </w:p>
          <w:p w:rsidR="009B13F8" w:rsidRDefault="009B13F8">
            <w:pPr>
              <w:pBdr>
                <w:top w:val="nil"/>
                <w:left w:val="nil"/>
                <w:bottom w:val="nil"/>
                <w:right w:val="nil"/>
                <w:between w:val="nil"/>
              </w:pBdr>
              <w:tabs>
                <w:tab w:val="left" w:pos="831"/>
                <w:tab w:val="left" w:pos="832"/>
              </w:tabs>
              <w:rPr>
                <w:color w:val="000000"/>
              </w:rPr>
            </w:pPr>
          </w:p>
        </w:tc>
      </w:tr>
    </w:tbl>
    <w:p w:rsidR="009B13F8" w:rsidRDefault="009B13F8">
      <w:pPr>
        <w:sectPr w:rsidR="009B13F8">
          <w:pgSz w:w="12240" w:h="15840"/>
          <w:pgMar w:top="1420" w:right="1580" w:bottom="280" w:left="1600" w:header="720" w:footer="720" w:gutter="0"/>
          <w:pgNumType w:start="1"/>
          <w:cols w:space="720"/>
        </w:sectPr>
      </w:pPr>
    </w:p>
    <w:p w:rsidR="009B13F8" w:rsidRDefault="009B13F8">
      <w:pPr>
        <w:pBdr>
          <w:top w:val="nil"/>
          <w:left w:val="nil"/>
          <w:bottom w:val="nil"/>
          <w:right w:val="nil"/>
          <w:between w:val="nil"/>
        </w:pBdr>
        <w:spacing w:line="276" w:lineRule="auto"/>
      </w:pPr>
    </w:p>
    <w:tbl>
      <w:tblPr>
        <w:tblStyle w:val="a0"/>
        <w:tblW w:w="881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36"/>
        <w:gridCol w:w="6782"/>
      </w:tblGrid>
      <w:tr w:rsidR="009B13F8">
        <w:trPr>
          <w:trHeight w:val="2396"/>
        </w:trPr>
        <w:tc>
          <w:tcPr>
            <w:tcW w:w="2036" w:type="dxa"/>
          </w:tcPr>
          <w:p w:rsidR="009B13F8" w:rsidRDefault="00420F5A">
            <w:pPr>
              <w:pBdr>
                <w:top w:val="nil"/>
                <w:left w:val="nil"/>
                <w:bottom w:val="nil"/>
                <w:right w:val="nil"/>
                <w:between w:val="nil"/>
              </w:pBdr>
              <w:spacing w:line="242" w:lineRule="auto"/>
              <w:rPr>
                <w:b/>
                <w:color w:val="000000"/>
                <w:sz w:val="20"/>
                <w:szCs w:val="20"/>
              </w:rPr>
            </w:pPr>
            <w:r>
              <w:rPr>
                <w:b/>
                <w:color w:val="000000"/>
                <w:sz w:val="20"/>
                <w:szCs w:val="20"/>
              </w:rPr>
              <w:t>Contenidos</w:t>
            </w:r>
          </w:p>
        </w:tc>
        <w:tc>
          <w:tcPr>
            <w:tcW w:w="6782" w:type="dxa"/>
          </w:tcPr>
          <w:p w:rsidR="009B13F8" w:rsidRDefault="009B13F8">
            <w:pPr>
              <w:pBdr>
                <w:top w:val="nil"/>
                <w:left w:val="nil"/>
                <w:bottom w:val="nil"/>
                <w:right w:val="nil"/>
                <w:between w:val="nil"/>
              </w:pBdr>
              <w:tabs>
                <w:tab w:val="left" w:pos="832"/>
              </w:tabs>
              <w:ind w:left="831" w:right="89"/>
              <w:rPr>
                <w:color w:val="000000"/>
              </w:rPr>
            </w:pPr>
          </w:p>
          <w:p w:rsidR="009B13F8" w:rsidRDefault="00420F5A">
            <w:pPr>
              <w:pBdr>
                <w:top w:val="nil"/>
                <w:left w:val="nil"/>
                <w:bottom w:val="nil"/>
                <w:right w:val="nil"/>
                <w:between w:val="nil"/>
              </w:pBdr>
              <w:tabs>
                <w:tab w:val="left" w:pos="832"/>
              </w:tabs>
              <w:ind w:left="831" w:right="89"/>
              <w:rPr>
                <w:color w:val="000000"/>
              </w:rPr>
            </w:pPr>
            <w:r>
              <w:rPr>
                <w:color w:val="000000"/>
              </w:rPr>
              <w:t>1.- Problematización de nociones clásicas y usos hegemónicos de la noción de memoria colectiva, así como de su relación con los Derechos Humanos y con el género</w:t>
            </w:r>
          </w:p>
          <w:p w:rsidR="009B13F8" w:rsidRDefault="00420F5A">
            <w:pPr>
              <w:pBdr>
                <w:top w:val="nil"/>
                <w:left w:val="nil"/>
                <w:bottom w:val="nil"/>
                <w:right w:val="nil"/>
                <w:between w:val="nil"/>
              </w:pBdr>
              <w:tabs>
                <w:tab w:val="left" w:pos="832"/>
              </w:tabs>
              <w:ind w:left="831" w:right="89"/>
              <w:rPr>
                <w:color w:val="000000"/>
              </w:rPr>
            </w:pPr>
            <w:r>
              <w:rPr>
                <w:color w:val="000000"/>
              </w:rPr>
              <w:t>2.- Conceptualizar la memoria como acción social</w:t>
            </w:r>
          </w:p>
          <w:p w:rsidR="009B13F8" w:rsidRDefault="00420F5A">
            <w:pPr>
              <w:pBdr>
                <w:top w:val="nil"/>
                <w:left w:val="nil"/>
                <w:bottom w:val="nil"/>
                <w:right w:val="nil"/>
                <w:between w:val="nil"/>
              </w:pBdr>
              <w:tabs>
                <w:tab w:val="left" w:pos="832"/>
              </w:tabs>
              <w:ind w:left="831" w:right="89"/>
              <w:rPr>
                <w:color w:val="000000"/>
              </w:rPr>
            </w:pPr>
            <w:r>
              <w:rPr>
                <w:color w:val="000000"/>
              </w:rPr>
              <w:t xml:space="preserve">3.- Memoria colectiva y procesos psicosociales: migración, violencia represiva, luchas territoriales </w:t>
            </w:r>
          </w:p>
          <w:p w:rsidR="009B13F8" w:rsidRDefault="00420F5A">
            <w:pPr>
              <w:pBdr>
                <w:top w:val="nil"/>
                <w:left w:val="nil"/>
                <w:bottom w:val="nil"/>
                <w:right w:val="nil"/>
                <w:between w:val="nil"/>
              </w:pBdr>
              <w:tabs>
                <w:tab w:val="left" w:pos="832"/>
              </w:tabs>
              <w:ind w:left="831" w:right="89"/>
              <w:rPr>
                <w:color w:val="000000"/>
              </w:rPr>
            </w:pPr>
            <w:r>
              <w:rPr>
                <w:color w:val="000000"/>
              </w:rPr>
              <w:t xml:space="preserve">4.- Lugares de memoria  </w:t>
            </w:r>
          </w:p>
          <w:p w:rsidR="009B13F8" w:rsidRDefault="009B13F8">
            <w:pPr>
              <w:pBdr>
                <w:top w:val="nil"/>
                <w:left w:val="nil"/>
                <w:bottom w:val="nil"/>
                <w:right w:val="nil"/>
                <w:between w:val="nil"/>
              </w:pBdr>
              <w:tabs>
                <w:tab w:val="left" w:pos="832"/>
              </w:tabs>
              <w:ind w:left="110" w:right="89"/>
              <w:rPr>
                <w:color w:val="000000"/>
              </w:rPr>
            </w:pPr>
          </w:p>
        </w:tc>
      </w:tr>
      <w:tr w:rsidR="009B13F8">
        <w:trPr>
          <w:trHeight w:val="1508"/>
        </w:trPr>
        <w:tc>
          <w:tcPr>
            <w:tcW w:w="2036" w:type="dxa"/>
          </w:tcPr>
          <w:p w:rsidR="009B13F8" w:rsidRDefault="00420F5A">
            <w:pPr>
              <w:pBdr>
                <w:top w:val="nil"/>
                <w:left w:val="nil"/>
                <w:bottom w:val="nil"/>
                <w:right w:val="nil"/>
                <w:between w:val="nil"/>
              </w:pBdr>
              <w:ind w:left="110" w:right="732"/>
              <w:rPr>
                <w:b/>
                <w:color w:val="000000"/>
                <w:sz w:val="20"/>
                <w:szCs w:val="20"/>
              </w:rPr>
            </w:pPr>
            <w:r>
              <w:rPr>
                <w:b/>
                <w:color w:val="000000"/>
                <w:sz w:val="20"/>
                <w:szCs w:val="20"/>
              </w:rPr>
              <w:t>Modalidad de evaluación</w:t>
            </w:r>
          </w:p>
        </w:tc>
        <w:tc>
          <w:tcPr>
            <w:tcW w:w="6782" w:type="dxa"/>
          </w:tcPr>
          <w:p w:rsidR="009B13F8" w:rsidRDefault="009B13F8">
            <w:pPr>
              <w:pBdr>
                <w:top w:val="nil"/>
                <w:left w:val="nil"/>
                <w:bottom w:val="nil"/>
                <w:right w:val="nil"/>
                <w:between w:val="nil"/>
              </w:pBdr>
              <w:spacing w:before="5"/>
              <w:rPr>
                <w:rFonts w:ascii="Times New Roman" w:eastAsia="Times New Roman" w:hAnsi="Times New Roman" w:cs="Times New Roman"/>
                <w:color w:val="000000"/>
                <w:sz w:val="20"/>
                <w:szCs w:val="20"/>
              </w:rPr>
            </w:pPr>
          </w:p>
          <w:p w:rsidR="009B13F8" w:rsidRDefault="00420F5A">
            <w:pPr>
              <w:pBdr>
                <w:top w:val="nil"/>
                <w:left w:val="nil"/>
                <w:bottom w:val="nil"/>
                <w:right w:val="nil"/>
                <w:between w:val="nil"/>
              </w:pBdr>
              <w:spacing w:line="268" w:lineRule="auto"/>
              <w:ind w:left="110" w:right="17"/>
              <w:rPr>
                <w:color w:val="000000"/>
              </w:rPr>
            </w:pPr>
            <w:r>
              <w:rPr>
                <w:color w:val="000000"/>
              </w:rPr>
              <w:t xml:space="preserve">Se realizará un ensayo (de máximo 5 paginas)  </w:t>
            </w:r>
            <w:r>
              <w:t>de análisis de  alguna actividad de conmemoración de los 50 años del golpe</w:t>
            </w:r>
            <w:r>
              <w:rPr>
                <w:color w:val="000000"/>
              </w:rPr>
              <w:t xml:space="preserve">, articulando en el análisis perspectiva feminista y de memoria colectiva. </w:t>
            </w:r>
          </w:p>
        </w:tc>
      </w:tr>
      <w:tr w:rsidR="009B13F8">
        <w:trPr>
          <w:trHeight w:val="908"/>
        </w:trPr>
        <w:tc>
          <w:tcPr>
            <w:tcW w:w="2036" w:type="dxa"/>
            <w:tcBorders>
              <w:bottom w:val="single" w:sz="8" w:space="0" w:color="4F81BC"/>
            </w:tcBorders>
          </w:tcPr>
          <w:p w:rsidR="009B13F8" w:rsidRDefault="009B13F8">
            <w:pPr>
              <w:pBdr>
                <w:top w:val="nil"/>
                <w:left w:val="nil"/>
                <w:bottom w:val="nil"/>
                <w:right w:val="nil"/>
                <w:between w:val="nil"/>
              </w:pBdr>
              <w:rPr>
                <w:rFonts w:ascii="Times New Roman" w:eastAsia="Times New Roman" w:hAnsi="Times New Roman" w:cs="Times New Roman"/>
                <w:color w:val="000000"/>
                <w:sz w:val="20"/>
                <w:szCs w:val="20"/>
              </w:rPr>
            </w:pPr>
          </w:p>
          <w:p w:rsidR="009B13F8" w:rsidRDefault="009B13F8">
            <w:pPr>
              <w:pBdr>
                <w:top w:val="nil"/>
                <w:left w:val="nil"/>
                <w:bottom w:val="nil"/>
                <w:right w:val="nil"/>
                <w:between w:val="nil"/>
              </w:pBdr>
              <w:spacing w:before="7"/>
              <w:rPr>
                <w:rFonts w:ascii="Times New Roman" w:eastAsia="Times New Roman" w:hAnsi="Times New Roman" w:cs="Times New Roman"/>
                <w:color w:val="000000"/>
                <w:sz w:val="15"/>
                <w:szCs w:val="15"/>
              </w:rPr>
            </w:pPr>
          </w:p>
          <w:p w:rsidR="009B13F8" w:rsidRDefault="00420F5A">
            <w:pPr>
              <w:pBdr>
                <w:top w:val="nil"/>
                <w:left w:val="nil"/>
                <w:bottom w:val="nil"/>
                <w:right w:val="nil"/>
                <w:between w:val="nil"/>
              </w:pBdr>
              <w:ind w:left="110"/>
              <w:rPr>
                <w:b/>
                <w:color w:val="000000"/>
                <w:sz w:val="20"/>
                <w:szCs w:val="20"/>
              </w:rPr>
            </w:pPr>
            <w:r>
              <w:rPr>
                <w:b/>
                <w:color w:val="000000"/>
                <w:sz w:val="20"/>
                <w:szCs w:val="20"/>
              </w:rPr>
              <w:t>Bibliografía</w:t>
            </w:r>
          </w:p>
        </w:tc>
        <w:tc>
          <w:tcPr>
            <w:tcW w:w="6782" w:type="dxa"/>
          </w:tcPr>
          <w:p w:rsidR="009B13F8" w:rsidRDefault="00420F5A">
            <w:pPr>
              <w:pBdr>
                <w:top w:val="nil"/>
                <w:left w:val="nil"/>
                <w:bottom w:val="nil"/>
                <w:right w:val="nil"/>
                <w:between w:val="nil"/>
              </w:pBdr>
              <w:spacing w:line="241" w:lineRule="auto"/>
              <w:ind w:left="110"/>
              <w:rPr>
                <w:b/>
                <w:color w:val="000000"/>
                <w:sz w:val="20"/>
                <w:szCs w:val="20"/>
              </w:rPr>
            </w:pPr>
            <w:r>
              <w:rPr>
                <w:b/>
                <w:color w:val="000000"/>
                <w:sz w:val="20"/>
                <w:szCs w:val="20"/>
              </w:rPr>
              <w:t>Básica:</w:t>
            </w:r>
          </w:p>
          <w:p w:rsidR="009B13F8" w:rsidRDefault="00420F5A">
            <w:pPr>
              <w:pBdr>
                <w:top w:val="nil"/>
                <w:left w:val="nil"/>
                <w:bottom w:val="nil"/>
                <w:right w:val="nil"/>
                <w:between w:val="nil"/>
              </w:pBdr>
              <w:spacing w:line="278" w:lineRule="auto"/>
              <w:ind w:left="110"/>
              <w:rPr>
                <w:color w:val="000000"/>
                <w:u w:val="single"/>
              </w:rPr>
            </w:pPr>
            <w:r>
              <w:rPr>
                <w:color w:val="000000"/>
                <w:u w:val="single"/>
              </w:rPr>
              <w:t>Artículos y capítulos de libro</w:t>
            </w:r>
          </w:p>
          <w:p w:rsidR="007E45C7" w:rsidRDefault="007E45C7" w:rsidP="007E45C7">
            <w:pPr>
              <w:pBdr>
                <w:top w:val="nil"/>
                <w:left w:val="nil"/>
                <w:bottom w:val="nil"/>
                <w:right w:val="nil"/>
                <w:between w:val="nil"/>
              </w:pBdr>
              <w:spacing w:line="267" w:lineRule="auto"/>
              <w:ind w:left="110"/>
            </w:pPr>
          </w:p>
          <w:p w:rsidR="007E45C7" w:rsidRDefault="007E45C7" w:rsidP="007E45C7">
            <w:pPr>
              <w:pBdr>
                <w:top w:val="nil"/>
                <w:left w:val="nil"/>
                <w:bottom w:val="nil"/>
                <w:right w:val="nil"/>
                <w:between w:val="nil"/>
              </w:pBdr>
              <w:spacing w:line="267" w:lineRule="auto"/>
              <w:ind w:left="110"/>
            </w:pPr>
            <w:r>
              <w:t xml:space="preserve">Álvarez, C., &amp; Piper, I. (2022). </w:t>
            </w:r>
            <w:proofErr w:type="spellStart"/>
            <w:r>
              <w:t>Narrative</w:t>
            </w:r>
            <w:proofErr w:type="spellEnd"/>
            <w:r>
              <w:t xml:space="preserve"> </w:t>
            </w:r>
            <w:proofErr w:type="spellStart"/>
            <w:r>
              <w:t>Productions</w:t>
            </w:r>
            <w:proofErr w:type="spellEnd"/>
            <w:r>
              <w:t xml:space="preserve"> of </w:t>
            </w:r>
            <w:proofErr w:type="spellStart"/>
            <w:r>
              <w:t>Memory</w:t>
            </w:r>
            <w:proofErr w:type="spellEnd"/>
            <w:r>
              <w:t xml:space="preserve">: </w:t>
            </w:r>
            <w:proofErr w:type="spellStart"/>
            <w:r>
              <w:t>Reflections</w:t>
            </w:r>
            <w:proofErr w:type="spellEnd"/>
            <w:r>
              <w:t xml:space="preserve"> </w:t>
            </w:r>
            <w:proofErr w:type="spellStart"/>
            <w:r>
              <w:t>on</w:t>
            </w:r>
            <w:proofErr w:type="spellEnd"/>
            <w:r>
              <w:t xml:space="preserve"> </w:t>
            </w:r>
            <w:proofErr w:type="spellStart"/>
            <w:r>
              <w:t>Collective</w:t>
            </w:r>
            <w:proofErr w:type="spellEnd"/>
            <w:r>
              <w:t xml:space="preserve"> </w:t>
            </w:r>
            <w:proofErr w:type="spellStart"/>
            <w:r>
              <w:t>Memories</w:t>
            </w:r>
            <w:proofErr w:type="spellEnd"/>
            <w:r>
              <w:t xml:space="preserve"> as </w:t>
            </w:r>
            <w:proofErr w:type="spellStart"/>
            <w:r>
              <w:t>Knowledges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Past</w:t>
            </w:r>
            <w:proofErr w:type="spellEnd"/>
            <w:r>
              <w:t xml:space="preserve">. </w:t>
            </w:r>
            <w:proofErr w:type="spellStart"/>
            <w:r>
              <w:t>Qualitative</w:t>
            </w:r>
            <w:proofErr w:type="spellEnd"/>
            <w:r>
              <w:t xml:space="preserve"> </w:t>
            </w:r>
            <w:proofErr w:type="spellStart"/>
            <w:r>
              <w:t>Research</w:t>
            </w:r>
            <w:proofErr w:type="spellEnd"/>
            <w:r>
              <w:t xml:space="preserve"> in </w:t>
            </w:r>
            <w:proofErr w:type="spellStart"/>
            <w:r>
              <w:t>Psychology</w:t>
            </w:r>
            <w:proofErr w:type="spellEnd"/>
            <w:r>
              <w:t>, (en prensa).</w:t>
            </w:r>
          </w:p>
          <w:p w:rsidR="007E45C7" w:rsidRDefault="007E45C7" w:rsidP="007E45C7">
            <w:pPr>
              <w:pBdr>
                <w:top w:val="nil"/>
                <w:left w:val="nil"/>
                <w:bottom w:val="nil"/>
                <w:right w:val="nil"/>
                <w:between w:val="nil"/>
              </w:pBdr>
              <w:spacing w:line="267" w:lineRule="auto"/>
              <w:ind w:left="110"/>
            </w:pPr>
          </w:p>
          <w:p w:rsidR="007E45C7" w:rsidRPr="007E45C7" w:rsidRDefault="007E45C7" w:rsidP="007E45C7">
            <w:pPr>
              <w:pBdr>
                <w:top w:val="nil"/>
                <w:left w:val="nil"/>
                <w:bottom w:val="nil"/>
                <w:right w:val="nil"/>
                <w:between w:val="nil"/>
              </w:pBdr>
              <w:spacing w:line="267" w:lineRule="auto"/>
              <w:ind w:left="110"/>
            </w:pPr>
            <w:r>
              <w:t xml:space="preserve">Álvarez, C., &amp; Montenegro, M. (2020). Memoria, migración y acción colectiva: Luchas migrantes en Barcelona. </w:t>
            </w:r>
            <w:proofErr w:type="spellStart"/>
            <w:r>
              <w:t>Scripta</w:t>
            </w:r>
            <w:proofErr w:type="spellEnd"/>
            <w:r>
              <w:t xml:space="preserve"> Nova, 24(646), 1–25.</w:t>
            </w:r>
          </w:p>
          <w:p w:rsidR="009B13F8" w:rsidRDefault="00420F5A">
            <w:pPr>
              <w:pBdr>
                <w:top w:val="nil"/>
                <w:left w:val="nil"/>
                <w:bottom w:val="nil"/>
                <w:right w:val="nil"/>
                <w:between w:val="nil"/>
              </w:pBdr>
              <w:tabs>
                <w:tab w:val="left" w:pos="215"/>
              </w:tabs>
              <w:spacing w:before="197" w:line="276" w:lineRule="auto"/>
              <w:ind w:right="87"/>
              <w:jc w:val="both"/>
              <w:rPr>
                <w:color w:val="000000"/>
              </w:rPr>
            </w:pPr>
            <w:r>
              <w:rPr>
                <w:color w:val="000000"/>
              </w:rPr>
              <w:t xml:space="preserve">Galaz, C. </w:t>
            </w:r>
            <w:proofErr w:type="spellStart"/>
            <w:r>
              <w:rPr>
                <w:color w:val="000000"/>
              </w:rPr>
              <w:t>Alvarez</w:t>
            </w:r>
            <w:proofErr w:type="spellEnd"/>
            <w:r>
              <w:rPr>
                <w:color w:val="000000"/>
              </w:rPr>
              <w:t xml:space="preserve">, C, y Piper (2019) La construcción de sujetos </w:t>
            </w:r>
            <w:proofErr w:type="spellStart"/>
            <w:r>
              <w:rPr>
                <w:color w:val="000000"/>
              </w:rPr>
              <w:t>generizados</w:t>
            </w:r>
            <w:proofErr w:type="spellEnd"/>
            <w:r>
              <w:rPr>
                <w:color w:val="000000"/>
              </w:rPr>
              <w:t xml:space="preserve"> en las memorias de las violencias políticas en la transición chilena. </w:t>
            </w:r>
            <w:proofErr w:type="spellStart"/>
            <w:r>
              <w:rPr>
                <w:color w:val="000000"/>
              </w:rPr>
              <w:t>Quaderns</w:t>
            </w:r>
            <w:proofErr w:type="spellEnd"/>
            <w:r>
              <w:rPr>
                <w:color w:val="000000"/>
              </w:rPr>
              <w:t xml:space="preserve"> de </w:t>
            </w:r>
            <w:proofErr w:type="spellStart"/>
            <w:r>
              <w:rPr>
                <w:color w:val="000000"/>
              </w:rPr>
              <w:t>Psicologia</w:t>
            </w:r>
            <w:proofErr w:type="spellEnd"/>
            <w:r>
              <w:rPr>
                <w:color w:val="000000"/>
              </w:rPr>
              <w:t>.</w:t>
            </w:r>
          </w:p>
          <w:p w:rsidR="009B13F8" w:rsidRDefault="009B13F8">
            <w:pPr>
              <w:pBdr>
                <w:top w:val="nil"/>
                <w:left w:val="nil"/>
                <w:bottom w:val="nil"/>
                <w:right w:val="nil"/>
                <w:between w:val="nil"/>
              </w:pBdr>
              <w:spacing w:line="278" w:lineRule="auto"/>
              <w:ind w:left="110"/>
              <w:rPr>
                <w:color w:val="000000"/>
              </w:rPr>
            </w:pPr>
          </w:p>
          <w:p w:rsidR="009B13F8" w:rsidRDefault="00420F5A">
            <w:pPr>
              <w:pBdr>
                <w:top w:val="nil"/>
                <w:left w:val="nil"/>
                <w:bottom w:val="nil"/>
                <w:right w:val="nil"/>
                <w:between w:val="nil"/>
              </w:pBdr>
              <w:spacing w:line="278" w:lineRule="auto"/>
              <w:rPr>
                <w:color w:val="000000"/>
              </w:rPr>
            </w:pPr>
            <w:proofErr w:type="spellStart"/>
            <w:r>
              <w:rPr>
                <w:color w:val="000000"/>
              </w:rPr>
              <w:t>Jelin</w:t>
            </w:r>
            <w:proofErr w:type="spellEnd"/>
            <w:r>
              <w:rPr>
                <w:color w:val="000000"/>
              </w:rPr>
              <w:t xml:space="preserve">, E. (2002) Género en las memorias. En: Elizabeth </w:t>
            </w:r>
            <w:proofErr w:type="spellStart"/>
            <w:r>
              <w:rPr>
                <w:color w:val="000000"/>
              </w:rPr>
              <w:t>Jelin</w:t>
            </w:r>
            <w:proofErr w:type="spellEnd"/>
            <w:r>
              <w:rPr>
                <w:color w:val="000000"/>
              </w:rPr>
              <w:t xml:space="preserve">, Los trabajos de la memoria, Siglo Veintiuno editores, España </w:t>
            </w:r>
          </w:p>
          <w:p w:rsidR="009B13F8" w:rsidRDefault="009B13F8">
            <w:pPr>
              <w:pBdr>
                <w:top w:val="nil"/>
                <w:left w:val="nil"/>
                <w:bottom w:val="nil"/>
                <w:right w:val="nil"/>
                <w:between w:val="nil"/>
              </w:pBdr>
              <w:spacing w:line="278" w:lineRule="auto"/>
              <w:rPr>
                <w:color w:val="000000"/>
              </w:rPr>
            </w:pPr>
          </w:p>
          <w:p w:rsidR="009B13F8" w:rsidRDefault="00420F5A">
            <w:pPr>
              <w:pBdr>
                <w:top w:val="nil"/>
                <w:left w:val="nil"/>
                <w:bottom w:val="nil"/>
                <w:right w:val="nil"/>
                <w:between w:val="nil"/>
              </w:pBdr>
              <w:spacing w:line="267" w:lineRule="auto"/>
              <w:rPr>
                <w:color w:val="000000"/>
              </w:rPr>
            </w:pPr>
            <w:proofErr w:type="spellStart"/>
            <w:r>
              <w:rPr>
                <w:color w:val="000000"/>
              </w:rPr>
              <w:t>Iniesta</w:t>
            </w:r>
            <w:proofErr w:type="spellEnd"/>
            <w:r>
              <w:rPr>
                <w:color w:val="000000"/>
              </w:rPr>
              <w:t xml:space="preserve">, Montserrat. “Patrimonio, </w:t>
            </w:r>
            <w:proofErr w:type="spellStart"/>
            <w:r>
              <w:rPr>
                <w:color w:val="000000"/>
              </w:rPr>
              <w:t>agora</w:t>
            </w:r>
            <w:proofErr w:type="spellEnd"/>
            <w:r>
              <w:rPr>
                <w:color w:val="000000"/>
              </w:rPr>
              <w:t xml:space="preserve"> y ciudadanía. Lugares para negociar memorias productivas”,. En: </w:t>
            </w:r>
            <w:proofErr w:type="spellStart"/>
            <w:r>
              <w:rPr>
                <w:color w:val="000000"/>
              </w:rPr>
              <w:t>Vinyes</w:t>
            </w:r>
            <w:proofErr w:type="spellEnd"/>
            <w:r>
              <w:rPr>
                <w:color w:val="000000"/>
              </w:rPr>
              <w:t xml:space="preserve">, </w:t>
            </w:r>
            <w:proofErr w:type="spellStart"/>
            <w:r>
              <w:rPr>
                <w:color w:val="000000"/>
              </w:rPr>
              <w:t>Ricard</w:t>
            </w:r>
            <w:proofErr w:type="spellEnd"/>
            <w:r>
              <w:rPr>
                <w:color w:val="000000"/>
              </w:rPr>
              <w:t xml:space="preserve"> (ed.) (2009). El Estado y la Memoria. </w:t>
            </w:r>
            <w:proofErr w:type="spellStart"/>
            <w:r>
              <w:rPr>
                <w:color w:val="000000"/>
              </w:rPr>
              <w:t>Pp</w:t>
            </w:r>
            <w:proofErr w:type="spellEnd"/>
            <w:r>
              <w:rPr>
                <w:color w:val="000000"/>
              </w:rPr>
              <w:t xml:space="preserve"> 467 – 498. RBA. ISBN: 978-84-9867-575-7. </w:t>
            </w:r>
          </w:p>
          <w:p w:rsidR="009B13F8" w:rsidRDefault="009B13F8">
            <w:pPr>
              <w:pBdr>
                <w:top w:val="nil"/>
                <w:left w:val="nil"/>
                <w:bottom w:val="nil"/>
                <w:right w:val="nil"/>
                <w:between w:val="nil"/>
              </w:pBdr>
              <w:spacing w:line="278" w:lineRule="auto"/>
              <w:rPr>
                <w:color w:val="000000"/>
              </w:rPr>
            </w:pPr>
          </w:p>
          <w:p w:rsidR="009B13F8" w:rsidRDefault="00420F5A">
            <w:pPr>
              <w:pBdr>
                <w:top w:val="nil"/>
                <w:left w:val="nil"/>
                <w:bottom w:val="nil"/>
                <w:right w:val="nil"/>
                <w:between w:val="nil"/>
              </w:pBdr>
              <w:spacing w:line="278" w:lineRule="auto"/>
              <w:rPr>
                <w:color w:val="000000"/>
              </w:rPr>
            </w:pPr>
            <w:r>
              <w:rPr>
                <w:color w:val="000000"/>
              </w:rPr>
              <w:t xml:space="preserve">Montenegro, Marisela; Piper, Isabel; Fernández, Roberto; Sepúlveda, Mauricio. (2015) Experiencia y materialidad en lugares de memoria colectiva. Revista </w:t>
            </w:r>
            <w:proofErr w:type="spellStart"/>
            <w:r>
              <w:rPr>
                <w:color w:val="000000"/>
              </w:rPr>
              <w:t>Universitas</w:t>
            </w:r>
            <w:proofErr w:type="spellEnd"/>
            <w:r>
              <w:rPr>
                <w:color w:val="000000"/>
              </w:rPr>
              <w:t xml:space="preserve"> </w:t>
            </w:r>
            <w:proofErr w:type="spellStart"/>
            <w:r>
              <w:rPr>
                <w:color w:val="000000"/>
              </w:rPr>
              <w:t>Psychologicas</w:t>
            </w:r>
            <w:proofErr w:type="spellEnd"/>
            <w:r>
              <w:rPr>
                <w:color w:val="000000"/>
              </w:rPr>
              <w:t xml:space="preserve">, 14(5), p.1723-1734. DOI_ http://dx.doi.org/10.11144/Javeriana.upsy14-5.emlm.  </w:t>
            </w:r>
          </w:p>
          <w:p w:rsidR="009B13F8" w:rsidRDefault="009B13F8">
            <w:pPr>
              <w:pBdr>
                <w:top w:val="nil"/>
                <w:left w:val="nil"/>
                <w:bottom w:val="nil"/>
                <w:right w:val="nil"/>
                <w:between w:val="nil"/>
              </w:pBdr>
              <w:spacing w:line="267" w:lineRule="auto"/>
              <w:rPr>
                <w:color w:val="000000"/>
              </w:rPr>
            </w:pPr>
          </w:p>
          <w:p w:rsidR="009B13F8" w:rsidRDefault="00420F5A">
            <w:pPr>
              <w:pBdr>
                <w:top w:val="nil"/>
                <w:left w:val="nil"/>
                <w:bottom w:val="nil"/>
                <w:right w:val="nil"/>
                <w:between w:val="nil"/>
              </w:pBdr>
              <w:spacing w:line="267" w:lineRule="auto"/>
              <w:rPr>
                <w:color w:val="000000"/>
              </w:rPr>
            </w:pPr>
            <w:r>
              <w:rPr>
                <w:color w:val="000000"/>
              </w:rPr>
              <w:t xml:space="preserve">Piper, I.  “Investigación y acción política en prácticas de memoria </w:t>
            </w:r>
            <w:r>
              <w:t>colectiva</w:t>
            </w:r>
            <w:r>
              <w:rPr>
                <w:color w:val="000000"/>
              </w:rPr>
              <w:t xml:space="preserve">”, En: </w:t>
            </w:r>
            <w:proofErr w:type="spellStart"/>
            <w:r>
              <w:rPr>
                <w:color w:val="000000"/>
              </w:rPr>
              <w:t>Vinyes</w:t>
            </w:r>
            <w:proofErr w:type="spellEnd"/>
            <w:r>
              <w:rPr>
                <w:color w:val="000000"/>
              </w:rPr>
              <w:t xml:space="preserve">, </w:t>
            </w:r>
            <w:proofErr w:type="spellStart"/>
            <w:r>
              <w:rPr>
                <w:color w:val="000000"/>
              </w:rPr>
              <w:t>Ricard</w:t>
            </w:r>
            <w:proofErr w:type="spellEnd"/>
            <w:r>
              <w:rPr>
                <w:color w:val="000000"/>
              </w:rPr>
              <w:t xml:space="preserve"> (ed.) (2009). El Estado y la Memoria. </w:t>
            </w:r>
            <w:proofErr w:type="spellStart"/>
            <w:r>
              <w:rPr>
                <w:color w:val="000000"/>
              </w:rPr>
              <w:t>Pp</w:t>
            </w:r>
            <w:proofErr w:type="spellEnd"/>
            <w:r>
              <w:rPr>
                <w:color w:val="000000"/>
              </w:rPr>
              <w:t xml:space="preserve"> 150- 172. RBA. ISBN: 978-84-9867-575-7. </w:t>
            </w:r>
          </w:p>
          <w:p w:rsidR="009B13F8" w:rsidRDefault="009B13F8">
            <w:pPr>
              <w:pBdr>
                <w:top w:val="nil"/>
                <w:left w:val="nil"/>
                <w:bottom w:val="nil"/>
                <w:right w:val="nil"/>
                <w:between w:val="nil"/>
              </w:pBdr>
              <w:spacing w:line="278" w:lineRule="auto"/>
              <w:rPr>
                <w:color w:val="000000"/>
              </w:rPr>
            </w:pPr>
          </w:p>
          <w:p w:rsidR="009B13F8" w:rsidRDefault="00420F5A">
            <w:pPr>
              <w:pBdr>
                <w:top w:val="nil"/>
                <w:left w:val="nil"/>
                <w:bottom w:val="nil"/>
                <w:right w:val="nil"/>
                <w:between w:val="nil"/>
              </w:pBdr>
              <w:spacing w:line="278" w:lineRule="auto"/>
              <w:rPr>
                <w:color w:val="000000"/>
              </w:rPr>
            </w:pPr>
            <w:r>
              <w:rPr>
                <w:color w:val="000000"/>
              </w:rPr>
              <w:t xml:space="preserve">Piper, Isabel; Fernández, R.; Iñiguez, L. (2013). “Psicología Social de la Memoria: Espacios y Políticas del Recuerdo”, Revista PSYKHE, Vol. 22, 2, </w:t>
            </w:r>
            <w:r>
              <w:rPr>
                <w:color w:val="000000"/>
              </w:rPr>
              <w:lastRenderedPageBreak/>
              <w:t>19-31.</w:t>
            </w:r>
            <w:r w:rsidR="002D1545">
              <w:rPr>
                <w:color w:val="000000"/>
              </w:rPr>
              <w:t xml:space="preserve"> </w:t>
            </w:r>
          </w:p>
          <w:p w:rsidR="002D1545" w:rsidRDefault="002D1545">
            <w:pPr>
              <w:pBdr>
                <w:top w:val="nil"/>
                <w:left w:val="nil"/>
                <w:bottom w:val="nil"/>
                <w:right w:val="nil"/>
                <w:between w:val="nil"/>
              </w:pBdr>
              <w:spacing w:line="278" w:lineRule="auto"/>
              <w:rPr>
                <w:color w:val="000000"/>
              </w:rPr>
            </w:pPr>
          </w:p>
          <w:p w:rsidR="003616CD" w:rsidRPr="003616CD" w:rsidRDefault="003616CD" w:rsidP="003616CD">
            <w:pPr>
              <w:pBdr>
                <w:top w:val="nil"/>
                <w:left w:val="nil"/>
                <w:bottom w:val="nil"/>
                <w:right w:val="nil"/>
                <w:between w:val="nil"/>
              </w:pBdr>
              <w:spacing w:line="278" w:lineRule="auto"/>
              <w:rPr>
                <w:color w:val="000000"/>
              </w:rPr>
            </w:pPr>
            <w:r w:rsidRPr="003616CD">
              <w:rPr>
                <w:color w:val="000000"/>
              </w:rPr>
              <w:t xml:space="preserve">Piper, Isabel; Montenegro Marisela. (2017) Ni víctimas, ni héroes, ni arrepentido/as. Reflexiones en torno a la categoría “víctima” desde el activismo político. Revista de Estudios Sociales. Nº 59. Enero-marzo de 2017. </w:t>
            </w:r>
            <w:proofErr w:type="spellStart"/>
            <w:r w:rsidRPr="003616CD">
              <w:rPr>
                <w:color w:val="000000"/>
              </w:rPr>
              <w:t>Pág</w:t>
            </w:r>
            <w:proofErr w:type="spellEnd"/>
            <w:r w:rsidRPr="003616CD">
              <w:rPr>
                <w:color w:val="000000"/>
              </w:rPr>
              <w:t xml:space="preserve">: 98-109.  https://dx.doi.org/10.7440/res59.2017.08. </w:t>
            </w:r>
            <w:proofErr w:type="spellStart"/>
            <w:r w:rsidRPr="003616CD">
              <w:rPr>
                <w:color w:val="000000"/>
              </w:rPr>
              <w:t>Isnn</w:t>
            </w:r>
            <w:proofErr w:type="spellEnd"/>
            <w:r w:rsidRPr="003616CD">
              <w:rPr>
                <w:color w:val="000000"/>
              </w:rPr>
              <w:t>: 0123-885X</w:t>
            </w:r>
          </w:p>
          <w:p w:rsidR="009B13F8" w:rsidRDefault="00420F5A" w:rsidP="003616CD">
            <w:pPr>
              <w:pBdr>
                <w:top w:val="nil"/>
                <w:left w:val="nil"/>
                <w:bottom w:val="nil"/>
                <w:right w:val="nil"/>
                <w:between w:val="nil"/>
              </w:pBdr>
              <w:tabs>
                <w:tab w:val="left" w:pos="231"/>
                <w:tab w:val="left" w:pos="810"/>
                <w:tab w:val="left" w:pos="2391"/>
                <w:tab w:val="left" w:pos="3746"/>
                <w:tab w:val="left" w:pos="4976"/>
                <w:tab w:val="left" w:pos="6103"/>
              </w:tabs>
              <w:spacing w:before="1" w:line="276" w:lineRule="auto"/>
              <w:ind w:right="80"/>
              <w:rPr>
                <w:color w:val="000000"/>
              </w:rPr>
            </w:pPr>
            <w:r>
              <w:rPr>
                <w:color w:val="000000"/>
              </w:rPr>
              <w:t>Troncoso, L. y Piper, I. (2015). Género y memoria: articulaciones críticas y</w:t>
            </w:r>
            <w:r>
              <w:rPr>
                <w:color w:val="000000"/>
              </w:rPr>
              <w:tab/>
              <w:t>feministas.</w:t>
            </w:r>
            <w:r>
              <w:rPr>
                <w:color w:val="000000"/>
              </w:rPr>
              <w:tab/>
            </w:r>
            <w:proofErr w:type="spellStart"/>
            <w:r>
              <w:rPr>
                <w:color w:val="000000"/>
              </w:rPr>
              <w:t>Athenea</w:t>
            </w:r>
            <w:proofErr w:type="spellEnd"/>
            <w:r>
              <w:rPr>
                <w:color w:val="000000"/>
              </w:rPr>
              <w:tab/>
              <w:t>Digital,</w:t>
            </w:r>
            <w:r>
              <w:rPr>
                <w:color w:val="000000"/>
              </w:rPr>
              <w:tab/>
              <w:t>15(1),</w:t>
            </w:r>
            <w:r>
              <w:rPr>
                <w:color w:val="000000"/>
              </w:rPr>
              <w:tab/>
              <w:t>65-90.</w:t>
            </w:r>
          </w:p>
          <w:p w:rsidR="009B13F8" w:rsidRDefault="00420F5A">
            <w:pPr>
              <w:pBdr>
                <w:top w:val="nil"/>
                <w:left w:val="nil"/>
                <w:bottom w:val="nil"/>
                <w:right w:val="nil"/>
                <w:between w:val="nil"/>
              </w:pBdr>
              <w:spacing w:line="267" w:lineRule="auto"/>
              <w:ind w:left="110"/>
            </w:pPr>
            <w:hyperlink r:id="rId7">
              <w:r>
                <w:rPr>
                  <w:color w:val="000000"/>
                </w:rPr>
                <w:t>http://dx.doi.org/10.5565/rev/athenea.1231"</w:t>
              </w:r>
            </w:hyperlink>
          </w:p>
          <w:p w:rsidR="009B13F8" w:rsidRDefault="009B13F8">
            <w:pPr>
              <w:pBdr>
                <w:top w:val="nil"/>
                <w:left w:val="nil"/>
                <w:bottom w:val="nil"/>
                <w:right w:val="nil"/>
                <w:between w:val="nil"/>
              </w:pBdr>
              <w:spacing w:line="278" w:lineRule="auto"/>
              <w:rPr>
                <w:color w:val="000000"/>
              </w:rPr>
            </w:pPr>
          </w:p>
          <w:p w:rsidR="009B13F8" w:rsidRDefault="00420F5A">
            <w:pPr>
              <w:pBdr>
                <w:top w:val="nil"/>
                <w:left w:val="nil"/>
                <w:bottom w:val="nil"/>
                <w:right w:val="nil"/>
                <w:between w:val="nil"/>
              </w:pBdr>
              <w:spacing w:line="278" w:lineRule="auto"/>
              <w:ind w:left="110"/>
              <w:rPr>
                <w:color w:val="000000"/>
              </w:rPr>
            </w:pPr>
            <w:r>
              <w:rPr>
                <w:color w:val="000000"/>
              </w:rPr>
              <w:t>Libros completos</w:t>
            </w:r>
          </w:p>
          <w:p w:rsidR="009B13F8" w:rsidRDefault="009B13F8"/>
          <w:p w:rsidR="009B13F8" w:rsidRDefault="00420F5A">
            <w:pPr>
              <w:widowControl/>
              <w:numPr>
                <w:ilvl w:val="0"/>
                <w:numId w:val="2"/>
              </w:numPr>
              <w:pBdr>
                <w:top w:val="nil"/>
                <w:left w:val="nil"/>
                <w:bottom w:val="nil"/>
                <w:right w:val="nil"/>
                <w:between w:val="nil"/>
              </w:pBdr>
              <w:rPr>
                <w:color w:val="000000"/>
                <w:sz w:val="20"/>
                <w:szCs w:val="20"/>
              </w:rPr>
            </w:pPr>
            <w:r>
              <w:rPr>
                <w:color w:val="000000"/>
              </w:rPr>
              <w:t xml:space="preserve">Halbwachs, Maurice (1968). </w:t>
            </w:r>
            <w:r>
              <w:rPr>
                <w:i/>
                <w:color w:val="000000"/>
              </w:rPr>
              <w:t>La memoria colectiva</w:t>
            </w:r>
            <w:r>
              <w:rPr>
                <w:b/>
                <w:color w:val="000000"/>
              </w:rPr>
              <w:t xml:space="preserve">. </w:t>
            </w:r>
            <w:r>
              <w:rPr>
                <w:color w:val="000000"/>
              </w:rPr>
              <w:t>Ed. Prensas Universitarias de Zaragoza.</w:t>
            </w:r>
          </w:p>
          <w:p w:rsidR="009B13F8" w:rsidRDefault="00420F5A">
            <w:pPr>
              <w:widowControl/>
              <w:numPr>
                <w:ilvl w:val="0"/>
                <w:numId w:val="2"/>
              </w:numPr>
              <w:pBdr>
                <w:top w:val="nil"/>
                <w:left w:val="nil"/>
                <w:bottom w:val="nil"/>
                <w:right w:val="nil"/>
                <w:between w:val="nil"/>
              </w:pBdr>
              <w:rPr>
                <w:color w:val="000000"/>
                <w:sz w:val="20"/>
                <w:szCs w:val="20"/>
              </w:rPr>
            </w:pPr>
            <w:proofErr w:type="spellStart"/>
            <w:r>
              <w:rPr>
                <w:color w:val="000000"/>
              </w:rPr>
              <w:t>Guine</w:t>
            </w:r>
            <w:proofErr w:type="spellEnd"/>
            <w:r>
              <w:rPr>
                <w:color w:val="000000"/>
              </w:rPr>
              <w:t xml:space="preserve">, </w:t>
            </w:r>
            <w:proofErr w:type="spellStart"/>
            <w:r>
              <w:rPr>
                <w:color w:val="000000"/>
              </w:rPr>
              <w:t>Anouk</w:t>
            </w:r>
            <w:proofErr w:type="spellEnd"/>
            <w:r>
              <w:rPr>
                <w:color w:val="000000"/>
              </w:rPr>
              <w:t xml:space="preserve"> (2019) </w:t>
            </w:r>
            <w:r>
              <w:rPr>
                <w:i/>
                <w:color w:val="000000"/>
              </w:rPr>
              <w:t>Género y Conflicto Armado en el Perú</w:t>
            </w:r>
            <w:r>
              <w:rPr>
                <w:color w:val="000000"/>
              </w:rPr>
              <w:t xml:space="preserve">. La </w:t>
            </w:r>
            <w:proofErr w:type="spellStart"/>
            <w:r>
              <w:rPr>
                <w:color w:val="000000"/>
              </w:rPr>
              <w:t>Paza</w:t>
            </w:r>
            <w:proofErr w:type="spellEnd"/>
            <w:r>
              <w:rPr>
                <w:color w:val="000000"/>
              </w:rPr>
              <w:t xml:space="preserve"> Ed. &amp; </w:t>
            </w:r>
            <w:proofErr w:type="spellStart"/>
            <w:r>
              <w:rPr>
                <w:color w:val="000000"/>
              </w:rPr>
              <w:t>Groupe</w:t>
            </w:r>
            <w:proofErr w:type="spellEnd"/>
            <w:r>
              <w:rPr>
                <w:color w:val="000000"/>
              </w:rPr>
              <w:t xml:space="preserve"> de </w:t>
            </w:r>
            <w:proofErr w:type="spellStart"/>
            <w:r>
              <w:rPr>
                <w:color w:val="000000"/>
              </w:rPr>
              <w:t>Recherche</w:t>
            </w:r>
            <w:proofErr w:type="spellEnd"/>
            <w:r>
              <w:rPr>
                <w:color w:val="000000"/>
              </w:rPr>
              <w:t xml:space="preserve"> </w:t>
            </w:r>
            <w:proofErr w:type="spellStart"/>
            <w:r>
              <w:rPr>
                <w:color w:val="000000"/>
              </w:rPr>
              <w:t>Identités</w:t>
            </w:r>
            <w:proofErr w:type="spellEnd"/>
            <w:r>
              <w:rPr>
                <w:color w:val="000000"/>
              </w:rPr>
              <w:t xml:space="preserve"> et Cultures – GRIC. U Le </w:t>
            </w:r>
            <w:proofErr w:type="spellStart"/>
            <w:r>
              <w:rPr>
                <w:color w:val="000000"/>
              </w:rPr>
              <w:t>Havre</w:t>
            </w:r>
            <w:proofErr w:type="spellEnd"/>
            <w:r>
              <w:rPr>
                <w:color w:val="000000"/>
              </w:rPr>
              <w:t xml:space="preserve"> </w:t>
            </w:r>
            <w:proofErr w:type="spellStart"/>
            <w:r>
              <w:rPr>
                <w:color w:val="000000"/>
              </w:rPr>
              <w:t>Normandie</w:t>
            </w:r>
            <w:proofErr w:type="spellEnd"/>
          </w:p>
          <w:p w:rsidR="007E45C7" w:rsidRDefault="00420F5A" w:rsidP="007E45C7">
            <w:pPr>
              <w:widowControl/>
              <w:numPr>
                <w:ilvl w:val="0"/>
                <w:numId w:val="2"/>
              </w:numPr>
              <w:pBdr>
                <w:top w:val="nil"/>
                <w:left w:val="nil"/>
                <w:bottom w:val="nil"/>
                <w:right w:val="nil"/>
                <w:between w:val="nil"/>
              </w:pBdr>
              <w:rPr>
                <w:color w:val="000000"/>
                <w:sz w:val="20"/>
                <w:szCs w:val="20"/>
              </w:rPr>
            </w:pPr>
            <w:r>
              <w:rPr>
                <w:color w:val="000000"/>
              </w:rPr>
              <w:t xml:space="preserve">Piper, I. (2005) </w:t>
            </w:r>
            <w:r>
              <w:rPr>
                <w:i/>
                <w:color w:val="000000"/>
              </w:rPr>
              <w:t>Obstinaciones de la memoria: la dictadura militar Chilena en las tramas del recuerdo.</w:t>
            </w:r>
            <w:r>
              <w:rPr>
                <w:color w:val="000000"/>
              </w:rPr>
              <w:t xml:space="preserve"> Tesis Doctoral Universidad Autónoma de Barcelona.</w:t>
            </w:r>
          </w:p>
          <w:p w:rsidR="003616CD" w:rsidRPr="007E45C7" w:rsidRDefault="003616CD" w:rsidP="007E45C7">
            <w:pPr>
              <w:widowControl/>
              <w:numPr>
                <w:ilvl w:val="0"/>
                <w:numId w:val="2"/>
              </w:numPr>
              <w:pBdr>
                <w:top w:val="nil"/>
                <w:left w:val="nil"/>
                <w:bottom w:val="nil"/>
                <w:right w:val="nil"/>
                <w:between w:val="nil"/>
              </w:pBdr>
              <w:rPr>
                <w:color w:val="000000"/>
                <w:sz w:val="20"/>
                <w:szCs w:val="20"/>
              </w:rPr>
            </w:pPr>
            <w:r w:rsidRPr="007E45C7">
              <w:rPr>
                <w:color w:val="000000"/>
              </w:rPr>
              <w:t xml:space="preserve">Piper, </w:t>
            </w:r>
            <w:proofErr w:type="spellStart"/>
            <w:r w:rsidRPr="007E45C7">
              <w:rPr>
                <w:color w:val="000000"/>
              </w:rPr>
              <w:t>isabel</w:t>
            </w:r>
            <w:proofErr w:type="spellEnd"/>
            <w:r w:rsidRPr="007E45C7">
              <w:rPr>
                <w:color w:val="000000"/>
              </w:rPr>
              <w:t xml:space="preserve"> y Hevia, Evelyn (2013) Espacio y recuerdo: archipiélagos de memoria en Santiago de Chile. Santiago de Chile, Ed </w:t>
            </w:r>
            <w:proofErr w:type="spellStart"/>
            <w:r w:rsidRPr="007E45C7">
              <w:rPr>
                <w:color w:val="000000"/>
              </w:rPr>
              <w:t>Ocholibros</w:t>
            </w:r>
            <w:proofErr w:type="spellEnd"/>
            <w:r w:rsidRPr="007E45C7">
              <w:rPr>
                <w:color w:val="000000"/>
              </w:rPr>
              <w:t>. Disponible en http://biblioteca.clacso.edu.ar/Chile/ds-uchile/20190802032948/Espacio_y_recuerdo.pdf</w:t>
            </w:r>
          </w:p>
          <w:p w:rsidR="009B13F8" w:rsidRDefault="00420F5A">
            <w:pPr>
              <w:widowControl/>
              <w:numPr>
                <w:ilvl w:val="0"/>
                <w:numId w:val="2"/>
              </w:numPr>
              <w:pBdr>
                <w:top w:val="nil"/>
                <w:left w:val="nil"/>
                <w:bottom w:val="nil"/>
                <w:right w:val="nil"/>
                <w:between w:val="nil"/>
              </w:pBdr>
              <w:rPr>
                <w:color w:val="000000"/>
                <w:sz w:val="20"/>
                <w:szCs w:val="20"/>
              </w:rPr>
            </w:pPr>
            <w:r>
              <w:rPr>
                <w:color w:val="000000"/>
              </w:rPr>
              <w:t>Vázquez, Félix (2001).</w:t>
            </w:r>
            <w:r>
              <w:rPr>
                <w:b/>
                <w:color w:val="000000"/>
              </w:rPr>
              <w:t xml:space="preserve"> </w:t>
            </w:r>
            <w:r>
              <w:rPr>
                <w:i/>
                <w:color w:val="000000"/>
              </w:rPr>
              <w:t>La Memoria como acción social</w:t>
            </w:r>
            <w:r>
              <w:rPr>
                <w:b/>
                <w:color w:val="000000"/>
              </w:rPr>
              <w:t xml:space="preserve">. </w:t>
            </w:r>
            <w:r>
              <w:rPr>
                <w:color w:val="000000"/>
              </w:rPr>
              <w:t>Paidós</w:t>
            </w:r>
          </w:p>
          <w:p w:rsidR="009B13F8" w:rsidRDefault="00420F5A">
            <w:pPr>
              <w:widowControl/>
              <w:numPr>
                <w:ilvl w:val="0"/>
                <w:numId w:val="2"/>
              </w:numPr>
              <w:pBdr>
                <w:top w:val="nil"/>
                <w:left w:val="nil"/>
                <w:bottom w:val="nil"/>
                <w:right w:val="nil"/>
                <w:between w:val="nil"/>
              </w:pBdr>
              <w:rPr>
                <w:color w:val="000000"/>
                <w:sz w:val="20"/>
                <w:szCs w:val="20"/>
              </w:rPr>
            </w:pPr>
            <w:proofErr w:type="spellStart"/>
            <w:r>
              <w:rPr>
                <w:color w:val="000000"/>
              </w:rPr>
              <w:t>Vinyes</w:t>
            </w:r>
            <w:proofErr w:type="spellEnd"/>
            <w:r>
              <w:rPr>
                <w:color w:val="000000"/>
              </w:rPr>
              <w:t xml:space="preserve">, </w:t>
            </w:r>
            <w:proofErr w:type="spellStart"/>
            <w:r>
              <w:rPr>
                <w:color w:val="000000"/>
              </w:rPr>
              <w:t>Ricard</w:t>
            </w:r>
            <w:proofErr w:type="spellEnd"/>
            <w:r>
              <w:rPr>
                <w:color w:val="000000"/>
              </w:rPr>
              <w:t xml:space="preserve"> (ed.) (2009). </w:t>
            </w:r>
            <w:r>
              <w:rPr>
                <w:i/>
                <w:color w:val="000000"/>
              </w:rPr>
              <w:t>El Estado y la Memoria</w:t>
            </w:r>
            <w:r>
              <w:rPr>
                <w:color w:val="000000"/>
              </w:rPr>
              <w:t xml:space="preserve">, RBA. ISBN: 978-84-9867-575-7. </w:t>
            </w:r>
          </w:p>
        </w:tc>
      </w:tr>
    </w:tbl>
    <w:p w:rsidR="009B13F8" w:rsidRDefault="009B13F8">
      <w:pPr>
        <w:spacing w:line="276" w:lineRule="auto"/>
        <w:jc w:val="both"/>
      </w:pPr>
    </w:p>
    <w:p w:rsidR="009B13F8" w:rsidRDefault="009B13F8">
      <w:pPr>
        <w:widowControl/>
        <w:shd w:val="clear" w:color="auto" w:fill="FFFFFF"/>
        <w:rPr>
          <w:rFonts w:ascii="Arial" w:eastAsia="Arial" w:hAnsi="Arial" w:cs="Arial"/>
          <w:color w:val="222222"/>
          <w:sz w:val="24"/>
          <w:szCs w:val="24"/>
        </w:rPr>
      </w:pPr>
    </w:p>
    <w:tbl>
      <w:tblPr>
        <w:tblStyle w:val="a1"/>
        <w:tblW w:w="8921" w:type="dxa"/>
        <w:tblLayout w:type="fixed"/>
        <w:tblLook w:val="0400" w:firstRow="0" w:lastRow="0" w:firstColumn="0" w:lastColumn="0" w:noHBand="0" w:noVBand="1"/>
      </w:tblPr>
      <w:tblGrid>
        <w:gridCol w:w="1376"/>
        <w:gridCol w:w="1748"/>
        <w:gridCol w:w="3103"/>
        <w:gridCol w:w="2694"/>
      </w:tblGrid>
      <w:tr w:rsidR="009B13F8">
        <w:trPr>
          <w:trHeight w:val="300"/>
        </w:trPr>
        <w:tc>
          <w:tcPr>
            <w:tcW w:w="1376" w:type="dxa"/>
            <w:tcBorders>
              <w:top w:val="single" w:sz="8" w:space="0" w:color="000000"/>
              <w:left w:val="single" w:sz="8" w:space="0" w:color="000000"/>
              <w:bottom w:val="single" w:sz="8" w:space="0" w:color="000000"/>
              <w:right w:val="single" w:sz="8" w:space="0" w:color="000000"/>
            </w:tcBorders>
          </w:tcPr>
          <w:p w:rsidR="009B13F8" w:rsidRDefault="009B13F8">
            <w:pPr>
              <w:widowControl/>
            </w:pPr>
          </w:p>
        </w:tc>
        <w:tc>
          <w:tcPr>
            <w:tcW w:w="1748" w:type="dxa"/>
            <w:tcBorders>
              <w:top w:val="single" w:sz="8" w:space="0" w:color="000000"/>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09 de agosto</w:t>
            </w:r>
          </w:p>
        </w:tc>
        <w:tc>
          <w:tcPr>
            <w:tcW w:w="5797" w:type="dxa"/>
            <w:gridSpan w:val="2"/>
            <w:tcBorders>
              <w:top w:val="single" w:sz="8" w:space="0" w:color="000000"/>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se realizará durante la semana recuperativa</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1</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16 de agosto</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highlight w:val="yellow"/>
              </w:rPr>
            </w:pPr>
            <w:r>
              <w:rPr>
                <w:rFonts w:ascii="Arial" w:eastAsia="Arial" w:hAnsi="Arial" w:cs="Arial"/>
                <w:sz w:val="19"/>
                <w:szCs w:val="19"/>
              </w:rPr>
              <w:t>PSM y concepto de memoria colectiva</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highlight w:val="yellow"/>
              </w:rPr>
            </w:pPr>
            <w:r>
              <w:rPr>
                <w:rFonts w:ascii="Arial" w:eastAsia="Arial" w:hAnsi="Arial" w:cs="Arial"/>
                <w:sz w:val="19"/>
                <w:szCs w:val="19"/>
              </w:rPr>
              <w:t>Catalina Álvarez</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2</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23 de agosto</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Memoria y derechos humanos en AL</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Isabel Piper</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3</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30 de agosto</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memoria género y feminismo</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Catalina Álvarez</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4</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06 de septiembre</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Memoria, performance y conmemoraciones</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Isabel Piper</w:t>
            </w:r>
          </w:p>
        </w:tc>
      </w:tr>
      <w:tr w:rsidR="009B13F8">
        <w:trPr>
          <w:trHeight w:val="555"/>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highlight w:val="yellow"/>
              </w:rPr>
              <w:t>PAUSA</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highlight w:val="yellow"/>
              </w:rPr>
              <w:t>13 de septiembre</w:t>
            </w:r>
          </w:p>
        </w:tc>
        <w:tc>
          <w:tcPr>
            <w:tcW w:w="5797" w:type="dxa"/>
            <w:gridSpan w:val="2"/>
            <w:tcBorders>
              <w:top w:val="nil"/>
              <w:left w:val="nil"/>
              <w:right w:val="single" w:sz="8" w:space="0" w:color="000000"/>
            </w:tcBorders>
            <w:shd w:val="clear" w:color="auto" w:fill="auto"/>
          </w:tcPr>
          <w:p w:rsidR="009B13F8" w:rsidRDefault="00420F5A">
            <w:pPr>
              <w:widowControl/>
              <w:rPr>
                <w:rFonts w:ascii="Arial" w:eastAsia="Arial" w:hAnsi="Arial" w:cs="Arial"/>
                <w:sz w:val="19"/>
                <w:szCs w:val="19"/>
                <w:highlight w:val="yellow"/>
              </w:rPr>
            </w:pPr>
            <w:r>
              <w:rPr>
                <w:rFonts w:ascii="Arial" w:eastAsia="Arial" w:hAnsi="Arial" w:cs="Arial"/>
                <w:sz w:val="19"/>
                <w:szCs w:val="19"/>
                <w:highlight w:val="yellow"/>
              </w:rPr>
              <w:t>OBSERVACIÓN Y REGISTRO DE CONMEMORACIONES (preparar pauta de observación)</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sesión 5</w:t>
            </w:r>
          </w:p>
        </w:tc>
        <w:tc>
          <w:tcPr>
            <w:tcW w:w="1748"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20 de septiembre</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Presentación de conmemoraciones</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 xml:space="preserve">Isabel Piper y Catalina </w:t>
            </w:r>
            <w:proofErr w:type="spellStart"/>
            <w:r>
              <w:rPr>
                <w:rFonts w:ascii="Arial" w:eastAsia="Arial" w:hAnsi="Arial" w:cs="Arial"/>
                <w:sz w:val="19"/>
                <w:szCs w:val="19"/>
              </w:rPr>
              <w:t>Alvarez</w:t>
            </w:r>
            <w:proofErr w:type="spellEnd"/>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sesión 6</w:t>
            </w:r>
          </w:p>
        </w:tc>
        <w:tc>
          <w:tcPr>
            <w:tcW w:w="1748"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27 de septiembre</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Memoria y resistencia</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Isabel Piper</w:t>
            </w:r>
          </w:p>
        </w:tc>
      </w:tr>
      <w:tr w:rsidR="009B13F8">
        <w:trPr>
          <w:trHeight w:val="421"/>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7</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04 de octubre</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Memorias Migrantes</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Catalina Álvarez</w:t>
            </w:r>
          </w:p>
        </w:tc>
      </w:tr>
      <w:tr w:rsidR="009B13F8">
        <w:trPr>
          <w:trHeight w:val="300"/>
        </w:trPr>
        <w:tc>
          <w:tcPr>
            <w:tcW w:w="1376" w:type="dxa"/>
            <w:tcBorders>
              <w:top w:val="nil"/>
              <w:left w:val="single" w:sz="8" w:space="0" w:color="000000"/>
              <w:bottom w:val="single" w:sz="8" w:space="0" w:color="000000"/>
              <w:right w:val="single" w:sz="8" w:space="0" w:color="000000"/>
            </w:tcBorders>
          </w:tcPr>
          <w:p w:rsidR="009B13F8" w:rsidRDefault="00420F5A">
            <w:pPr>
              <w:widowControl/>
            </w:pPr>
            <w:r>
              <w:rPr>
                <w:rFonts w:ascii="Arial" w:eastAsia="Arial" w:hAnsi="Arial" w:cs="Arial"/>
                <w:sz w:val="19"/>
                <w:szCs w:val="19"/>
              </w:rPr>
              <w:t>sesión 8</w:t>
            </w:r>
          </w:p>
        </w:tc>
        <w:tc>
          <w:tcPr>
            <w:tcW w:w="1748" w:type="dxa"/>
            <w:tcBorders>
              <w:top w:val="nil"/>
              <w:left w:val="nil"/>
              <w:bottom w:val="single" w:sz="8" w:space="0" w:color="000000"/>
              <w:right w:val="single" w:sz="8" w:space="0" w:color="000000"/>
            </w:tcBorders>
          </w:tcPr>
          <w:p w:rsidR="009B13F8" w:rsidRDefault="00420F5A">
            <w:pPr>
              <w:widowControl/>
            </w:pPr>
            <w:r>
              <w:rPr>
                <w:rFonts w:ascii="Arial" w:eastAsia="Arial" w:hAnsi="Arial" w:cs="Arial"/>
                <w:sz w:val="19"/>
                <w:szCs w:val="19"/>
              </w:rPr>
              <w:t>11 de octubre</w:t>
            </w:r>
          </w:p>
        </w:tc>
        <w:tc>
          <w:tcPr>
            <w:tcW w:w="3103"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 xml:space="preserve">PNM y estudio de memorias feministas </w:t>
            </w:r>
          </w:p>
        </w:tc>
        <w:tc>
          <w:tcPr>
            <w:tcW w:w="2694" w:type="dxa"/>
            <w:tcBorders>
              <w:top w:val="nil"/>
              <w:left w:val="nil"/>
              <w:bottom w:val="single" w:sz="8" w:space="0" w:color="000000"/>
              <w:right w:val="single" w:sz="8" w:space="0" w:color="000000"/>
            </w:tcBorders>
          </w:tcPr>
          <w:p w:rsidR="009B13F8" w:rsidRDefault="00420F5A">
            <w:pPr>
              <w:widowControl/>
              <w:rPr>
                <w:rFonts w:ascii="Arial" w:eastAsia="Arial" w:hAnsi="Arial" w:cs="Arial"/>
                <w:sz w:val="19"/>
                <w:szCs w:val="19"/>
              </w:rPr>
            </w:pPr>
            <w:r>
              <w:rPr>
                <w:rFonts w:ascii="Arial" w:eastAsia="Arial" w:hAnsi="Arial" w:cs="Arial"/>
                <w:sz w:val="19"/>
                <w:szCs w:val="19"/>
              </w:rPr>
              <w:t>Catalina Álvarez</w:t>
            </w:r>
          </w:p>
        </w:tc>
      </w:tr>
    </w:tbl>
    <w:p w:rsidR="009B13F8" w:rsidRDefault="009B13F8">
      <w:pPr>
        <w:widowControl/>
        <w:shd w:val="clear" w:color="auto" w:fill="FFFFFF"/>
        <w:rPr>
          <w:rFonts w:ascii="Arial" w:eastAsia="Arial" w:hAnsi="Arial" w:cs="Arial"/>
          <w:color w:val="222222"/>
          <w:sz w:val="24"/>
          <w:szCs w:val="24"/>
        </w:rPr>
      </w:pPr>
    </w:p>
    <w:p w:rsidR="009B13F8" w:rsidRDefault="009B13F8">
      <w:bookmarkStart w:id="0" w:name="_GoBack"/>
      <w:bookmarkEnd w:id="0"/>
    </w:p>
    <w:sectPr w:rsidR="009B13F8">
      <w:pgSz w:w="12240" w:h="15840"/>
      <w:pgMar w:top="14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59B"/>
    <w:multiLevelType w:val="multilevel"/>
    <w:tmpl w:val="CB262540"/>
    <w:lvl w:ilvl="0">
      <w:numFmt w:val="bullet"/>
      <w:lvlText w:val="●"/>
      <w:lvlJc w:val="left"/>
      <w:pPr>
        <w:ind w:left="831" w:hanging="360"/>
      </w:pPr>
      <w:rPr>
        <w:rFonts w:ascii="Noto Sans Symbols" w:eastAsia="Noto Sans Symbols" w:hAnsi="Noto Sans Symbols" w:cs="Noto Sans Symbols"/>
        <w:color w:val="000009"/>
        <w:sz w:val="22"/>
        <w:szCs w:val="22"/>
      </w:rPr>
    </w:lvl>
    <w:lvl w:ilvl="1">
      <w:numFmt w:val="bullet"/>
      <w:lvlText w:val="•"/>
      <w:lvlJc w:val="left"/>
      <w:pPr>
        <w:ind w:left="1432" w:hanging="360"/>
      </w:pPr>
    </w:lvl>
    <w:lvl w:ilvl="2">
      <w:numFmt w:val="bullet"/>
      <w:lvlText w:val="•"/>
      <w:lvlJc w:val="left"/>
      <w:pPr>
        <w:ind w:left="2024" w:hanging="360"/>
      </w:pPr>
    </w:lvl>
    <w:lvl w:ilvl="3">
      <w:numFmt w:val="bullet"/>
      <w:lvlText w:val="•"/>
      <w:lvlJc w:val="left"/>
      <w:pPr>
        <w:ind w:left="2616" w:hanging="360"/>
      </w:pPr>
    </w:lvl>
    <w:lvl w:ilvl="4">
      <w:numFmt w:val="bullet"/>
      <w:lvlText w:val="•"/>
      <w:lvlJc w:val="left"/>
      <w:pPr>
        <w:ind w:left="3208" w:hanging="360"/>
      </w:pPr>
    </w:lvl>
    <w:lvl w:ilvl="5">
      <w:numFmt w:val="bullet"/>
      <w:lvlText w:val="•"/>
      <w:lvlJc w:val="left"/>
      <w:pPr>
        <w:ind w:left="3801" w:hanging="360"/>
      </w:pPr>
    </w:lvl>
    <w:lvl w:ilvl="6">
      <w:numFmt w:val="bullet"/>
      <w:lvlText w:val="•"/>
      <w:lvlJc w:val="left"/>
      <w:pPr>
        <w:ind w:left="4393" w:hanging="360"/>
      </w:pPr>
    </w:lvl>
    <w:lvl w:ilvl="7">
      <w:numFmt w:val="bullet"/>
      <w:lvlText w:val="•"/>
      <w:lvlJc w:val="left"/>
      <w:pPr>
        <w:ind w:left="4985" w:hanging="360"/>
      </w:pPr>
    </w:lvl>
    <w:lvl w:ilvl="8">
      <w:numFmt w:val="bullet"/>
      <w:lvlText w:val="•"/>
      <w:lvlJc w:val="left"/>
      <w:pPr>
        <w:ind w:left="5577" w:hanging="360"/>
      </w:pPr>
    </w:lvl>
  </w:abstractNum>
  <w:abstractNum w:abstractNumId="1">
    <w:nsid w:val="2C9221B7"/>
    <w:multiLevelType w:val="multilevel"/>
    <w:tmpl w:val="36F8247A"/>
    <w:lvl w:ilvl="0">
      <w:numFmt w:val="bullet"/>
      <w:lvlText w:val="-"/>
      <w:lvlJc w:val="left"/>
      <w:pPr>
        <w:ind w:left="110" w:hanging="136"/>
      </w:pPr>
      <w:rPr>
        <w:rFonts w:ascii="Calibri" w:eastAsia="Calibri" w:hAnsi="Calibri" w:cs="Calibri"/>
        <w:sz w:val="22"/>
        <w:szCs w:val="22"/>
      </w:rPr>
    </w:lvl>
    <w:lvl w:ilvl="1">
      <w:numFmt w:val="bullet"/>
      <w:lvlText w:val="•"/>
      <w:lvlJc w:val="left"/>
      <w:pPr>
        <w:ind w:left="784" w:hanging="135"/>
      </w:pPr>
    </w:lvl>
    <w:lvl w:ilvl="2">
      <w:numFmt w:val="bullet"/>
      <w:lvlText w:val="•"/>
      <w:lvlJc w:val="left"/>
      <w:pPr>
        <w:ind w:left="1448" w:hanging="135"/>
      </w:pPr>
    </w:lvl>
    <w:lvl w:ilvl="3">
      <w:numFmt w:val="bullet"/>
      <w:lvlText w:val="•"/>
      <w:lvlJc w:val="left"/>
      <w:pPr>
        <w:ind w:left="2112" w:hanging="136"/>
      </w:pPr>
    </w:lvl>
    <w:lvl w:ilvl="4">
      <w:numFmt w:val="bullet"/>
      <w:lvlText w:val="•"/>
      <w:lvlJc w:val="left"/>
      <w:pPr>
        <w:ind w:left="2776" w:hanging="136"/>
      </w:pPr>
    </w:lvl>
    <w:lvl w:ilvl="5">
      <w:numFmt w:val="bullet"/>
      <w:lvlText w:val="•"/>
      <w:lvlJc w:val="left"/>
      <w:pPr>
        <w:ind w:left="3441" w:hanging="136"/>
      </w:pPr>
    </w:lvl>
    <w:lvl w:ilvl="6">
      <w:numFmt w:val="bullet"/>
      <w:lvlText w:val="•"/>
      <w:lvlJc w:val="left"/>
      <w:pPr>
        <w:ind w:left="4105" w:hanging="136"/>
      </w:pPr>
    </w:lvl>
    <w:lvl w:ilvl="7">
      <w:numFmt w:val="bullet"/>
      <w:lvlText w:val="•"/>
      <w:lvlJc w:val="left"/>
      <w:pPr>
        <w:ind w:left="4769" w:hanging="136"/>
      </w:pPr>
    </w:lvl>
    <w:lvl w:ilvl="8">
      <w:numFmt w:val="bullet"/>
      <w:lvlText w:val="•"/>
      <w:lvlJc w:val="left"/>
      <w:pPr>
        <w:ind w:left="5433" w:hanging="136"/>
      </w:pPr>
    </w:lvl>
  </w:abstractNum>
  <w:abstractNum w:abstractNumId="2">
    <w:nsid w:val="3AAE69A7"/>
    <w:multiLevelType w:val="multilevel"/>
    <w:tmpl w:val="E5161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9B13F8"/>
    <w:rsid w:val="002D1545"/>
    <w:rsid w:val="003616CD"/>
    <w:rsid w:val="00420F5A"/>
    <w:rsid w:val="007E45C7"/>
    <w:rsid w:val="008E5047"/>
    <w:rsid w:val="009B13F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10"/>
    </w:pPr>
  </w:style>
  <w:style w:type="table" w:styleId="Tablaconcuadrcula">
    <w:name w:val="Table Grid"/>
    <w:basedOn w:val="Tablanormal"/>
    <w:uiPriority w:val="59"/>
    <w:rsid w:val="00485D74"/>
    <w:pPr>
      <w:widowControl/>
    </w:pPr>
    <w:rPr>
      <w:rFonts w:eastAsiaTheme="minorEastAsia"/>
      <w:sz w:val="24"/>
      <w:szCs w:val="24"/>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10"/>
    </w:pPr>
  </w:style>
  <w:style w:type="table" w:styleId="Tablaconcuadrcula">
    <w:name w:val="Table Grid"/>
    <w:basedOn w:val="Tablanormal"/>
    <w:uiPriority w:val="59"/>
    <w:rsid w:val="00485D74"/>
    <w:pPr>
      <w:widowControl/>
    </w:pPr>
    <w:rPr>
      <w:rFonts w:eastAsiaTheme="minorEastAsia"/>
      <w:sz w:val="24"/>
      <w:szCs w:val="24"/>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dx.doi.org/10.5565/rev/athenea.123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4q+QQ5BG7A8SpAO8cY6S2ukWw==">CgMxLjA4AHIhMURwd2pHcXNXQkUya3FnQ1UxZEk2MC1ZZVRYWjQwR0J4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5862</Characters>
  <Application>Microsoft Macintosh Word</Application>
  <DocSecurity>0</DocSecurity>
  <Lines>48</Lines>
  <Paragraphs>13</Paragraphs>
  <ScaleCrop>false</ScaleCrop>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Isabel Piper</cp:lastModifiedBy>
  <cp:revision>2</cp:revision>
  <dcterms:created xsi:type="dcterms:W3CDTF">2023-08-23T01:40:00Z</dcterms:created>
  <dcterms:modified xsi:type="dcterms:W3CDTF">2023-08-23T01:40:00Z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2022-10-06T00:00:00Z</vt:filetime>
  </property>
</Properties>
</file>