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711" w:rsidRDefault="00256C3E">
      <w:pPr>
        <w:rPr>
          <w:b/>
        </w:rPr>
      </w:pPr>
      <w:r w:rsidRPr="00256C3E">
        <w:rPr>
          <w:b/>
        </w:rPr>
        <w:t>El procesamiento cognitivo opera en el cerebro implicando una forma de funcionamiento similar cualquiera sea el objeto real:</w:t>
      </w:r>
    </w:p>
    <w:p w:rsidR="008F4756" w:rsidRPr="00256C3E" w:rsidRDefault="008F4756">
      <w:pPr>
        <w:rPr>
          <w:b/>
        </w:rPr>
      </w:pPr>
      <w:r>
        <w:rPr>
          <w:b/>
        </w:rPr>
        <w:t>Sacado de Rafael del Villar: “</w:t>
      </w:r>
      <w:r>
        <w:rPr>
          <w:rFonts w:ascii="TTE2349948t00" w:hAnsi="TTE2349948t00" w:cs="TTE2349948t00"/>
          <w:sz w:val="24"/>
          <w:szCs w:val="24"/>
        </w:rPr>
        <w:t>Publicidad Política y Posicionamiento Plural: el trabajo sobre la ambigüedad del texto</w:t>
      </w:r>
      <w:r>
        <w:rPr>
          <w:rFonts w:ascii="TTE226B398t00" w:hAnsi="TTE226B398t00" w:cs="TTE226B398t00"/>
          <w:sz w:val="28"/>
          <w:szCs w:val="28"/>
        </w:rPr>
        <w:t>”, Revista Comunicación y Medios Año 14, No 15, Ed. ICEI, Universidad de Chile, 2004</w:t>
      </w:r>
    </w:p>
    <w:p w:rsidR="00256C3E" w:rsidRPr="00256C3E" w:rsidRDefault="00256C3E" w:rsidP="00256C3E">
      <w:pPr>
        <w:spacing w:after="0" w:line="240" w:lineRule="auto"/>
      </w:pPr>
      <w:r w:rsidRPr="00256C3E">
        <w:t>A la base de los saberes contemporáneos respecto a la interpretación, o si se quiere,</w:t>
      </w:r>
      <w:r>
        <w:t xml:space="preserve"> </w:t>
      </w:r>
      <w:r w:rsidRPr="00256C3E">
        <w:t>más específicamente respecto a los procesos intelectivos y perceptivos está el saber de las</w:t>
      </w:r>
    </w:p>
    <w:p w:rsidR="00256C3E" w:rsidRPr="00256C3E" w:rsidRDefault="00256C3E" w:rsidP="00256C3E">
      <w:pPr>
        <w:spacing w:after="0" w:line="240" w:lineRule="auto"/>
      </w:pPr>
      <w:r w:rsidRPr="00256C3E">
        <w:t>ciencias cognitivas. Lo que las ciencias cognitivas descubren es que el sujeto no capta al objeto</w:t>
      </w:r>
    </w:p>
    <w:p w:rsidR="00256C3E" w:rsidRPr="00256C3E" w:rsidRDefault="00256C3E" w:rsidP="00256C3E">
      <w:pPr>
        <w:spacing w:after="0" w:line="240" w:lineRule="auto"/>
      </w:pPr>
      <w:r w:rsidRPr="00256C3E">
        <w:t>real como relación estímulo- respuesta, el objeto real no existe para el sujeto más que a través</w:t>
      </w:r>
    </w:p>
    <w:p w:rsidR="00256C3E" w:rsidRPr="00256C3E" w:rsidRDefault="00256C3E" w:rsidP="00256C3E">
      <w:pPr>
        <w:spacing w:after="0" w:line="240" w:lineRule="auto"/>
      </w:pPr>
      <w:r w:rsidRPr="00256C3E">
        <w:t>de una sinápsis que lo aprehende a partir de sus propios principios de auto- organización: “el</w:t>
      </w:r>
    </w:p>
    <w:p w:rsidR="00256C3E" w:rsidRPr="00256C3E" w:rsidRDefault="00256C3E" w:rsidP="00256C3E">
      <w:pPr>
        <w:spacing w:after="0" w:line="240" w:lineRule="auto"/>
      </w:pPr>
      <w:r w:rsidRPr="00256C3E">
        <w:t>fenómeno de la percepción como fenómeno de captación de rasgos de entes independientes,</w:t>
      </w:r>
    </w:p>
    <w:p w:rsidR="00256C3E" w:rsidRPr="00256C3E" w:rsidRDefault="00256C3E" w:rsidP="00256C3E">
      <w:pPr>
        <w:spacing w:after="0" w:line="240" w:lineRule="auto"/>
      </w:pPr>
      <w:r w:rsidRPr="00256C3E">
        <w:t>no puede ocurrir porque no hay mecanismo a través del cual tales entes pudiesen determinar lo</w:t>
      </w:r>
    </w:p>
    <w:p w:rsidR="00256C3E" w:rsidRPr="00256C3E" w:rsidRDefault="00256C3E" w:rsidP="00256C3E">
      <w:pPr>
        <w:spacing w:after="0" w:line="240" w:lineRule="auto"/>
      </w:pPr>
      <w:r w:rsidRPr="00256C3E">
        <w:t>que sucede en un sistema sensorial en una interacción” (Maturana, H., 1992: 160); esto es, el</w:t>
      </w:r>
    </w:p>
    <w:p w:rsidR="00256C3E" w:rsidRPr="00256C3E" w:rsidRDefault="00256C3E" w:rsidP="00256C3E">
      <w:pPr>
        <w:spacing w:after="0" w:line="240" w:lineRule="auto"/>
      </w:pPr>
      <w:r w:rsidRPr="00256C3E">
        <w:t>medio solo puede gatillar una percepción, pero ella es aprehendida a través de un sistema, y de</w:t>
      </w:r>
    </w:p>
    <w:p w:rsidR="00256C3E" w:rsidRPr="00256C3E" w:rsidRDefault="00256C3E" w:rsidP="00256C3E">
      <w:pPr>
        <w:spacing w:after="0" w:line="240" w:lineRule="auto"/>
      </w:pPr>
      <w:r w:rsidRPr="00256C3E">
        <w:t>sus propias reglas, no habiendo ni sensores ni efectores, como mecanismo estímulo- respuesta.</w:t>
      </w:r>
    </w:p>
    <w:p w:rsidR="00256C3E" w:rsidRPr="00256C3E" w:rsidRDefault="00256C3E" w:rsidP="00256C3E">
      <w:pPr>
        <w:spacing w:after="0" w:line="240" w:lineRule="auto"/>
      </w:pPr>
      <w:r w:rsidRPr="00256C3E">
        <w:t>Ahora bien, Francisco Varela en “Conocer” (Barcelona, Ed. Gedisa, 1996) sintetiza las etapas de</w:t>
      </w:r>
    </w:p>
    <w:p w:rsidR="00256C3E" w:rsidRPr="00256C3E" w:rsidRDefault="00256C3E" w:rsidP="00256C3E">
      <w:pPr>
        <w:spacing w:after="0" w:line="240" w:lineRule="auto"/>
      </w:pPr>
      <w:r w:rsidRPr="00256C3E">
        <w:t>las ciencias cognitivas en su problemática de descripción y explicación de las formas de</w:t>
      </w:r>
    </w:p>
    <w:p w:rsidR="00256C3E" w:rsidRPr="00256C3E" w:rsidRDefault="00256C3E" w:rsidP="00256C3E">
      <w:pPr>
        <w:spacing w:after="0" w:line="240" w:lineRule="auto"/>
      </w:pPr>
      <w:r w:rsidRPr="00256C3E">
        <w:t>funcionamiento biológicas de la percepción e intelección (también remitimos al lector a las</w:t>
      </w:r>
    </w:p>
    <w:p w:rsidR="00256C3E" w:rsidRPr="00256C3E" w:rsidRDefault="00256C3E" w:rsidP="00256C3E">
      <w:pPr>
        <w:spacing w:after="0" w:line="240" w:lineRule="auto"/>
        <w:rPr>
          <w:lang w:val="fr-FR"/>
        </w:rPr>
      </w:pPr>
      <w:r w:rsidRPr="00256C3E">
        <w:rPr>
          <w:lang w:val="fr-FR"/>
        </w:rPr>
        <w:t>síntesis desarrolladas por Daniel Andler (“Introduction aux sciences cognitives”, 1992, París: Ed.</w:t>
      </w:r>
    </w:p>
    <w:p w:rsidR="00256C3E" w:rsidRPr="00256C3E" w:rsidRDefault="00256C3E" w:rsidP="00256C3E">
      <w:pPr>
        <w:spacing w:after="0" w:line="240" w:lineRule="auto"/>
        <w:rPr>
          <w:lang w:val="fr-FR"/>
        </w:rPr>
      </w:pPr>
      <w:r w:rsidRPr="00256C3E">
        <w:rPr>
          <w:lang w:val="fr-FR"/>
        </w:rPr>
        <w:t>Gallimard) y Jean- François Dortier (“Le cerveau et la pensée. La révolution des sciences cognitives”,</w:t>
      </w:r>
      <w:r>
        <w:rPr>
          <w:lang w:val="fr-FR"/>
        </w:rPr>
        <w:t xml:space="preserve"> </w:t>
      </w:r>
      <w:r w:rsidRPr="00256C3E">
        <w:rPr>
          <w:lang w:val="fr-FR"/>
        </w:rPr>
        <w:t xml:space="preserve">2003, París, Ed. </w:t>
      </w:r>
      <w:r w:rsidRPr="00256C3E">
        <w:t>Sciences Humaines). Es necesario partir de una aclaración: las ciencias</w:t>
      </w:r>
    </w:p>
    <w:p w:rsidR="00256C3E" w:rsidRPr="00256C3E" w:rsidRDefault="00256C3E" w:rsidP="00256C3E">
      <w:pPr>
        <w:spacing w:after="0" w:line="240" w:lineRule="auto"/>
      </w:pPr>
      <w:r w:rsidRPr="00256C3E">
        <w:t>cognitivas es un campo teórico, que como tal tiene varios desarrollos temporales, y al mismo</w:t>
      </w:r>
    </w:p>
    <w:p w:rsidR="00256C3E" w:rsidRPr="00256C3E" w:rsidRDefault="00256C3E" w:rsidP="00256C3E">
      <w:pPr>
        <w:spacing w:after="0" w:line="240" w:lineRule="auto"/>
      </w:pPr>
      <w:r w:rsidRPr="00256C3E">
        <w:t>tiempo rupturas epistémicas: “la asimilación de las ciencias cognitivas al cognitivismo sería,</w:t>
      </w:r>
    </w:p>
    <w:p w:rsidR="00256C3E" w:rsidRPr="00256C3E" w:rsidRDefault="00256C3E" w:rsidP="00256C3E">
      <w:pPr>
        <w:spacing w:after="0" w:line="240" w:lineRule="auto"/>
      </w:pPr>
      <w:r w:rsidRPr="00256C3E">
        <w:t>entonces, un error lógico” (D. Andler, 1992: 12), el cognitivismo es una de las corrientes de</w:t>
      </w:r>
    </w:p>
    <w:p w:rsidR="00256C3E" w:rsidRPr="00256C3E" w:rsidRDefault="00256C3E" w:rsidP="00256C3E">
      <w:pPr>
        <w:spacing w:after="0" w:line="240" w:lineRule="auto"/>
      </w:pPr>
      <w:r w:rsidRPr="00256C3E">
        <w:t>dicho campo teórico, y que tuvo pertinencia en el siglo pasado, de acuerdo a las problemáticas</w:t>
      </w:r>
    </w:p>
    <w:p w:rsidR="00256C3E" w:rsidRPr="00256C3E" w:rsidRDefault="00256C3E" w:rsidP="00256C3E">
      <w:pPr>
        <w:spacing w:after="0" w:line="240" w:lineRule="auto"/>
      </w:pPr>
      <w:r w:rsidRPr="00256C3E">
        <w:t>de la coyuntura teórica de esa época. “El cognitivista afirmaba que el único modo de dar</w:t>
      </w:r>
    </w:p>
    <w:p w:rsidR="00256C3E" w:rsidRPr="00256C3E" w:rsidRDefault="00256C3E" w:rsidP="00256C3E">
      <w:pPr>
        <w:spacing w:after="0" w:line="240" w:lineRule="auto"/>
      </w:pPr>
      <w:r w:rsidRPr="00256C3E">
        <w:t>cuenta de la inteligencia y la intencionalidad consiste en formular la hipótesis de que la</w:t>
      </w:r>
    </w:p>
    <w:p w:rsidR="00256C3E" w:rsidRPr="00256C3E" w:rsidRDefault="00256C3E" w:rsidP="00256C3E">
      <w:pPr>
        <w:spacing w:after="0" w:line="240" w:lineRule="auto"/>
      </w:pPr>
      <w:r w:rsidRPr="00256C3E">
        <w:t>cognición consiste en actuar sobre la base de representaciones que adquieren realidad física</w:t>
      </w:r>
    </w:p>
    <w:p w:rsidR="00256C3E" w:rsidRPr="00256C3E" w:rsidRDefault="00256C3E" w:rsidP="00256C3E">
      <w:pPr>
        <w:spacing w:after="0" w:line="240" w:lineRule="auto"/>
      </w:pPr>
      <w:r w:rsidRPr="00256C3E">
        <w:t>con la forma de un código simbólico en el cerebro o en una máquina” (F. Varela, 1996:39).</w:t>
      </w:r>
    </w:p>
    <w:p w:rsidR="00256C3E" w:rsidRPr="00256C3E" w:rsidRDefault="00256C3E" w:rsidP="00256C3E">
      <w:pPr>
        <w:spacing w:after="0" w:line="240" w:lineRule="auto"/>
      </w:pPr>
      <w:r w:rsidRPr="00256C3E">
        <w:t>Dicha descripción está en correlación, y tiene viabilidad descriptiva, en el mismo objeto real</w:t>
      </w:r>
    </w:p>
    <w:p w:rsidR="00256C3E" w:rsidRPr="00256C3E" w:rsidRDefault="00256C3E" w:rsidP="00256C3E">
      <w:pPr>
        <w:spacing w:after="0" w:line="240" w:lineRule="auto"/>
      </w:pPr>
      <w:r w:rsidRPr="00256C3E">
        <w:t>estudiado por ellos; esto es, la inteligencia artificial. F. Varela sitúa sólo en la década de 1970 el</w:t>
      </w:r>
    </w:p>
    <w:p w:rsidR="00256C3E" w:rsidRPr="00256C3E" w:rsidRDefault="00256C3E" w:rsidP="00256C3E">
      <w:pPr>
        <w:spacing w:after="0" w:line="240" w:lineRule="auto"/>
      </w:pPr>
      <w:r w:rsidRPr="00256C3E">
        <w:t>desplazamiento del campo teórico de las ciencias cognitivas, estableciéndose una ruptura</w:t>
      </w:r>
    </w:p>
    <w:p w:rsidR="00256C3E" w:rsidRPr="00256C3E" w:rsidRDefault="00256C3E" w:rsidP="00256C3E">
      <w:pPr>
        <w:spacing w:after="0" w:line="240" w:lineRule="auto"/>
      </w:pPr>
      <w:r w:rsidRPr="00256C3E">
        <w:t>teórica, en el sentido de Bachelard (1972- 1974), pues se descubre que la hipótesis cognitivista</w:t>
      </w:r>
    </w:p>
    <w:p w:rsidR="00256C3E" w:rsidRPr="00256C3E" w:rsidRDefault="00256C3E" w:rsidP="00256C3E">
      <w:pPr>
        <w:spacing w:after="0" w:line="240" w:lineRule="auto"/>
      </w:pPr>
      <w:r w:rsidRPr="00256C3E">
        <w:t>no tiene viabilidad analítica: “en los cerebros reales no hay reglas, ni un operador lógico central,</w:t>
      </w:r>
    </w:p>
    <w:p w:rsidR="00256C3E" w:rsidRPr="00256C3E" w:rsidRDefault="00256C3E" w:rsidP="00256C3E">
      <w:pPr>
        <w:spacing w:after="0" w:line="240" w:lineRule="auto"/>
      </w:pPr>
      <w:r w:rsidRPr="00256C3E">
        <w:t>ni la información está almacenada en lugares precisos. En cambio, era evidente que el cerebro</w:t>
      </w:r>
    </w:p>
    <w:p w:rsidR="00256C3E" w:rsidRPr="00256C3E" w:rsidRDefault="00256C3E" w:rsidP="00256C3E">
      <w:pPr>
        <w:spacing w:after="0" w:line="240" w:lineRule="auto"/>
      </w:pPr>
      <w:r w:rsidRPr="00256C3E">
        <w:t>operaba a partir de interconexiones masivas, de forma distribuida, de modo que las conexiones</w:t>
      </w:r>
    </w:p>
    <w:p w:rsidR="00256C3E" w:rsidRPr="00256C3E" w:rsidRDefault="00256C3E" w:rsidP="00256C3E">
      <w:pPr>
        <w:spacing w:after="0" w:line="240" w:lineRule="auto"/>
      </w:pPr>
      <w:r w:rsidRPr="00256C3E">
        <w:t>entre conjuntos de neuronas cambian como resultado de la experiencia. En síntesis, estos</w:t>
      </w:r>
    </w:p>
    <w:p w:rsidR="00256C3E" w:rsidRPr="00256C3E" w:rsidRDefault="00256C3E" w:rsidP="00256C3E">
      <w:pPr>
        <w:spacing w:after="0" w:line="240" w:lineRule="auto"/>
      </w:pPr>
      <w:r w:rsidRPr="00256C3E">
        <w:t>conjuntos presentan una capacidad autoorganizativa que no es propio de la lógica” (F. Varela,</w:t>
      </w:r>
    </w:p>
    <w:p w:rsidR="00256C3E" w:rsidRPr="00256C3E" w:rsidRDefault="00256C3E" w:rsidP="00256C3E">
      <w:pPr>
        <w:spacing w:after="0" w:line="240" w:lineRule="auto"/>
      </w:pPr>
      <w:r w:rsidRPr="00256C3E">
        <w:t>1996: 53). Por otra parte, uno de los vacíos o deficiencias de la hipótesis cognitivista es que el</w:t>
      </w:r>
    </w:p>
    <w:p w:rsidR="00256C3E" w:rsidRPr="00256C3E" w:rsidRDefault="00256C3E" w:rsidP="00256C3E">
      <w:pPr>
        <w:spacing w:after="0" w:line="240" w:lineRule="auto"/>
      </w:pPr>
      <w:r w:rsidRPr="00256C3E">
        <w:t>procesamiento de la información simbólica lógica se basa en reglas secuenciales aplicadas una</w:t>
      </w:r>
    </w:p>
    <w:p w:rsidR="00256C3E" w:rsidRPr="00256C3E" w:rsidRDefault="00256C3E" w:rsidP="00256C3E">
      <w:pPr>
        <w:spacing w:after="0" w:line="240" w:lineRule="auto"/>
      </w:pPr>
      <w:r w:rsidRPr="00256C3E">
        <w:t>por vez, luego es incapaz de comprender el procesamiento paralelo de la información: “la</w:t>
      </w:r>
    </w:p>
    <w:p w:rsidR="00256C3E" w:rsidRPr="00256C3E" w:rsidRDefault="00256C3E" w:rsidP="00256C3E">
      <w:pPr>
        <w:spacing w:after="0" w:line="240" w:lineRule="auto"/>
      </w:pPr>
      <w:r w:rsidRPr="00256C3E">
        <w:t>continua búsqueda de algoritmos de procesamiento paralelo ha tenido poco éxito porque toda</w:t>
      </w:r>
    </w:p>
    <w:p w:rsidR="00256C3E" w:rsidRPr="00256C3E" w:rsidRDefault="00256C3E" w:rsidP="00256C3E">
      <w:pPr>
        <w:spacing w:after="0" w:line="240" w:lineRule="auto"/>
      </w:pPr>
      <w:r w:rsidRPr="00256C3E">
        <w:t>la ortodoxia computacional parece ir precisamente contra esa corriente“ (F. Varela, 1996:55).</w:t>
      </w:r>
    </w:p>
    <w:p w:rsidR="00256C3E" w:rsidRPr="00256C3E" w:rsidRDefault="00256C3E" w:rsidP="00256C3E">
      <w:pPr>
        <w:spacing w:after="0" w:line="240" w:lineRule="auto"/>
      </w:pPr>
      <w:r w:rsidRPr="00256C3E">
        <w:t>Otra deficiencia analítica era conceptualizar que el procesamiento simbólico está localizado, sin</w:t>
      </w:r>
    </w:p>
    <w:p w:rsidR="00256C3E" w:rsidRPr="00256C3E" w:rsidRDefault="00256C3E" w:rsidP="00256C3E">
      <w:pPr>
        <w:spacing w:after="0" w:line="240" w:lineRule="auto"/>
      </w:pPr>
      <w:r w:rsidRPr="00256C3E">
        <w:t>embargo lo que descubre el conexionismo, en su ruptura epistémica con la hipótesis</w:t>
      </w:r>
    </w:p>
    <w:p w:rsidR="00256C3E" w:rsidRPr="00256C3E" w:rsidRDefault="00256C3E" w:rsidP="00256C3E">
      <w:pPr>
        <w:spacing w:after="0" w:line="240" w:lineRule="auto"/>
      </w:pPr>
      <w:r w:rsidRPr="00256C3E">
        <w:lastRenderedPageBreak/>
        <w:t>cognitivista, es que en la intelección y en la percepción operan formas distribuidas; así “la</w:t>
      </w:r>
    </w:p>
    <w:p w:rsidR="00256C3E" w:rsidRPr="00256C3E" w:rsidRDefault="00256C3E" w:rsidP="00256C3E">
      <w:pPr>
        <w:spacing w:after="0" w:line="240" w:lineRule="auto"/>
      </w:pPr>
      <w:r w:rsidRPr="00256C3E">
        <w:t>inteligencia más profunda y fundamental es la del bebé que puede adquirir el lenguaje a partir de</w:t>
      </w:r>
    </w:p>
    <w:p w:rsidR="00256C3E" w:rsidRPr="00256C3E" w:rsidRDefault="00256C3E" w:rsidP="00256C3E">
      <w:pPr>
        <w:spacing w:after="0" w:line="240" w:lineRule="auto"/>
      </w:pPr>
      <w:r w:rsidRPr="00256C3E">
        <w:t>manifestaciones diarias y dispersas, y que puede distinguir objetos significativos a partir de lo que parece ser un</w:t>
      </w:r>
      <w:r>
        <w:t xml:space="preserve"> </w:t>
      </w:r>
      <w:r w:rsidRPr="00256C3E">
        <w:t>mar de luces”(F. Varela, 1996: 56). J.F. Dortier (2003) sitúa históricamente el desplazamiento</w:t>
      </w:r>
      <w:r>
        <w:t xml:space="preserve"> </w:t>
      </w:r>
      <w:r w:rsidRPr="00256C3E">
        <w:t>definitiva de la no aplicabilidad del cognitivismo y su reemplazo por el conexionismo en 1985</w:t>
      </w:r>
      <w:r>
        <w:t xml:space="preserve"> </w:t>
      </w:r>
      <w:r w:rsidRPr="00256C3E">
        <w:t>(J.F. Dortier, 2003: 26). La estrategia conexionista “consiste en construir un sistema cognitivo</w:t>
      </w:r>
      <w:r>
        <w:t xml:space="preserve"> </w:t>
      </w:r>
      <w:r w:rsidRPr="00256C3E">
        <w:t>no a partir de símbolos y reglas, sino de componentes simples que se conectarían</w:t>
      </w:r>
      <w:r>
        <w:t xml:space="preserve"> </w:t>
      </w:r>
      <w:r w:rsidRPr="00256C3E">
        <w:t>dinámicamente entre si de manera densa”(F. Varela, 1996: 61). En tal sistema no se requeriría</w:t>
      </w:r>
      <w:r>
        <w:t xml:space="preserve"> </w:t>
      </w:r>
      <w:r w:rsidRPr="00256C3E">
        <w:t>de una unidad procesadora central lógica que guiaría todas las operaciones, sino que procesos</w:t>
      </w:r>
      <w:r>
        <w:t xml:space="preserve"> </w:t>
      </w:r>
      <w:r w:rsidRPr="00256C3E">
        <w:t>de autorganización del sistema. “Las teorías conexionistas brindan elegantes modelos</w:t>
      </w:r>
    </w:p>
    <w:p w:rsidR="00256C3E" w:rsidRPr="00256C3E" w:rsidRDefault="00256C3E" w:rsidP="00256C3E">
      <w:pPr>
        <w:spacing w:after="0" w:line="240" w:lineRule="auto"/>
      </w:pPr>
      <w:r w:rsidRPr="00256C3E">
        <w:t>funcionales para diversas e interesantes aptitudes cognitivas, tales como el reconocimiento</w:t>
      </w:r>
    </w:p>
    <w:p w:rsidR="00256C3E" w:rsidRPr="00256C3E" w:rsidRDefault="00256C3E" w:rsidP="00256C3E">
      <w:pPr>
        <w:spacing w:after="0" w:line="240" w:lineRule="auto"/>
      </w:pPr>
      <w:r w:rsidRPr="00256C3E">
        <w:t>rápido, la memoria asociativa y la generalización categórica” (F. Varela, 1996: 67). Es claro, que</w:t>
      </w:r>
    </w:p>
    <w:p w:rsidR="00256C3E" w:rsidRPr="00256C3E" w:rsidRDefault="00256C3E" w:rsidP="00256C3E">
      <w:pPr>
        <w:spacing w:after="0" w:line="240" w:lineRule="auto"/>
      </w:pPr>
      <w:r w:rsidRPr="00256C3E">
        <w:t>las ciencias cognitivas plantean a la sociología de la cultura, al psicoanálisis, a la psicología</w:t>
      </w:r>
    </w:p>
    <w:p w:rsidR="00256C3E" w:rsidRPr="00256C3E" w:rsidRDefault="00256C3E" w:rsidP="00256C3E">
      <w:pPr>
        <w:spacing w:after="0" w:line="240" w:lineRule="auto"/>
      </w:pPr>
      <w:r w:rsidRPr="00256C3E">
        <w:t>genética, a la semiótica, y a las comunicaciones logros sólidos respecto al procesamiento</w:t>
      </w:r>
    </w:p>
    <w:p w:rsidR="00256C3E" w:rsidRPr="00256C3E" w:rsidRDefault="00256C3E" w:rsidP="00256C3E">
      <w:pPr>
        <w:spacing w:after="0" w:line="240" w:lineRule="auto"/>
      </w:pPr>
      <w:r w:rsidRPr="00256C3E">
        <w:t>cognitivo, más allá de las rupturas, y más acá de las rupturas propiamente epistémicas. Es claro</w:t>
      </w:r>
    </w:p>
    <w:p w:rsidR="00256C3E" w:rsidRPr="00256C3E" w:rsidRDefault="00256C3E" w:rsidP="00256C3E">
      <w:pPr>
        <w:spacing w:after="0" w:line="240" w:lineRule="auto"/>
      </w:pPr>
      <w:r w:rsidRPr="00256C3E">
        <w:t>que a partir del saber de las ciencias cognitivas hoy sabemos: primero, que la realidad no habla</w:t>
      </w:r>
    </w:p>
    <w:p w:rsidR="00256C3E" w:rsidRPr="00256C3E" w:rsidRDefault="00256C3E" w:rsidP="00256C3E">
      <w:pPr>
        <w:spacing w:after="0" w:line="240" w:lineRule="auto"/>
      </w:pPr>
      <w:r w:rsidRPr="00256C3E">
        <w:t>por sí mismo y nos dice buenos días aquí estoy, sino que la percepción es construida, tal como</w:t>
      </w:r>
    </w:p>
    <w:p w:rsidR="00256C3E" w:rsidRPr="00256C3E" w:rsidRDefault="00256C3E" w:rsidP="00256C3E">
      <w:pPr>
        <w:spacing w:after="0" w:line="240" w:lineRule="auto"/>
      </w:pPr>
      <w:r w:rsidRPr="00256C3E">
        <w:t>la intelección, de hecho las ciencias cognitivas y la neurociencia nos dicen que “el 80% de lo</w:t>
      </w:r>
    </w:p>
    <w:p w:rsidR="00256C3E" w:rsidRPr="00256C3E" w:rsidRDefault="00256C3E" w:rsidP="00256C3E">
      <w:pPr>
        <w:spacing w:after="0" w:line="240" w:lineRule="auto"/>
      </w:pPr>
      <w:r w:rsidRPr="00256C3E">
        <w:t>que ve cualquier célula del NGL (núcleo geniculado lateral) no proviene de la retina, sino de la</w:t>
      </w:r>
    </w:p>
    <w:p w:rsidR="00256C3E" w:rsidRPr="00256C3E" w:rsidRDefault="00256C3E" w:rsidP="00256C3E">
      <w:pPr>
        <w:spacing w:after="0" w:line="240" w:lineRule="auto"/>
      </w:pPr>
      <w:r w:rsidRPr="00256C3E">
        <w:t>densa interconectividad de otras regiones del cerebro”(F. Varela, 1996: 73); y que un sistema</w:t>
      </w:r>
    </w:p>
    <w:p w:rsidR="00256C3E" w:rsidRPr="00256C3E" w:rsidRDefault="00256C3E" w:rsidP="00256C3E">
      <w:pPr>
        <w:spacing w:after="0" w:line="240" w:lineRule="auto"/>
      </w:pPr>
      <w:r w:rsidRPr="00256C3E">
        <w:t>cognitivo funciona cuando vemos que las propiedades emergente se corresponden con una</w:t>
      </w:r>
    </w:p>
    <w:p w:rsidR="00256C3E" w:rsidRPr="00256C3E" w:rsidRDefault="00256C3E" w:rsidP="00256C3E">
      <w:pPr>
        <w:spacing w:after="0" w:line="240" w:lineRule="auto"/>
      </w:pPr>
      <w:r w:rsidRPr="00256C3E">
        <w:t>aptitud cognitiva específica, donde “los símbolos, en sentido convencional no desempeñan</w:t>
      </w:r>
    </w:p>
    <w:p w:rsidR="00256C3E" w:rsidRPr="00256C3E" w:rsidRDefault="00256C3E" w:rsidP="00256C3E">
      <w:pPr>
        <w:spacing w:after="0" w:line="240" w:lineRule="auto"/>
      </w:pPr>
      <w:r w:rsidRPr="00256C3E">
        <w:t>ningún papel”(F. Varela, 1996: 77). “Tanto en el cognitivismo como en el conexionismo de la</w:t>
      </w:r>
    </w:p>
    <w:p w:rsidR="00256C3E" w:rsidRPr="00256C3E" w:rsidRDefault="00256C3E" w:rsidP="00256C3E">
      <w:pPr>
        <w:spacing w:after="0" w:line="240" w:lineRule="auto"/>
      </w:pPr>
      <w:r w:rsidRPr="00256C3E">
        <w:t>actualidad, el criterio de cognición continúa siendo una representación atinada de un mundo</w:t>
      </w:r>
    </w:p>
    <w:p w:rsidR="00256C3E" w:rsidRPr="00256C3E" w:rsidRDefault="00256C3E" w:rsidP="00256C3E">
      <w:pPr>
        <w:spacing w:after="0" w:line="240" w:lineRule="auto"/>
      </w:pPr>
      <w:r w:rsidRPr="00256C3E">
        <w:t>externo que está dado de antemano....Sin embargo, nuestra actividad cognitiva en la vida</w:t>
      </w:r>
    </w:p>
    <w:p w:rsidR="00256C3E" w:rsidRPr="00256C3E" w:rsidRDefault="00256C3E" w:rsidP="00256C3E">
      <w:pPr>
        <w:spacing w:after="0" w:line="240" w:lineRule="auto"/>
      </w:pPr>
      <w:r w:rsidRPr="00256C3E">
        <w:t>cotidiana revela que este enfoque de la cognición es demasiado incompleto. Precisamente la</w:t>
      </w:r>
    </w:p>
    <w:p w:rsidR="00256C3E" w:rsidRPr="00256C3E" w:rsidRDefault="00256C3E" w:rsidP="00256C3E">
      <w:pPr>
        <w:spacing w:after="0" w:line="240" w:lineRule="auto"/>
      </w:pPr>
      <w:r w:rsidRPr="00256C3E">
        <w:t>mayor capacidad de la cognición viviente consiste en gran medida en plantear las cuestiones</w:t>
      </w:r>
    </w:p>
    <w:p w:rsidR="00256C3E" w:rsidRPr="00256C3E" w:rsidRDefault="00256C3E" w:rsidP="00256C3E">
      <w:pPr>
        <w:spacing w:after="0" w:line="240" w:lineRule="auto"/>
      </w:pPr>
      <w:r w:rsidRPr="00256C3E">
        <w:t>relevantes que van surgiendo en cada momento de nuestra vida, no son predefinidas sino</w:t>
      </w:r>
    </w:p>
    <w:p w:rsidR="00256C3E" w:rsidRPr="00256C3E" w:rsidRDefault="00256C3E" w:rsidP="00256C3E">
      <w:pPr>
        <w:spacing w:after="0" w:line="240" w:lineRule="auto"/>
      </w:pPr>
      <w:r w:rsidRPr="00256C3E">
        <w:t>enactuadas: se las hace emerger desde un trasfondo, y lo relevante es aquello que nuestros</w:t>
      </w:r>
    </w:p>
    <w:p w:rsidR="00256C3E" w:rsidRPr="00256C3E" w:rsidRDefault="00256C3E" w:rsidP="00256C3E">
      <w:pPr>
        <w:spacing w:after="0" w:line="240" w:lineRule="auto"/>
      </w:pPr>
      <w:r w:rsidRPr="00256C3E">
        <w:t>sentido común juzga como tal, siempre dentro de un contexto” (F. Varela, 1996: 88-89). El</w:t>
      </w:r>
    </w:p>
    <w:p w:rsidR="00256C3E" w:rsidRPr="00256C3E" w:rsidRDefault="00256C3E" w:rsidP="00256C3E">
      <w:pPr>
        <w:spacing w:after="0" w:line="240" w:lineRule="auto"/>
      </w:pPr>
      <w:r w:rsidRPr="00256C3E">
        <w:t>conocimiento es, entonces, histórico, no es un conjunto de reglas ni supuestos lógicos. Así, en</w:t>
      </w:r>
    </w:p>
    <w:p w:rsidR="00256C3E" w:rsidRPr="00256C3E" w:rsidRDefault="00256C3E" w:rsidP="00256C3E">
      <w:pPr>
        <w:spacing w:after="0" w:line="240" w:lineRule="auto"/>
      </w:pPr>
      <w:r w:rsidRPr="00256C3E">
        <w:t>el dominio del color ni las aves ni nosotros somos más precisos en aprehender un mundo real</w:t>
      </w:r>
    </w:p>
    <w:p w:rsidR="00256C3E" w:rsidRPr="00256C3E" w:rsidRDefault="00256C3E" w:rsidP="00256C3E">
      <w:pPr>
        <w:spacing w:after="0" w:line="240" w:lineRule="auto"/>
      </w:pPr>
      <w:r w:rsidRPr="00256C3E">
        <w:t>objetivo independiente de nosotros mismos. El color no es una representación de una longitud</w:t>
      </w:r>
    </w:p>
    <w:p w:rsidR="00256C3E" w:rsidRPr="00256C3E" w:rsidRDefault="00256C3E" w:rsidP="00256C3E">
      <w:pPr>
        <w:spacing w:after="0" w:line="240" w:lineRule="auto"/>
      </w:pPr>
      <w:r w:rsidRPr="00256C3E">
        <w:t>de onda sino que producto de propiedades reflexivas de una superficie: “hay un complejo</w:t>
      </w:r>
    </w:p>
    <w:p w:rsidR="00256C3E" w:rsidRPr="00256C3E" w:rsidRDefault="00256C3E" w:rsidP="00256C3E">
      <w:pPr>
        <w:spacing w:after="0" w:line="240" w:lineRule="auto"/>
      </w:pPr>
      <w:r w:rsidRPr="00256C3E">
        <w:t>proceso (el cual entendemos sólo parcialmente) de comparación cooperativa entre múltiples</w:t>
      </w:r>
    </w:p>
    <w:p w:rsidR="00256C3E" w:rsidRPr="00256C3E" w:rsidRDefault="00256C3E" w:rsidP="00256C3E">
      <w:pPr>
        <w:spacing w:after="0" w:line="240" w:lineRule="auto"/>
      </w:pPr>
      <w:r w:rsidRPr="00256C3E">
        <w:t>conjuntos neuronales del cerebro, el cual determina el color de un objeto según el estado</w:t>
      </w:r>
    </w:p>
    <w:p w:rsidR="00256C3E" w:rsidRPr="00256C3E" w:rsidRDefault="00256C3E" w:rsidP="00256C3E">
      <w:pPr>
        <w:spacing w:after="0" w:line="240" w:lineRule="auto"/>
      </w:pPr>
      <w:r w:rsidRPr="00256C3E">
        <w:t>cerebral global que corresponde tanto a una imagen de la retina como a cierta expectativa de lo</w:t>
      </w:r>
    </w:p>
    <w:p w:rsidR="00256C3E" w:rsidRPr="00256C3E" w:rsidRDefault="00256C3E" w:rsidP="00256C3E">
      <w:pPr>
        <w:spacing w:after="0" w:line="240" w:lineRule="auto"/>
      </w:pPr>
      <w:r w:rsidRPr="00256C3E">
        <w:t>que debería ser dicho objeto” (F.Varela, 1996: 105), esto es, la antítesis de la Gestal. Para la</w:t>
      </w:r>
    </w:p>
    <w:p w:rsidR="00256C3E" w:rsidRPr="00256C3E" w:rsidRDefault="00256C3E" w:rsidP="00256C3E">
      <w:pPr>
        <w:spacing w:after="0" w:line="240" w:lineRule="auto"/>
      </w:pPr>
      <w:r w:rsidRPr="00256C3E">
        <w:t>Gestall (Kanizsa, 1986), la percepción era percepción de figuras, de contornos visibles, que se</w:t>
      </w:r>
    </w:p>
    <w:p w:rsidR="00256C3E" w:rsidRPr="00256C3E" w:rsidRDefault="00256C3E" w:rsidP="00256C3E">
      <w:pPr>
        <w:spacing w:after="0" w:line="240" w:lineRule="auto"/>
      </w:pPr>
      <w:r w:rsidRPr="00256C3E">
        <w:t>construyen sea por proximidad o sea por semejanza. La semejanza establece una relación entre</w:t>
      </w:r>
    </w:p>
    <w:p w:rsidR="00256C3E" w:rsidRPr="00256C3E" w:rsidRDefault="00256C3E" w:rsidP="00256C3E">
      <w:pPr>
        <w:spacing w:after="0" w:line="240" w:lineRule="auto"/>
      </w:pPr>
      <w:r w:rsidRPr="00256C3E">
        <w:t>lo percibido y el mundo real, y la proximidad dice relación a que reagrupamos objetos en</w:t>
      </w:r>
    </w:p>
    <w:p w:rsidR="00256C3E" w:rsidRPr="00256C3E" w:rsidRDefault="00256C3E" w:rsidP="00256C3E">
      <w:pPr>
        <w:spacing w:after="0" w:line="240" w:lineRule="auto"/>
      </w:pPr>
      <w:r w:rsidRPr="00256C3E">
        <w:t>función de hacerlo equivalente con las figuras de lo real acumuladas en el cerebro. A ello,</w:t>
      </w:r>
    </w:p>
    <w:p w:rsidR="00256C3E" w:rsidRPr="00256C3E" w:rsidRDefault="00256C3E" w:rsidP="00256C3E">
      <w:pPr>
        <w:spacing w:after="0" w:line="240" w:lineRule="auto"/>
      </w:pPr>
      <w:r w:rsidRPr="00256C3E">
        <w:t>agrega, como constitución de los objetos fenoménicos leyes como la continuidad de dirección,</w:t>
      </w:r>
    </w:p>
    <w:p w:rsidR="00256C3E" w:rsidRPr="00256C3E" w:rsidRDefault="00256C3E" w:rsidP="00256C3E">
      <w:pPr>
        <w:spacing w:after="0" w:line="240" w:lineRule="auto"/>
      </w:pPr>
      <w:r w:rsidRPr="00256C3E">
        <w:t>la pregnancia, las articulaciones de lo visible sin dejar nada afuera, y la coherencia global.</w:t>
      </w:r>
    </w:p>
    <w:p w:rsidR="00256C3E" w:rsidRPr="00256C3E" w:rsidRDefault="00256C3E" w:rsidP="00256C3E">
      <w:pPr>
        <w:spacing w:after="0" w:line="240" w:lineRule="auto"/>
      </w:pPr>
      <w:r w:rsidRPr="00256C3E">
        <w:t>Dichos procesos son siempre de constitución de figuras, en definitiva por aproximación con la</w:t>
      </w:r>
    </w:p>
    <w:p w:rsidR="00256C3E" w:rsidRPr="00256C3E" w:rsidRDefault="00256C3E" w:rsidP="00256C3E">
      <w:pPr>
        <w:spacing w:after="0" w:line="240" w:lineRule="auto"/>
      </w:pPr>
      <w:r w:rsidRPr="00256C3E">
        <w:t>realidad. Sabemos hoy que ello está absolutamente alejado de los saberes respecto a lo</w:t>
      </w:r>
    </w:p>
    <w:p w:rsidR="00256C3E" w:rsidRPr="00256C3E" w:rsidRDefault="00256C3E" w:rsidP="00256C3E">
      <w:pPr>
        <w:spacing w:after="0" w:line="240" w:lineRule="auto"/>
      </w:pPr>
      <w:r w:rsidRPr="00256C3E">
        <w:t>perceptivo desarrollado por las ciencias cognitivas en la actualidad.</w:t>
      </w:r>
    </w:p>
    <w:p w:rsidR="00256C3E" w:rsidRPr="00256C3E" w:rsidRDefault="00256C3E" w:rsidP="00256C3E">
      <w:pPr>
        <w:spacing w:after="0" w:line="240" w:lineRule="auto"/>
      </w:pPr>
      <w:r w:rsidRPr="00256C3E">
        <w:rPr>
          <w:lang w:val="fr-FR"/>
        </w:rPr>
        <w:t xml:space="preserve">Siguiendo a Jean Petitot- Cocorda (Physique du Sens,2000, París: Ed. </w:t>
      </w:r>
      <w:r w:rsidRPr="00256C3E">
        <w:t>CNRS), desde un</w:t>
      </w:r>
    </w:p>
    <w:p w:rsidR="00256C3E" w:rsidRPr="00256C3E" w:rsidRDefault="00256C3E" w:rsidP="00256C3E">
      <w:pPr>
        <w:spacing w:after="0" w:line="240" w:lineRule="auto"/>
      </w:pPr>
      <w:r w:rsidRPr="00256C3E">
        <w:lastRenderedPageBreak/>
        <w:t>punto de vista cognitivo y semiótico, podemos situar, a nivel descriptivo, dos instancias o niveles</w:t>
      </w:r>
    </w:p>
    <w:p w:rsidR="00256C3E" w:rsidRPr="00256C3E" w:rsidRDefault="00256C3E" w:rsidP="00256C3E">
      <w:pPr>
        <w:spacing w:after="0" w:line="240" w:lineRule="auto"/>
      </w:pPr>
      <w:r w:rsidRPr="00256C3E">
        <w:t>de construcción perceptiva:</w:t>
      </w:r>
    </w:p>
    <w:p w:rsidR="00256C3E" w:rsidRPr="00256C3E" w:rsidRDefault="00256C3E" w:rsidP="00256C3E">
      <w:pPr>
        <w:spacing w:after="0" w:line="240" w:lineRule="auto"/>
      </w:pPr>
      <w:r w:rsidRPr="00256C3E">
        <w:t>-la noción de figura como contornos visibles, lo que correspondería a la noción de figura de la</w:t>
      </w:r>
    </w:p>
    <w:p w:rsidR="00256C3E" w:rsidRPr="00256C3E" w:rsidRDefault="00256C3E" w:rsidP="00256C3E">
      <w:pPr>
        <w:spacing w:after="0" w:line="240" w:lineRule="auto"/>
      </w:pPr>
      <w:r w:rsidRPr="00256C3E">
        <w:t>Gestall, y que J. Petitot- Cocorda define como: “partes desligables, en el sentido de pedazos” (J.</w:t>
      </w:r>
    </w:p>
    <w:p w:rsidR="00256C3E" w:rsidRPr="00256C3E" w:rsidRDefault="00256C3E" w:rsidP="00256C3E">
      <w:pPr>
        <w:spacing w:after="0" w:line="240" w:lineRule="auto"/>
      </w:pPr>
      <w:r w:rsidRPr="00256C3E">
        <w:t>Petitot- Cocorda, 2000: 75), pedazos que podríamos traducir como fragmentos;</w:t>
      </w:r>
    </w:p>
    <w:p w:rsidR="00256C3E" w:rsidRPr="00256C3E" w:rsidRDefault="00256C3E" w:rsidP="00256C3E">
      <w:pPr>
        <w:spacing w:after="0" w:line="240" w:lineRule="auto"/>
      </w:pPr>
      <w:r w:rsidRPr="00256C3E">
        <w:t>-y la noción de “partes no desligables – o momentos- como contornos, colores, entre otros,</w:t>
      </w:r>
    </w:p>
    <w:p w:rsidR="00256C3E" w:rsidRPr="00256C3E" w:rsidRDefault="00256C3E" w:rsidP="00256C3E">
      <w:pPr>
        <w:spacing w:after="0" w:line="240" w:lineRule="auto"/>
      </w:pPr>
      <w:r w:rsidRPr="00256C3E">
        <w:t>quienes siendo componentes necesarios de los objetos, implican con su extensión una relación de</w:t>
      </w:r>
    </w:p>
    <w:p w:rsidR="00256C3E" w:rsidRPr="00256C3E" w:rsidRDefault="00256C3E" w:rsidP="00256C3E">
      <w:pPr>
        <w:spacing w:after="0" w:line="240" w:lineRule="auto"/>
      </w:pPr>
      <w:r w:rsidRPr="00256C3E">
        <w:t>dependencia” (J. Petitot- Cocorda, 2000: 75); esto es, son fragmentos asociativos que se desligan</w:t>
      </w:r>
    </w:p>
    <w:p w:rsidR="00256C3E" w:rsidRPr="00256C3E" w:rsidRDefault="00256C3E" w:rsidP="00256C3E">
      <w:pPr>
        <w:spacing w:after="0" w:line="240" w:lineRule="auto"/>
      </w:pPr>
      <w:r w:rsidRPr="00256C3E">
        <w:t>del objeto representando otra cosa, por relación asociativa en otro espacio o escala perceptiva.</w:t>
      </w:r>
    </w:p>
    <w:p w:rsidR="00256C3E" w:rsidRPr="00256C3E" w:rsidRDefault="00256C3E" w:rsidP="00256C3E">
      <w:pPr>
        <w:spacing w:after="0" w:line="240" w:lineRule="auto"/>
      </w:pPr>
      <w:r w:rsidRPr="00256C3E">
        <w:t>Esto es, la percepción puede ir en correspondencia con estructuraciones simples de lo</w:t>
      </w:r>
    </w:p>
    <w:p w:rsidR="00256C3E" w:rsidRPr="00256C3E" w:rsidRDefault="00256C3E" w:rsidP="00256C3E">
      <w:pPr>
        <w:spacing w:after="0" w:line="240" w:lineRule="auto"/>
      </w:pPr>
      <w:r w:rsidRPr="00256C3E">
        <w:t>visible, o complejas; esto es, es necesario distinguir dos tipos de segmentaciones de lo figural o</w:t>
      </w:r>
    </w:p>
    <w:p w:rsidR="00256C3E" w:rsidRPr="00256C3E" w:rsidRDefault="00256C3E" w:rsidP="00256C3E">
      <w:pPr>
        <w:spacing w:after="0" w:line="240" w:lineRule="auto"/>
      </w:pPr>
      <w:r w:rsidRPr="00256C3E">
        <w:t>experiencia sensible: los segmentos con contornos y figuras claras, esto es, lo que denominaríamos</w:t>
      </w:r>
      <w:r>
        <w:t xml:space="preserve"> </w:t>
      </w:r>
      <w:r w:rsidRPr="00256C3E">
        <w:t>lo “real ingenuo”, lo que correspondería, por ejemplo, a identificar un emblema de un partido</w:t>
      </w:r>
      <w:r>
        <w:t xml:space="preserve"> </w:t>
      </w:r>
      <w:r w:rsidRPr="00256C3E">
        <w:t>político, la imagen de un candidato; y la figuración conectiva de espacios perceptivos detectados</w:t>
      </w:r>
      <w:r>
        <w:t xml:space="preserve"> </w:t>
      </w:r>
      <w:r w:rsidRPr="00256C3E">
        <w:t>más allá de las formas visibles (esto es lo que Petitot- Cocorda, ejemplifica como percepción de</w:t>
      </w:r>
      <w:r w:rsidR="008F4756">
        <w:t xml:space="preserve"> </w:t>
      </w:r>
      <w:r w:rsidRPr="00256C3E">
        <w:t>colores con colores, le líneas con líneas, etc., más allá de su formato específico), lo que remite a un</w:t>
      </w:r>
      <w:r w:rsidR="008F4756">
        <w:t xml:space="preserve"> </w:t>
      </w:r>
      <w:r w:rsidRPr="00256C3E">
        <w:t>collage y/o un bricoleur de categorías asociadas a un candidato y/o partido, expresado en</w:t>
      </w:r>
      <w:r w:rsidR="008F4756">
        <w:t xml:space="preserve"> </w:t>
      </w:r>
      <w:r w:rsidRPr="00256C3E">
        <w:t>múltiples soportes.</w:t>
      </w:r>
    </w:p>
    <w:p w:rsidR="00256C3E" w:rsidRPr="00256C3E" w:rsidRDefault="00256C3E" w:rsidP="00256C3E">
      <w:pPr>
        <w:spacing w:after="0" w:line="240" w:lineRule="auto"/>
      </w:pPr>
      <w:r w:rsidRPr="00256C3E">
        <w:t>Luego, respecto a las categorías perceptivas e intelectivas la descripción de Petitot-</w:t>
      </w:r>
    </w:p>
    <w:p w:rsidR="00256C3E" w:rsidRPr="00256C3E" w:rsidRDefault="00256C3E" w:rsidP="00256C3E">
      <w:pPr>
        <w:spacing w:after="0" w:line="240" w:lineRule="auto"/>
      </w:pPr>
      <w:r w:rsidRPr="00256C3E">
        <w:rPr>
          <w:lang w:val="fr-FR"/>
        </w:rPr>
        <w:t xml:space="preserve">Cocorda, Varela, Pachoud, Roy (“Naturaliser la phénomologié”, Ed. </w:t>
      </w:r>
      <w:r w:rsidRPr="00256C3E">
        <w:t>CNRS, París, 2002), nos</w:t>
      </w:r>
    </w:p>
    <w:p w:rsidR="00256C3E" w:rsidRPr="00256C3E" w:rsidRDefault="00256C3E" w:rsidP="00256C3E">
      <w:pPr>
        <w:spacing w:after="0" w:line="240" w:lineRule="auto"/>
      </w:pPr>
      <w:r w:rsidRPr="00256C3E">
        <w:t>permite tener un instrumento que nos permite detectar cuatro tipos o niveles de intelección y</w:t>
      </w:r>
    </w:p>
    <w:p w:rsidR="00256C3E" w:rsidRPr="00256C3E" w:rsidRDefault="00256C3E" w:rsidP="00256C3E">
      <w:pPr>
        <w:spacing w:after="0" w:line="240" w:lineRule="auto"/>
      </w:pPr>
      <w:r w:rsidRPr="00256C3E">
        <w:t>percepción de los objetos reales:</w:t>
      </w:r>
    </w:p>
    <w:p w:rsidR="00256C3E" w:rsidRPr="00256C3E" w:rsidRDefault="00256C3E" w:rsidP="00256C3E">
      <w:pPr>
        <w:spacing w:after="0" w:line="240" w:lineRule="auto"/>
      </w:pPr>
      <w:r w:rsidRPr="00256C3E">
        <w:t>1) relaciones de conjuntos; esto es, se percibe una relación simple a través de detectar la</w:t>
      </w:r>
    </w:p>
    <w:p w:rsidR="00256C3E" w:rsidRPr="00256C3E" w:rsidRDefault="00256C3E" w:rsidP="00256C3E">
      <w:pPr>
        <w:spacing w:after="0" w:line="240" w:lineRule="auto"/>
      </w:pPr>
      <w:r w:rsidRPr="00256C3E">
        <w:t>relación que opera con una parte de lo percibido: se detecta una variable; por ejemplo, se</w:t>
      </w:r>
    </w:p>
    <w:p w:rsidR="00256C3E" w:rsidRPr="00256C3E" w:rsidRDefault="00256C3E" w:rsidP="00256C3E">
      <w:pPr>
        <w:spacing w:after="0" w:line="240" w:lineRule="auto"/>
      </w:pPr>
      <w:r w:rsidRPr="00256C3E">
        <w:t>reconoce un emblema de un partido, se reconoce a un candidato.</w:t>
      </w:r>
    </w:p>
    <w:p w:rsidR="00256C3E" w:rsidRPr="00256C3E" w:rsidRDefault="00256C3E" w:rsidP="00256C3E">
      <w:pPr>
        <w:spacing w:after="0" w:line="240" w:lineRule="auto"/>
      </w:pPr>
      <w:r w:rsidRPr="00256C3E">
        <w:t>2) relaciones de contiguedad; esto es, el sujeto realiza una operación de detectar que dos</w:t>
      </w:r>
    </w:p>
    <w:p w:rsidR="00256C3E" w:rsidRPr="00256C3E" w:rsidRDefault="00256C3E" w:rsidP="00256C3E">
      <w:pPr>
        <w:spacing w:after="0" w:line="240" w:lineRule="auto"/>
      </w:pPr>
      <w:r w:rsidRPr="00256C3E">
        <w:t>variables pueden estar conectadas por coexistir una cerca de la otra. No son un campo</w:t>
      </w:r>
    </w:p>
    <w:p w:rsidR="00256C3E" w:rsidRPr="00256C3E" w:rsidRDefault="00256C3E" w:rsidP="00256C3E">
      <w:pPr>
        <w:spacing w:after="0" w:line="240" w:lineRule="auto"/>
      </w:pPr>
      <w:r w:rsidRPr="00256C3E">
        <w:t>asociativo en el sentido semiótico del término, señala Petitot- Cocorda (“Naturaliser la</w:t>
      </w:r>
    </w:p>
    <w:p w:rsidR="00256C3E" w:rsidRPr="00256C3E" w:rsidRDefault="00256C3E" w:rsidP="00256C3E">
      <w:pPr>
        <w:spacing w:after="0" w:line="240" w:lineRule="auto"/>
      </w:pPr>
      <w:r w:rsidRPr="00256C3E">
        <w:t>phénomologié”, Ed. CNRS, París, 2002), pues no se trata de correlacionar dos operaciones</w:t>
      </w:r>
    </w:p>
    <w:p w:rsidR="00256C3E" w:rsidRPr="00256C3E" w:rsidRDefault="00256C3E" w:rsidP="00256C3E">
      <w:pPr>
        <w:spacing w:after="0" w:line="240" w:lineRule="auto"/>
      </w:pPr>
      <w:r w:rsidRPr="00256C3E">
        <w:t>de sentido, sino que de una coexistencia de dos operaciones que van juntas, como por</w:t>
      </w:r>
    </w:p>
    <w:p w:rsidR="00256C3E" w:rsidRPr="00256C3E" w:rsidRDefault="00256C3E" w:rsidP="00256C3E">
      <w:pPr>
        <w:spacing w:after="0" w:line="240" w:lineRule="auto"/>
      </w:pPr>
      <w:r w:rsidRPr="00256C3E">
        <w:t>ejemplo, reconocer que el candidato se liga a un partido, esto es se detecta sub-cojuntos</w:t>
      </w:r>
    </w:p>
    <w:p w:rsidR="00256C3E" w:rsidRPr="00256C3E" w:rsidRDefault="00256C3E" w:rsidP="00256C3E">
      <w:pPr>
        <w:spacing w:after="0" w:line="240" w:lineRule="auto"/>
      </w:pPr>
      <w:r w:rsidRPr="00256C3E">
        <w:t>que pueden ir juntos;</w:t>
      </w:r>
    </w:p>
    <w:p w:rsidR="00256C3E" w:rsidRPr="00256C3E" w:rsidRDefault="00256C3E" w:rsidP="00256C3E">
      <w:pPr>
        <w:spacing w:after="0" w:line="240" w:lineRule="auto"/>
      </w:pPr>
      <w:r w:rsidRPr="00256C3E">
        <w:t>3) relaciones de conexión y dependencia, esto es, se detecta que dos operaciones pueden</w:t>
      </w:r>
    </w:p>
    <w:p w:rsidR="00256C3E" w:rsidRPr="00256C3E" w:rsidRDefault="00256C3E" w:rsidP="00256C3E">
      <w:pPr>
        <w:spacing w:after="0" w:line="240" w:lineRule="auto"/>
      </w:pPr>
      <w:r w:rsidRPr="00256C3E">
        <w:t>ligarse y producir otra, es la dependencia y la conexión de variables lo que se detecta; por</w:t>
      </w:r>
    </w:p>
    <w:p w:rsidR="00256C3E" w:rsidRPr="00256C3E" w:rsidRDefault="00256C3E" w:rsidP="00256C3E">
      <w:pPr>
        <w:spacing w:after="0" w:line="240" w:lineRule="auto"/>
      </w:pPr>
      <w:r w:rsidRPr="00256C3E">
        <w:t>ejemplo, se detectan determinadas categorías o conceptos ligados a un candidato y/o</w:t>
      </w:r>
    </w:p>
    <w:p w:rsidR="00256C3E" w:rsidRPr="00256C3E" w:rsidRDefault="00256C3E" w:rsidP="00256C3E">
      <w:pPr>
        <w:spacing w:after="0" w:line="240" w:lineRule="auto"/>
      </w:pPr>
      <w:r w:rsidRPr="00256C3E">
        <w:t>partido, a través de múltiples soportes, constituyendo un campo asociativo abierto,</w:t>
      </w:r>
    </w:p>
    <w:p w:rsidR="00256C3E" w:rsidRPr="00256C3E" w:rsidRDefault="00256C3E" w:rsidP="00256C3E">
      <w:pPr>
        <w:spacing w:after="0" w:line="240" w:lineRule="auto"/>
      </w:pPr>
      <w:r w:rsidRPr="00256C3E">
        <w:t>4) captación de momentos figurales que reagrupan los elementos en configuración, lo que</w:t>
      </w:r>
    </w:p>
    <w:p w:rsidR="00256C3E" w:rsidRPr="00256C3E" w:rsidRDefault="00256C3E" w:rsidP="00256C3E">
      <w:pPr>
        <w:spacing w:after="0" w:line="240" w:lineRule="auto"/>
      </w:pPr>
      <w:r w:rsidRPr="00256C3E">
        <w:t>significa aprehender sub-conjuntos de categorías obtenidas a través de soportes múltiples</w:t>
      </w:r>
    </w:p>
    <w:p w:rsidR="00256C3E" w:rsidRPr="00256C3E" w:rsidRDefault="00256C3E" w:rsidP="00256C3E">
      <w:pPr>
        <w:spacing w:after="0" w:line="240" w:lineRule="auto"/>
      </w:pPr>
      <w:r w:rsidRPr="00256C3E">
        <w:t>que el lector interrelaciona, construyendo, así, un concepto global de la campaña, y</w:t>
      </w:r>
    </w:p>
    <w:p w:rsidR="00256C3E" w:rsidRDefault="00256C3E" w:rsidP="00256C3E">
      <w:pPr>
        <w:spacing w:after="0" w:line="240" w:lineRule="auto"/>
      </w:pPr>
      <w:r w:rsidRPr="00256C3E">
        <w:t>eventualmente construir una opción ante ella.</w:t>
      </w:r>
    </w:p>
    <w:p w:rsidR="008F4756" w:rsidRDefault="008F4756" w:rsidP="00256C3E">
      <w:pPr>
        <w:spacing w:after="0" w:line="240" w:lineRule="auto"/>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lastRenderedPageBreak/>
        <w:t>Extractos de “Navegación por Internet: Protocolos Perceptivos, Cognitivos e Implicación Corporal”, Autor: Rafael del Villar Muñoz, Ed. CD Rom. Instituto Tecnológico de Monterrey, Campus Ciudad de México, México. D. F. 2008</w:t>
      </w: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70.35pt" o:ole="">
            <v:imagedata r:id="rId6" o:title=""/>
          </v:shape>
          <o:OLEObject Type="Embed" ProgID="PowerPoint.Slide.12" ShapeID="_x0000_i1025" DrawAspect="Content" ObjectID="_1601668200" r:id="rId7"/>
        </w:object>
      </w: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 id="_x0000_i1026" type="#_x0000_t75" style="width:359.3pt;height:270.35pt" o:ole="">
            <v:imagedata r:id="rId8" o:title=""/>
          </v:shape>
          <o:OLEObject Type="Embed" ProgID="PowerPoint.Slide.12" ShapeID="_x0000_i1026" DrawAspect="Content" ObjectID="_1601668201" r:id="rId9"/>
        </w:object>
      </w: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 id="_x0000_i1027" type="#_x0000_t75" style="width:359.3pt;height:270.35pt" o:ole="">
            <v:imagedata r:id="rId10" o:title=""/>
          </v:shape>
          <o:OLEObject Type="Embed" ProgID="PowerPoint.Slide.12" ShapeID="_x0000_i1027" DrawAspect="Content" ObjectID="_1601668202" r:id="rId11"/>
        </w:object>
      </w: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 id="_x0000_i1028" type="#_x0000_t75" style="width:359.3pt;height:270.35pt" o:ole="">
            <v:imagedata r:id="rId12" o:title=""/>
          </v:shape>
          <o:OLEObject Type="Embed" ProgID="PowerPoint.Slide.12" ShapeID="_x0000_i1028" DrawAspect="Content" ObjectID="_1601668203" r:id="rId13"/>
        </w:object>
      </w: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 id="_x0000_i1029" type="#_x0000_t75" style="width:359.3pt;height:270.35pt" o:ole="">
            <v:imagedata r:id="rId14" o:title=""/>
          </v:shape>
          <o:OLEObject Type="Embed" ProgID="PowerPoint.Slide.12" ShapeID="_x0000_i1029" DrawAspect="Content" ObjectID="_1601668204" r:id="rId15"/>
        </w:object>
      </w: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 id="_x0000_i1030" type="#_x0000_t75" style="width:359.3pt;height:270.35pt" o:ole="">
            <v:imagedata r:id="rId16" o:title=""/>
          </v:shape>
          <o:OLEObject Type="Embed" ProgID="PowerPoint.Slide.12" ShapeID="_x0000_i1030" DrawAspect="Content" ObjectID="_1601668205" r:id="rId17"/>
        </w:object>
      </w: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r w:rsidRPr="008F4756">
        <w:rPr>
          <w:b/>
          <w:sz w:val="24"/>
        </w:rPr>
        <w:object w:dxaOrig="7189" w:dyaOrig="5402">
          <v:shape id="_x0000_i1031" type="#_x0000_t75" style="width:359.3pt;height:270.35pt" o:ole="">
            <v:imagedata r:id="rId18" o:title=""/>
          </v:shape>
          <o:OLEObject Type="Embed" ProgID="PowerPoint.Slide.12" ShapeID="_x0000_i1031" DrawAspect="Content" ObjectID="_1601668206" r:id="rId19"/>
        </w:object>
      </w:r>
    </w:p>
    <w:p w:rsidR="008F4756" w:rsidRDefault="008F4756" w:rsidP="00256C3E">
      <w:pPr>
        <w:spacing w:after="0" w:line="240" w:lineRule="auto"/>
        <w:rPr>
          <w:b/>
          <w:sz w:val="24"/>
        </w:rPr>
      </w:pPr>
    </w:p>
    <w:p w:rsidR="008F4756" w:rsidRDefault="00064C33" w:rsidP="00256C3E">
      <w:pPr>
        <w:spacing w:after="0" w:line="240" w:lineRule="auto"/>
        <w:rPr>
          <w:b/>
          <w:sz w:val="24"/>
        </w:rPr>
      </w:pPr>
      <w:r w:rsidRPr="00064C33">
        <w:rPr>
          <w:b/>
          <w:sz w:val="24"/>
        </w:rPr>
        <w:object w:dxaOrig="7189" w:dyaOrig="5402">
          <v:shape id="_x0000_i1032" type="#_x0000_t75" style="width:359.3pt;height:270.35pt" o:ole="">
            <v:imagedata r:id="rId20" o:title=""/>
          </v:shape>
          <o:OLEObject Type="Embed" ProgID="PowerPoint.Slide.12" ShapeID="_x0000_i1032" DrawAspect="Content" ObjectID="_1601668207" r:id="rId21"/>
        </w:object>
      </w: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r w:rsidRPr="00064C33">
        <w:rPr>
          <w:b/>
          <w:sz w:val="24"/>
        </w:rPr>
        <w:object w:dxaOrig="7189" w:dyaOrig="5402">
          <v:shape id="_x0000_i1033" type="#_x0000_t75" style="width:453.75pt;height:406.85pt" o:ole="">
            <v:imagedata r:id="rId22" o:title=""/>
          </v:shape>
          <o:OLEObject Type="Embed" ProgID="PowerPoint.Slide.12" ShapeID="_x0000_i1033" DrawAspect="Content" ObjectID="_1601668208" r:id="rId23"/>
        </w:object>
      </w:r>
    </w:p>
    <w:p w:rsidR="00064C33" w:rsidRDefault="00064C33" w:rsidP="00256C3E">
      <w:pPr>
        <w:spacing w:after="0" w:line="240" w:lineRule="auto"/>
        <w:rPr>
          <w:b/>
          <w:sz w:val="24"/>
        </w:rPr>
      </w:pPr>
    </w:p>
    <w:p w:rsidR="00064C33" w:rsidRDefault="00064C33" w:rsidP="00064C33">
      <w:pPr>
        <w:autoSpaceDE w:val="0"/>
        <w:autoSpaceDN w:val="0"/>
        <w:adjustRightInd w:val="0"/>
        <w:spacing w:after="0" w:line="240" w:lineRule="auto"/>
        <w:rPr>
          <w:rFonts w:ascii="TTE155B3A0t00" w:hAnsi="TTE155B3A0t00" w:cs="TTE155B3A0t00"/>
          <w:sz w:val="24"/>
          <w:szCs w:val="24"/>
        </w:rPr>
      </w:pPr>
      <w:r>
        <w:rPr>
          <w:rFonts w:ascii="TTE155B3A0t00" w:hAnsi="TTE155B3A0t00" w:cs="TTE155B3A0t00"/>
          <w:sz w:val="24"/>
          <w:szCs w:val="24"/>
        </w:rPr>
        <w:t>Anclaje Perceptivo</w:t>
      </w: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t>Desde el punto de vista del anclaje perceptivo en todos los segmentos etarios se</w:t>
      </w: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t>considera que lo que más se fijan al navegar es en las fotos (54,7%), esto es, en la mayoría de los usuarios, después un 21,8% se fija en los títulos, y un 19,3% en el texto escrito; lo que significa decir que el texto escrito no es un espacio importante de focalización para la inmensa mayoría de los usuarios juveniles, sin diferencias significativas por estar en la pubertad o en el paso a lo productivo o en el mundo universitario y/o laboral, sólo un 19,3% lo focaliza, se tiende a quedarse más en los títulos (21,8%) que en la escritura, y más se focaliza las fotos, un 54,7%. Los índices o mapas de navegación, tampoco son un objeto</w:t>
      </w: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t>de la mirada, solo un 4,2% es un usuario racional simbólico que ve el mapa primero para desarrollar una navegación. No se detectan diferencias de género, pero sí de estrato social,</w:t>
      </w:r>
    </w:p>
    <w:p w:rsidR="00064C33" w:rsidRDefault="00064C33" w:rsidP="00064C33">
      <w:pPr>
        <w:autoSpaceDE w:val="0"/>
        <w:autoSpaceDN w:val="0"/>
        <w:adjustRightInd w:val="0"/>
        <w:spacing w:after="0" w:line="240" w:lineRule="auto"/>
        <w:rPr>
          <w:rFonts w:ascii="TTE155B3A0t00" w:hAnsi="TTE155B3A0t00" w:cs="TTE155B3A0t00"/>
          <w:sz w:val="24"/>
          <w:szCs w:val="24"/>
        </w:rPr>
      </w:pPr>
      <w:r>
        <w:rPr>
          <w:rFonts w:ascii="TTE225F540t00" w:hAnsi="TTE225F540t00" w:cs="TTE225F540t00"/>
          <w:sz w:val="24"/>
          <w:szCs w:val="24"/>
        </w:rPr>
        <w:lastRenderedPageBreak/>
        <w:t xml:space="preserve">y de conexión sexo estrato, sin embargo, en todos los estratos sociales se percibe más las fotos que los títulos, el texto escrito y los índices. </w:t>
      </w: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Pr="00064C33" w:rsidRDefault="00064C33" w:rsidP="00064C33">
      <w:pPr>
        <w:autoSpaceDE w:val="0"/>
        <w:autoSpaceDN w:val="0"/>
        <w:adjustRightInd w:val="0"/>
        <w:spacing w:after="0" w:line="240" w:lineRule="auto"/>
        <w:rPr>
          <w:rFonts w:ascii="TTE155B3A0t00" w:hAnsi="TTE155B3A0t00" w:cs="TTE155B3A0t00"/>
          <w:b/>
          <w:sz w:val="28"/>
          <w:szCs w:val="24"/>
        </w:rPr>
      </w:pPr>
      <w:r w:rsidRPr="00064C33">
        <w:rPr>
          <w:rFonts w:ascii="TTE155B3A0t00" w:hAnsi="TTE155B3A0t00" w:cs="TTE155B3A0t00"/>
          <w:b/>
          <w:sz w:val="28"/>
          <w:szCs w:val="24"/>
        </w:rPr>
        <w:t>Internet y Procesamiento Cognitivo.</w:t>
      </w: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t>Desde el aporte de las ciencias cognitivas, sabemos hoy que el procesamiento de la información no es simbólica- lógica, no se basa en reglas secuenciales, sino que todo procesamiento intelectivo y perceptivo no está localizado: “la inteligencia más profunda y fundamental es la del bebé que puede adquirir el lenguaje a partir de manifestaciones diarias y dispersas, y que puede distinguir objetos significativos a partir de lo que parece ser un mar de luces”(F. Varela, 1996 “</w:t>
      </w:r>
      <w:r>
        <w:rPr>
          <w:rFonts w:ascii="TTE227AC38t00" w:hAnsi="TTE227AC38t00" w:cs="TTE227AC38t00"/>
          <w:sz w:val="24"/>
          <w:szCs w:val="24"/>
        </w:rPr>
        <w:t>Conocer”,</w:t>
      </w:r>
      <w:r>
        <w:rPr>
          <w:rFonts w:ascii="TTE225F540t00" w:hAnsi="TTE225F540t00" w:cs="TTE225F540t00"/>
          <w:sz w:val="24"/>
          <w:szCs w:val="24"/>
        </w:rPr>
        <w:t xml:space="preserve">Ed. Gedisa, Barcelona: 56). </w:t>
      </w: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t>Hay tres ejes</w:t>
      </w: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t xml:space="preserve">constitutivos del pensamiento: “Tratamiento paralelo” </w:t>
      </w:r>
      <w:r>
        <w:rPr>
          <w:rFonts w:ascii="TTE155B3A0t00" w:hAnsi="TTE155B3A0t00" w:cs="TTE155B3A0t00"/>
          <w:sz w:val="24"/>
          <w:szCs w:val="24"/>
        </w:rPr>
        <w:t>(</w:t>
      </w:r>
      <w:r>
        <w:rPr>
          <w:rFonts w:ascii="TTE225F540t00" w:hAnsi="TTE225F540t00" w:cs="TTE225F540t00"/>
          <w:sz w:val="24"/>
          <w:szCs w:val="24"/>
        </w:rPr>
        <w:t>Los diferentes aspectos de la información son tratados al mismo tiempo por unidades parecidas a las neuronas llamadas a veces neuronas “formales”); “Redes distribuidas”: las unidades de tratamiento son todas conectadas entre ellas, formando así una vasta red en todo el cerebro; y “Nivel subsimbólico”.</w:t>
      </w:r>
    </w:p>
    <w:p w:rsidR="00064C33" w:rsidRDefault="00064C33" w:rsidP="00064C33">
      <w:pPr>
        <w:autoSpaceDE w:val="0"/>
        <w:autoSpaceDN w:val="0"/>
        <w:adjustRightInd w:val="0"/>
        <w:spacing w:after="0" w:line="240" w:lineRule="auto"/>
        <w:rPr>
          <w:rFonts w:ascii="TTE227AC38t00" w:hAnsi="TTE227AC38t00" w:cs="TTE227AC38t00"/>
          <w:sz w:val="24"/>
          <w:szCs w:val="24"/>
        </w:rPr>
      </w:pPr>
    </w:p>
    <w:p w:rsidR="00064C33" w:rsidRDefault="00064C33" w:rsidP="00064C33">
      <w:pPr>
        <w:autoSpaceDE w:val="0"/>
        <w:autoSpaceDN w:val="0"/>
        <w:adjustRightInd w:val="0"/>
        <w:spacing w:after="0" w:line="240" w:lineRule="auto"/>
        <w:rPr>
          <w:rFonts w:ascii="TTE227AC38t00" w:hAnsi="TTE227AC38t00" w:cs="TTE227AC38t00"/>
          <w:sz w:val="24"/>
          <w:szCs w:val="24"/>
        </w:rPr>
      </w:pPr>
      <w:r>
        <w:rPr>
          <w:rFonts w:ascii="TTE227AC38t00" w:hAnsi="TTE227AC38t00" w:cs="TTE227AC38t00"/>
          <w:sz w:val="24"/>
          <w:szCs w:val="24"/>
        </w:rPr>
        <w:t>Desde esa perspectiva, se construyó un índice que detectara los espacios</w:t>
      </w: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7AC38t00" w:hAnsi="TTE227AC38t00" w:cs="TTE227AC38t00"/>
          <w:sz w:val="24"/>
          <w:szCs w:val="24"/>
        </w:rPr>
        <w:t xml:space="preserve">paralelos que los encuestados son capaces de realizar simultáneamente </w:t>
      </w:r>
      <w:r>
        <w:rPr>
          <w:rFonts w:ascii="TTE225F540t00" w:hAnsi="TTE225F540t00" w:cs="TTE225F540t00"/>
          <w:sz w:val="24"/>
          <w:szCs w:val="24"/>
        </w:rPr>
        <w:t>(Índice de Manejo de Complejidad). Allí se aprecia que el manejo de espacios paralelos tiene una distribución que se podría denominar “normal” (con forma de campana), ya que la categoría donde se concentra la mayor parte de los encuestados es en el nivel de manejo de complejidad “Medio”, el cual presenta un 46,9% de los casos válidos para esta variable. Las categorías “Bajo” y “Alto” manejo de complejidad, en tanto, presentan 23,7% y 29,4% de los casos, respectivamente. No existen diferencias estadísticas significativas en relación a edad:</w:t>
      </w:r>
    </w:p>
    <w:p w:rsidR="00064C33" w:rsidRDefault="00226071" w:rsidP="00064C33">
      <w:pPr>
        <w:autoSpaceDE w:val="0"/>
        <w:autoSpaceDN w:val="0"/>
        <w:adjustRightInd w:val="0"/>
        <w:spacing w:after="0" w:line="240" w:lineRule="auto"/>
        <w:rPr>
          <w:rFonts w:ascii="TTE225F540t00" w:hAnsi="TTE225F540t00" w:cs="TTE225F540t00"/>
          <w:sz w:val="18"/>
          <w:szCs w:val="18"/>
        </w:rPr>
      </w:pPr>
      <w:r>
        <w:rPr>
          <w:rFonts w:ascii="TTE225F540t00" w:hAnsi="TTE225F540t00" w:cs="TTE225F540t00"/>
          <w:noProof/>
          <w:sz w:val="18"/>
          <w:szCs w:val="18"/>
          <w:lang w:val="es-MX" w:eastAsia="es-MX"/>
        </w:rPr>
        <w:drawing>
          <wp:inline distT="0" distB="0" distL="0" distR="0">
            <wp:extent cx="5460365" cy="1647825"/>
            <wp:effectExtent l="19050" t="0" r="6985"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cstate="print"/>
                    <a:srcRect l="14563" t="49454" r="13408" b="12022"/>
                    <a:stretch>
                      <a:fillRect/>
                    </a:stretch>
                  </pic:blipFill>
                  <pic:spPr bwMode="auto">
                    <a:xfrm>
                      <a:off x="0" y="0"/>
                      <a:ext cx="5460365" cy="1647825"/>
                    </a:xfrm>
                    <a:prstGeom prst="rect">
                      <a:avLst/>
                    </a:prstGeom>
                    <a:noFill/>
                    <a:ln w="9525">
                      <a:noFill/>
                      <a:miter lim="800000"/>
                      <a:headEnd/>
                      <a:tailEnd/>
                    </a:ln>
                  </pic:spPr>
                </pic:pic>
              </a:graphicData>
            </a:graphic>
          </wp:inline>
        </w:drawing>
      </w:r>
    </w:p>
    <w:p w:rsidR="00064C33" w:rsidRDefault="00064C33" w:rsidP="00064C33">
      <w:pPr>
        <w:autoSpaceDE w:val="0"/>
        <w:autoSpaceDN w:val="0"/>
        <w:adjustRightInd w:val="0"/>
        <w:spacing w:after="0" w:line="240" w:lineRule="auto"/>
        <w:rPr>
          <w:rFonts w:ascii="TTE225F540t00" w:hAnsi="TTE225F540t00" w:cs="TTE225F540t00"/>
          <w:sz w:val="18"/>
          <w:szCs w:val="18"/>
        </w:rPr>
      </w:pPr>
    </w:p>
    <w:p w:rsidR="00064C33" w:rsidRDefault="00064C33" w:rsidP="00064C33">
      <w:pPr>
        <w:autoSpaceDE w:val="0"/>
        <w:autoSpaceDN w:val="0"/>
        <w:adjustRightInd w:val="0"/>
        <w:spacing w:after="0" w:line="240" w:lineRule="auto"/>
        <w:rPr>
          <w:rFonts w:ascii="TTE225F540t00" w:hAnsi="TTE225F540t00" w:cs="TTE225F540t00"/>
          <w:sz w:val="18"/>
          <w:szCs w:val="18"/>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p>
    <w:p w:rsidR="00064C33" w:rsidRDefault="00064C33" w:rsidP="00064C33">
      <w:pPr>
        <w:autoSpaceDE w:val="0"/>
        <w:autoSpaceDN w:val="0"/>
        <w:adjustRightInd w:val="0"/>
        <w:spacing w:after="0" w:line="240" w:lineRule="auto"/>
        <w:rPr>
          <w:rFonts w:ascii="TTE225F540t00" w:hAnsi="TTE225F540t00" w:cs="TTE225F540t00"/>
          <w:sz w:val="24"/>
          <w:szCs w:val="24"/>
        </w:rPr>
      </w:pPr>
      <w:r>
        <w:rPr>
          <w:rFonts w:ascii="TTE225F540t00" w:hAnsi="TTE225F540t00" w:cs="TTE225F540t00"/>
          <w:sz w:val="24"/>
          <w:szCs w:val="24"/>
        </w:rPr>
        <w:lastRenderedPageBreak/>
        <w:t>Tampoco existen diferencias estadísticas significativas en relación al Estrato Social:</w:t>
      </w:r>
    </w:p>
    <w:p w:rsidR="00064C33" w:rsidRDefault="00226071" w:rsidP="00064C33">
      <w:pPr>
        <w:spacing w:after="0" w:line="240" w:lineRule="auto"/>
        <w:rPr>
          <w:rFonts w:ascii="TTE225F540t00" w:hAnsi="TTE225F540t00" w:cs="TTE225F540t00"/>
          <w:sz w:val="18"/>
          <w:szCs w:val="18"/>
        </w:rPr>
      </w:pPr>
      <w:r>
        <w:rPr>
          <w:rFonts w:ascii="TTE225F540t00" w:hAnsi="TTE225F540t00" w:cs="TTE225F540t00"/>
          <w:noProof/>
          <w:sz w:val="18"/>
          <w:szCs w:val="18"/>
          <w:lang w:val="es-MX" w:eastAsia="es-MX"/>
        </w:rPr>
        <w:drawing>
          <wp:inline distT="0" distB="0" distL="0" distR="0">
            <wp:extent cx="5659120" cy="3605530"/>
            <wp:effectExtent l="19050" t="0" r="0" b="0"/>
            <wp:docPr id="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5" cstate="print"/>
                    <a:srcRect l="15485" t="14207" r="14450" b="6506"/>
                    <a:stretch>
                      <a:fillRect/>
                    </a:stretch>
                  </pic:blipFill>
                  <pic:spPr bwMode="auto">
                    <a:xfrm>
                      <a:off x="0" y="0"/>
                      <a:ext cx="5659120" cy="3605530"/>
                    </a:xfrm>
                    <a:prstGeom prst="rect">
                      <a:avLst/>
                    </a:prstGeom>
                    <a:noFill/>
                    <a:ln w="9525">
                      <a:noFill/>
                      <a:miter lim="800000"/>
                      <a:headEnd/>
                      <a:tailEnd/>
                    </a:ln>
                  </pic:spPr>
                </pic:pic>
              </a:graphicData>
            </a:graphic>
          </wp:inline>
        </w:drawing>
      </w: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rFonts w:ascii="TTE225F540t00" w:hAnsi="TTE225F540t00" w:cs="TTE225F540t00"/>
          <w:sz w:val="18"/>
          <w:szCs w:val="18"/>
        </w:rPr>
      </w:pPr>
    </w:p>
    <w:p w:rsidR="00064C33" w:rsidRDefault="00064C33" w:rsidP="00064C33">
      <w:pPr>
        <w:spacing w:after="0" w:line="240" w:lineRule="auto"/>
        <w:rPr>
          <w:b/>
          <w:sz w:val="24"/>
        </w:rPr>
      </w:pPr>
      <w:r>
        <w:rPr>
          <w:rFonts w:ascii="TTE155B3A0t00" w:hAnsi="TTE155B3A0t00" w:cs="TTE155B3A0t00"/>
          <w:sz w:val="24"/>
          <w:szCs w:val="24"/>
        </w:rPr>
        <w:t>Consideraciones</w:t>
      </w: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064C33" w:rsidRDefault="00064C33"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Default="008F4756" w:rsidP="00256C3E">
      <w:pPr>
        <w:spacing w:after="0" w:line="240" w:lineRule="auto"/>
        <w:rPr>
          <w:b/>
          <w:sz w:val="24"/>
        </w:rPr>
      </w:pPr>
    </w:p>
    <w:p w:rsidR="008F4756" w:rsidRPr="008F4756" w:rsidRDefault="008F4756" w:rsidP="00256C3E">
      <w:pPr>
        <w:spacing w:after="0" w:line="240" w:lineRule="auto"/>
        <w:rPr>
          <w:b/>
          <w:sz w:val="24"/>
        </w:rPr>
      </w:pPr>
    </w:p>
    <w:p w:rsidR="008F4756" w:rsidRDefault="008F4756" w:rsidP="00256C3E">
      <w:pPr>
        <w:spacing w:after="0" w:line="240" w:lineRule="auto"/>
      </w:pPr>
    </w:p>
    <w:sectPr w:rsidR="008F4756" w:rsidSect="00454711">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F64" w:rsidRDefault="00EA4F64" w:rsidP="00256C3E">
      <w:pPr>
        <w:spacing w:after="0" w:line="240" w:lineRule="auto"/>
      </w:pPr>
      <w:r>
        <w:separator/>
      </w:r>
    </w:p>
  </w:endnote>
  <w:endnote w:type="continuationSeparator" w:id="0">
    <w:p w:rsidR="00EA4F64" w:rsidRDefault="00EA4F64" w:rsidP="00256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TE2349948t00">
    <w:panose1 w:val="00000000000000000000"/>
    <w:charset w:val="00"/>
    <w:family w:val="auto"/>
    <w:notTrueType/>
    <w:pitch w:val="default"/>
    <w:sig w:usb0="00000003" w:usb1="00000000" w:usb2="00000000" w:usb3="00000000" w:csb0="00000001" w:csb1="00000000"/>
  </w:font>
  <w:font w:name="TTE226B398t00">
    <w:panose1 w:val="00000000000000000000"/>
    <w:charset w:val="00"/>
    <w:family w:val="auto"/>
    <w:notTrueType/>
    <w:pitch w:val="default"/>
    <w:sig w:usb0="00000003" w:usb1="00000000" w:usb2="00000000" w:usb3="00000000" w:csb0="00000001" w:csb1="00000000"/>
  </w:font>
  <w:font w:name="TTE155B3A0t00">
    <w:panose1 w:val="00000000000000000000"/>
    <w:charset w:val="00"/>
    <w:family w:val="auto"/>
    <w:notTrueType/>
    <w:pitch w:val="default"/>
    <w:sig w:usb0="00000003" w:usb1="00000000" w:usb2="00000000" w:usb3="00000000" w:csb0="00000001" w:csb1="00000000"/>
  </w:font>
  <w:font w:name="TTE225F540t00">
    <w:panose1 w:val="00000000000000000000"/>
    <w:charset w:val="00"/>
    <w:family w:val="auto"/>
    <w:notTrueType/>
    <w:pitch w:val="default"/>
    <w:sig w:usb0="00000003" w:usb1="00000000" w:usb2="00000000" w:usb3="00000000" w:csb0="00000001" w:csb1="00000000"/>
  </w:font>
  <w:font w:name="TTE227AC3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3E" w:rsidRDefault="00256C3E">
    <w:pPr>
      <w:pStyle w:val="Piedepgina"/>
      <w:jc w:val="right"/>
    </w:pPr>
    <w:fldSimple w:instr=" PAGE   \* MERGEFORMAT ">
      <w:r w:rsidR="00226071">
        <w:rPr>
          <w:noProof/>
        </w:rPr>
        <w:t>10</w:t>
      </w:r>
    </w:fldSimple>
  </w:p>
  <w:p w:rsidR="00256C3E" w:rsidRDefault="00256C3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F64" w:rsidRDefault="00EA4F64" w:rsidP="00256C3E">
      <w:pPr>
        <w:spacing w:after="0" w:line="240" w:lineRule="auto"/>
      </w:pPr>
      <w:r>
        <w:separator/>
      </w:r>
    </w:p>
  </w:footnote>
  <w:footnote w:type="continuationSeparator" w:id="0">
    <w:p w:rsidR="00EA4F64" w:rsidRDefault="00EA4F64" w:rsidP="00256C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756" w:rsidRDefault="008F4756">
    <w:pPr>
      <w:pStyle w:val="Encabezado"/>
      <w:jc w:val="right"/>
    </w:pPr>
    <w:fldSimple w:instr=" PAGE   \* MERGEFORMAT ">
      <w:r w:rsidR="00226071">
        <w:rPr>
          <w:noProof/>
        </w:rPr>
        <w:t>10</w:t>
      </w:r>
    </w:fldSimple>
  </w:p>
  <w:p w:rsidR="00256C3E" w:rsidRDefault="00256C3E">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256C3E"/>
    <w:rsid w:val="00064C33"/>
    <w:rsid w:val="00226071"/>
    <w:rsid w:val="00256C3E"/>
    <w:rsid w:val="00454711"/>
    <w:rsid w:val="008F4756"/>
    <w:rsid w:val="00EA4F64"/>
    <w:rsid w:val="00F605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711"/>
    <w:pPr>
      <w:spacing w:after="200" w:line="276" w:lineRule="auto"/>
    </w:pPr>
    <w:rPr>
      <w:sz w:val="22"/>
      <w:szCs w:val="22"/>
      <w:lang w:val="es-CL"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6C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6C3E"/>
  </w:style>
  <w:style w:type="paragraph" w:styleId="Piedepgina">
    <w:name w:val="footer"/>
    <w:basedOn w:val="Normal"/>
    <w:link w:val="PiedepginaCar"/>
    <w:uiPriority w:val="99"/>
    <w:unhideWhenUsed/>
    <w:rsid w:val="00256C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6C3E"/>
  </w:style>
  <w:style w:type="paragraph" w:styleId="Textodeglobo">
    <w:name w:val="Balloon Text"/>
    <w:basedOn w:val="Normal"/>
    <w:link w:val="TextodegloboCar"/>
    <w:uiPriority w:val="99"/>
    <w:semiHidden/>
    <w:unhideWhenUsed/>
    <w:rsid w:val="00064C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4C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Diapositiva_de_Microsoft_Office_PowerPoint4.sld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package" Target="embeddings/Diapositiva_de_Microsoft_Office_PowerPoint8.sldx"/><Relationship Id="rId7" Type="http://schemas.openxmlformats.org/officeDocument/2006/relationships/package" Target="embeddings/Diapositiva_de_Microsoft_Office_PowerPoint1.sldx"/><Relationship Id="rId12" Type="http://schemas.openxmlformats.org/officeDocument/2006/relationships/image" Target="media/image4.emf"/><Relationship Id="rId17" Type="http://schemas.openxmlformats.org/officeDocument/2006/relationships/package" Target="embeddings/Diapositiva_de_Microsoft_Office_PowerPoint6.sldx"/><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Diapositiva_de_Microsoft_Office_PowerPoint3.sldx"/><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package" Target="embeddings/Diapositiva_de_Microsoft_Office_PowerPoint5.sldx"/><Relationship Id="rId23" Type="http://schemas.openxmlformats.org/officeDocument/2006/relationships/package" Target="embeddings/Diapositiva_de_Microsoft_Office_PowerPoint9.sldx"/><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Diapositiva_de_Microsoft_Office_PowerPoint7.sldx"/><Relationship Id="rId4" Type="http://schemas.openxmlformats.org/officeDocument/2006/relationships/footnotes" Target="footnotes.xml"/><Relationship Id="rId9" Type="http://schemas.openxmlformats.org/officeDocument/2006/relationships/package" Target="embeddings/Diapositiva_de_Microsoft_Office_PowerPoint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2340</Words>
  <Characters>12870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dc:creator>
  <cp:lastModifiedBy>Usuario</cp:lastModifiedBy>
  <cp:revision>2</cp:revision>
  <dcterms:created xsi:type="dcterms:W3CDTF">2018-10-22T03:03:00Z</dcterms:created>
  <dcterms:modified xsi:type="dcterms:W3CDTF">2018-10-22T03:03:00Z</dcterms:modified>
</cp:coreProperties>
</file>