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5D" w:rsidRDefault="0097155D" w:rsidP="0097155D">
      <w:pPr>
        <w:autoSpaceDE w:val="0"/>
        <w:autoSpaceDN w:val="0"/>
        <w:adjustRightInd w:val="0"/>
        <w:jc w:val="center"/>
        <w:rPr>
          <w:b/>
          <w:bCs/>
          <w:sz w:val="28"/>
          <w:szCs w:val="28"/>
        </w:rPr>
      </w:pPr>
      <w:r>
        <w:rPr>
          <w:b/>
          <w:bCs/>
          <w:sz w:val="28"/>
          <w:szCs w:val="28"/>
        </w:rPr>
        <w:t>GUIA DE LABORATORIO Nº 5</w:t>
      </w:r>
    </w:p>
    <w:p w:rsidR="0097155D" w:rsidRDefault="0097155D" w:rsidP="0097155D">
      <w:pPr>
        <w:autoSpaceDE w:val="0"/>
        <w:autoSpaceDN w:val="0"/>
        <w:adjustRightInd w:val="0"/>
        <w:jc w:val="center"/>
        <w:rPr>
          <w:b/>
          <w:bCs/>
          <w:sz w:val="28"/>
          <w:szCs w:val="28"/>
        </w:rPr>
      </w:pPr>
      <w:r>
        <w:rPr>
          <w:b/>
          <w:bCs/>
          <w:sz w:val="28"/>
          <w:szCs w:val="28"/>
        </w:rPr>
        <w:t>CURSO CI 4401 - SEMESTRE PRIMAVERA 2011</w:t>
      </w:r>
    </w:p>
    <w:p w:rsidR="0097155D" w:rsidRPr="0097155D" w:rsidRDefault="0097155D" w:rsidP="0097155D">
      <w:pPr>
        <w:autoSpaceDE w:val="0"/>
        <w:autoSpaceDN w:val="0"/>
        <w:adjustRightInd w:val="0"/>
        <w:jc w:val="center"/>
        <w:rPr>
          <w:b/>
          <w:bCs/>
          <w:sz w:val="28"/>
          <w:szCs w:val="28"/>
        </w:rPr>
      </w:pPr>
      <w:r>
        <w:rPr>
          <w:b/>
          <w:bCs/>
          <w:sz w:val="28"/>
          <w:szCs w:val="28"/>
        </w:rPr>
        <w:t>COMPACTACIÓN Y CBR (CALIFORNIA BEARING RATIO)</w:t>
      </w:r>
    </w:p>
    <w:p w:rsidR="0097155D" w:rsidRDefault="0097155D" w:rsidP="0097155D">
      <w:pPr>
        <w:rPr>
          <w:b/>
        </w:rPr>
      </w:pPr>
    </w:p>
    <w:p w:rsidR="0097155D" w:rsidRDefault="0097155D" w:rsidP="0097155D">
      <w:pPr>
        <w:numPr>
          <w:ilvl w:val="0"/>
          <w:numId w:val="4"/>
        </w:numPr>
        <w:tabs>
          <w:tab w:val="clear" w:pos="1080"/>
        </w:tabs>
        <w:ind w:left="540" w:hanging="540"/>
        <w:rPr>
          <w:b/>
        </w:rPr>
      </w:pPr>
      <w:r>
        <w:rPr>
          <w:b/>
        </w:rPr>
        <w:t>ENSAYO DE COMPACTACION</w:t>
      </w:r>
    </w:p>
    <w:p w:rsidR="0097155D" w:rsidRDefault="0097155D" w:rsidP="0097155D"/>
    <w:p w:rsidR="0097155D" w:rsidRDefault="0097155D" w:rsidP="0097155D">
      <w:pPr>
        <w:outlineLvl w:val="0"/>
        <w:rPr>
          <w:b/>
        </w:rPr>
      </w:pPr>
      <w:r>
        <w:rPr>
          <w:b/>
        </w:rPr>
        <w:t>Generalidades</w:t>
      </w:r>
    </w:p>
    <w:p w:rsidR="0097155D" w:rsidRDefault="0097155D" w:rsidP="0097155D"/>
    <w:p w:rsidR="0097155D" w:rsidRDefault="0097155D" w:rsidP="0097155D">
      <w:pPr>
        <w:jc w:val="both"/>
      </w:pPr>
      <w:r>
        <w:t>El propósito de un ensayo de compactación en laboratorio es determinar la curva de compactación para una determinada energía de compactación y orientar con ello la compactación de este suelo en terreno. La curva de compactación lleva en abscisas el contenido de humedad y en ordenadas la densidad seca y revela la efectividad de una misma energía (por unidad de volumen de suelo) sobre un mismo suelo a diferentes contenidos de humedad. A partir de ella, se podrá obtener la humedad óptima que es la que produce la densidad máxima. Para cumplir con las condiciones de terreno, un ensaye de laboratorio debe considerar un tipo de compactación similar a la desarrollada en la obra con los equipos de compactación a especificar.</w:t>
      </w:r>
    </w:p>
    <w:p w:rsidR="0097155D" w:rsidRDefault="0097155D" w:rsidP="0097155D">
      <w:pPr>
        <w:jc w:val="both"/>
      </w:pPr>
    </w:p>
    <w:p w:rsidR="0097155D" w:rsidRDefault="0097155D" w:rsidP="0097155D">
      <w:pPr>
        <w:jc w:val="both"/>
      </w:pPr>
      <w:r>
        <w:t xml:space="preserve">El agua juega un papel importante, especialmente en los suelos finos. Hay que hacer notar que cuando hablamos en este párrafo de suelos finos, no estamos refiriéndonos a suelos que contengan más de un 50% de finos, sino a suelos cuya fracción fina sea superior a 8% en el caso de gravas y 12% en arenas (Holtz 1973). Estos límites separan los suelo para los cuales se aplicarán especificaciones en términos de densidad relativa de aquéllos donde el ensayo de compactación será el que finalmente controlará la compactación.  </w:t>
      </w:r>
    </w:p>
    <w:p w:rsidR="0097155D" w:rsidRDefault="0097155D" w:rsidP="0097155D">
      <w:pPr>
        <w:jc w:val="both"/>
      </w:pPr>
    </w:p>
    <w:p w:rsidR="0097155D" w:rsidRDefault="0097155D" w:rsidP="0097155D">
      <w:pPr>
        <w:jc w:val="both"/>
      </w:pPr>
      <w:r>
        <w:t>El agua en poca cantidad, se encuentra en forma capilar produciendo tensiones de compresión entre las partículas constituyentes del suelo que llevan a la formación de grumos difíciles de desintegrar y que terminan por dificultar la compactación. Mirado desde un punto de vista físico-químico, se produce una tendencia a la floculación entre las partículas arcillosas, lo que produce uniones entre partículas difíciles de romper. El aumento del contenido de humedad hace disminuir la tensión capilar – y a nivel físico-químico facilita la separación de las partículas al desarrollar la repulsión a través de el aumento de las doble capas - haciendo que una misma energía de compactación produzca mejores resultados en el grado de consistencia del suelo, representado por un menor índice de vacíos y un mayor peso unitario seco. Sin embargo, si el agua pasa a existir en una cantidad excesiva, ella dificultará el desplazamiento de las partículas de suelo – debido a la baja permeabilidad del suelo y por ende a la dificultad de su eliminación - produciendo una disminución en la eficiencia de la compactación. En consecuencia, existirá para un determinado suelo fino y para una determinada energía de compactación, una  humedad óptima para la cual esta energía de compactación producirá un material con densidad seca máxima.</w:t>
      </w:r>
    </w:p>
    <w:p w:rsidR="0097155D" w:rsidRDefault="0097155D" w:rsidP="0097155D">
      <w:pPr>
        <w:jc w:val="both"/>
      </w:pPr>
    </w:p>
    <w:p w:rsidR="0097155D" w:rsidRDefault="0097155D" w:rsidP="0097155D">
      <w:pPr>
        <w:jc w:val="both"/>
      </w:pPr>
      <w:r>
        <w:t>Al compactar un suelo se persigue lo siguiente:</w:t>
      </w:r>
    </w:p>
    <w:p w:rsidR="0097155D" w:rsidRDefault="0097155D" w:rsidP="0097155D">
      <w:pPr>
        <w:jc w:val="both"/>
      </w:pPr>
    </w:p>
    <w:p w:rsidR="0097155D" w:rsidRDefault="0097155D" w:rsidP="0097155D">
      <w:pPr>
        <w:ind w:left="708" w:firstLine="708"/>
        <w:jc w:val="both"/>
      </w:pPr>
      <w:r>
        <w:t>(a) disminuir futuros asentamientos</w:t>
      </w:r>
    </w:p>
    <w:p w:rsidR="0097155D" w:rsidRDefault="0097155D" w:rsidP="0097155D">
      <w:pPr>
        <w:ind w:left="708" w:firstLine="708"/>
        <w:jc w:val="both"/>
      </w:pPr>
      <w:r>
        <w:t>(b) aumentar la resistencia al corte</w:t>
      </w:r>
    </w:p>
    <w:p w:rsidR="0097155D" w:rsidRDefault="0097155D" w:rsidP="0097155D">
      <w:pPr>
        <w:ind w:left="708" w:firstLine="708"/>
        <w:jc w:val="both"/>
      </w:pPr>
      <w:r>
        <w:t>(c) disminuir la permeabilidad</w:t>
      </w:r>
    </w:p>
    <w:p w:rsidR="0097155D" w:rsidRDefault="0097155D" w:rsidP="0097155D">
      <w:pPr>
        <w:jc w:val="both"/>
      </w:pPr>
    </w:p>
    <w:p w:rsidR="0097155D" w:rsidRDefault="0097155D" w:rsidP="0097155D">
      <w:pPr>
        <w:tabs>
          <w:tab w:val="left" w:pos="5565"/>
        </w:tabs>
        <w:jc w:val="both"/>
      </w:pPr>
      <w:r>
        <w:t>Para asegurar una buena compactación deberán realizarse canchas de prueba en terreno que permitan definir los equipos de compactación más adecuados, los espesores de capa y el número de pasadas para cumplir con la densidad seca especificada. El control de la obra final se realizará a través de determinaciones de los parámetros densidad húmeda y contenido de humedad de los rellenos colocados, los que permiten calcular la densidad seca. Las especificaciones para la compactación en terreno exigen satisfacer como mínimo un porcentaje de la densidad máxima obtenida en el ensayo de compactación. Una práctica común en numerosas obras es exigir el 95% del Proctor Modificado, que quiere decir que todas las densidades secas deberán estar por encima del 95% de la densidad seca máxima obtenida en el ensayo de laboratorio.</w:t>
      </w:r>
    </w:p>
    <w:p w:rsidR="0097155D" w:rsidRDefault="0097155D" w:rsidP="0097155D">
      <w:pPr>
        <w:tabs>
          <w:tab w:val="left" w:pos="5565"/>
        </w:tabs>
        <w:jc w:val="both"/>
      </w:pPr>
    </w:p>
    <w:p w:rsidR="0097155D" w:rsidRDefault="0097155D" w:rsidP="0097155D">
      <w:pPr>
        <w:tabs>
          <w:tab w:val="left" w:pos="5565"/>
        </w:tabs>
        <w:jc w:val="both"/>
      </w:pPr>
    </w:p>
    <w:p w:rsidR="0097155D" w:rsidRDefault="0097155D" w:rsidP="0097155D">
      <w:pPr>
        <w:jc w:val="both"/>
        <w:outlineLvl w:val="0"/>
        <w:rPr>
          <w:b/>
        </w:rPr>
      </w:pPr>
      <w:r>
        <w:rPr>
          <w:b/>
        </w:rPr>
        <w:t>Definiciones</w:t>
      </w:r>
    </w:p>
    <w:p w:rsidR="0097155D" w:rsidRDefault="0097155D" w:rsidP="0097155D">
      <w:pPr>
        <w:jc w:val="both"/>
      </w:pPr>
    </w:p>
    <w:p w:rsidR="0097155D" w:rsidRDefault="0097155D" w:rsidP="0097155D">
      <w:pPr>
        <w:jc w:val="both"/>
      </w:pPr>
      <w:r>
        <w:t xml:space="preserve">En 1933, R.R. Proctor definió el ensayo conocido como Proctor Estándar, el cual consiste en tomar una muestra de </w:t>
      </w:r>
      <w:smartTag w:uri="urn:schemas-microsoft-com:office:smarttags" w:element="metricconverter">
        <w:smartTagPr>
          <w:attr w:name="ProductID" w:val="3 kg"/>
        </w:smartTagPr>
        <w:r>
          <w:t>3 kg</w:t>
        </w:r>
      </w:smartTag>
      <w:r>
        <w:t xml:space="preserve"> de suelo, pasarla por el tamiz # 4, agregarle agua (o en algunos casos dejarla secar al aire) y compactar este suelo bien mezclado en un molde de 944 cm</w:t>
      </w:r>
      <w:r>
        <w:rPr>
          <w:vertAlign w:val="superscript"/>
        </w:rPr>
        <w:t>3</w:t>
      </w:r>
      <w:r>
        <w:t xml:space="preserve"> en tres capas con 25 golpes por capa de un martillo de compactación  de 24.5 N con altura de caída de </w:t>
      </w:r>
      <w:smartTag w:uri="urn:schemas-microsoft-com:office:smarttags" w:element="metricconverter">
        <w:smartTagPr>
          <w:attr w:name="ProductID" w:val="0.305 m"/>
        </w:smartTagPr>
        <w:r>
          <w:t>0.305 m</w:t>
        </w:r>
      </w:smartTag>
      <w:r>
        <w:t>. Esto proporciona una energía nominal de compactación de 593.7 kJ/m3.</w:t>
      </w:r>
    </w:p>
    <w:p w:rsidR="0097155D" w:rsidRDefault="0097155D" w:rsidP="0097155D">
      <w:pPr>
        <w:jc w:val="both"/>
      </w:pPr>
    </w:p>
    <w:p w:rsidR="0097155D" w:rsidRDefault="0097155D" w:rsidP="0097155D">
      <w:pPr>
        <w:jc w:val="both"/>
      </w:pPr>
      <w:r>
        <w:t>Cuando el ensayo incluye el reuso del material, el suelo es removido del molde y se toman muestras para determinar el contenido de humedad para luego desmenuzarla hasta obtener grumos de tamaño máximo aproximado al tamiz # 4. Se procede entonces a agregar más agua, se mezcla y se procede a compactar nuevamente el suelo en el molde. Esta secuencia se repite un número de veces suficiente para obtener los datos que permitan dibujar una curva de densidad seca versus contenido de humedad con un valor máximo en términos de densidad seca, y suficientes puntos a ambos lados de éste. La ordenada de este diagrama se conoce como la densidad máxima, y el contenido de humedad al cual se presenta esta densidad se denomina humedad óptima.</w:t>
      </w:r>
    </w:p>
    <w:p w:rsidR="0097155D" w:rsidRDefault="0097155D" w:rsidP="0097155D">
      <w:pPr>
        <w:jc w:val="both"/>
      </w:pPr>
    </w:p>
    <w:p w:rsidR="0097155D" w:rsidRDefault="0097155D" w:rsidP="0097155D">
      <w:pPr>
        <w:jc w:val="both"/>
      </w:pPr>
      <w:r>
        <w:t xml:space="preserve">Durante </w:t>
      </w:r>
      <w:smartTag w:uri="urn:schemas-microsoft-com:office:smarttags" w:element="PersonName">
        <w:smartTagPr>
          <w:attr w:name="ProductID" w:val="la Segunda Guerra"/>
        </w:smartTagPr>
        <w:r>
          <w:t>la Segunda Guerra</w:t>
        </w:r>
      </w:smartTag>
      <w:r>
        <w:t xml:space="preserve"> Mundial, los nuevos y pesados aviones pasaron a exigir densidades de subrasante en las aeropistas, mayores que el 100 % del Proctor Estándar. Se introdujo entonces el ensayo de compactación modificado (Proctor Modificado, ensayo modificado AASHTO, o ensayo de compactación modificado) en el que se utiliza una mayor energía de compactación. </w:t>
      </w:r>
    </w:p>
    <w:p w:rsidR="0097155D" w:rsidRDefault="0097155D" w:rsidP="0097155D">
      <w:pPr>
        <w:jc w:val="both"/>
      </w:pPr>
    </w:p>
    <w:p w:rsidR="0097155D" w:rsidRDefault="0097155D" w:rsidP="0097155D">
      <w:pPr>
        <w:jc w:val="both"/>
      </w:pPr>
      <w:r>
        <w:t>Las características básicas del ensayo son las mismas del ensayo estándar de compactación. El ensayo de compactación modificado aplica una energía nominal de compactación al suelo de 2710 kJ/m</w:t>
      </w:r>
      <w:r>
        <w:rPr>
          <w:vertAlign w:val="superscript"/>
        </w:rPr>
        <w:t>3</w:t>
      </w:r>
      <w:r>
        <w:t xml:space="preserve"> lo que representa cerca de 5 veces la energía de compactación del ensayo estándar produciendo un incremento entre un 5 y un 10 % de la densidad y una disminución en la humedad óptima.</w:t>
      </w:r>
    </w:p>
    <w:p w:rsidR="0097155D" w:rsidRDefault="0097155D" w:rsidP="0097155D">
      <w:pPr>
        <w:jc w:val="both"/>
      </w:pPr>
    </w:p>
    <w:p w:rsidR="0097155D" w:rsidRDefault="0097155D" w:rsidP="0097155D">
      <w:pPr>
        <w:jc w:val="both"/>
      </w:pPr>
      <w:r>
        <w:t>Toda curva de compactación estará siempre por debajo de la curva de saturación, S = 100% la que puede ser graficada en la curva de compactación una vez conocido el peso específico de los granos, G</w:t>
      </w:r>
      <w:r>
        <w:rPr>
          <w:vertAlign w:val="subscript"/>
        </w:rPr>
        <w:t>s</w:t>
      </w:r>
      <w:r>
        <w:t>. En el mismo gráfico se pueden incluir las curvas para S = 90 y 80 %.</w:t>
      </w:r>
    </w:p>
    <w:p w:rsidR="0097155D" w:rsidRDefault="0097155D" w:rsidP="0097155D">
      <w:pPr>
        <w:jc w:val="both"/>
      </w:pPr>
    </w:p>
    <w:p w:rsidR="0097155D" w:rsidRDefault="0097155D" w:rsidP="0097155D">
      <w:pPr>
        <w:jc w:val="both"/>
      </w:pPr>
      <w:r>
        <w:t>La curva S = 100% se obtiene calculando, para cualquier contenido de humedad w, su peso unitario seco:</w:t>
      </w:r>
    </w:p>
    <w:p w:rsidR="0097155D" w:rsidRDefault="0097155D" w:rsidP="0097155D">
      <w:pPr>
        <w:jc w:val="both"/>
      </w:pPr>
    </w:p>
    <w:p w:rsidR="0097155D" w:rsidRDefault="0097155D" w:rsidP="0097155D">
      <w:pPr>
        <w:jc w:val="both"/>
      </w:pPr>
      <w:r>
        <w:rPr>
          <w:position w:val="-30"/>
        </w:rPr>
        <w:object w:dxaOrig="14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85pt;height:33.65pt" o:ole="" fillcolor="window">
            <v:imagedata r:id="rId5" o:title=""/>
          </v:shape>
          <o:OLEObject Type="Embed" ProgID="Equation.3" ShapeID="_x0000_i1025" DrawAspect="Content" ObjectID="_1385624714" r:id="rId6"/>
        </w:object>
      </w:r>
    </w:p>
    <w:p w:rsidR="0097155D" w:rsidRDefault="0097155D" w:rsidP="0097155D">
      <w:pPr>
        <w:jc w:val="both"/>
      </w:pPr>
    </w:p>
    <w:p w:rsidR="0097155D" w:rsidRDefault="0097155D" w:rsidP="0097155D">
      <w:pPr>
        <w:jc w:val="both"/>
      </w:pPr>
      <w:r>
        <w:t>donde:</w:t>
      </w:r>
    </w:p>
    <w:p w:rsidR="0097155D" w:rsidRDefault="0097155D" w:rsidP="0097155D">
      <w:pPr>
        <w:jc w:val="both"/>
      </w:pPr>
    </w:p>
    <w:p w:rsidR="0097155D" w:rsidRDefault="0097155D" w:rsidP="0097155D">
      <w:pPr>
        <w:jc w:val="both"/>
        <w:outlineLvl w:val="0"/>
      </w:pPr>
      <w:r>
        <w:t>G</w:t>
      </w:r>
      <w:r>
        <w:rPr>
          <w:vertAlign w:val="subscript"/>
        </w:rPr>
        <w:t>S</w:t>
      </w:r>
      <w:r>
        <w:t xml:space="preserve">: </w:t>
      </w:r>
      <w:r>
        <w:tab/>
        <w:t>densidad de los sólidos</w:t>
      </w:r>
    </w:p>
    <w:p w:rsidR="0097155D" w:rsidRDefault="0097155D" w:rsidP="0097155D">
      <w:pPr>
        <w:jc w:val="both"/>
      </w:pPr>
      <w:r>
        <w:t>γ</w:t>
      </w:r>
      <w:r>
        <w:rPr>
          <w:vertAlign w:val="subscript"/>
        </w:rPr>
        <w:t>w</w:t>
      </w:r>
      <w:r>
        <w:t xml:space="preserve">: </w:t>
      </w:r>
      <w:r>
        <w:tab/>
        <w:t>peso unitario del agua</w:t>
      </w:r>
    </w:p>
    <w:p w:rsidR="0097155D" w:rsidRDefault="0097155D" w:rsidP="0097155D">
      <w:pPr>
        <w:jc w:val="both"/>
      </w:pPr>
      <w:r>
        <w:t xml:space="preserve">w: </w:t>
      </w:r>
      <w:r>
        <w:tab/>
        <w:t>contenido de humedad</w:t>
      </w:r>
    </w:p>
    <w:p w:rsidR="0097155D" w:rsidRDefault="0097155D" w:rsidP="0097155D">
      <w:pPr>
        <w:jc w:val="both"/>
      </w:pPr>
    </w:p>
    <w:p w:rsidR="0097155D" w:rsidRDefault="0097155D" w:rsidP="0097155D">
      <w:pPr>
        <w:jc w:val="both"/>
      </w:pPr>
      <w:r>
        <w:t>La densidad seca la podemos expresar en función de la densidad húmeda y el contenido de humedad:</w:t>
      </w:r>
    </w:p>
    <w:p w:rsidR="0097155D" w:rsidRDefault="0097155D" w:rsidP="0097155D">
      <w:pPr>
        <w:jc w:val="both"/>
      </w:pPr>
    </w:p>
    <w:p w:rsidR="0097155D" w:rsidRDefault="0097155D" w:rsidP="0097155D">
      <w:pPr>
        <w:jc w:val="both"/>
      </w:pPr>
      <w:r>
        <w:rPr>
          <w:position w:val="-24"/>
        </w:rPr>
        <w:object w:dxaOrig="1080" w:dyaOrig="620">
          <v:shape id="_x0000_i1026" type="#_x0000_t75" style="width:54.25pt;height:30.85pt" o:ole="" fillcolor="window">
            <v:imagedata r:id="rId7" o:title=""/>
          </v:shape>
          <o:OLEObject Type="Embed" ProgID="Equation.3" ShapeID="_x0000_i1026" DrawAspect="Content" ObjectID="_1385624715" r:id="rId8"/>
        </w:object>
      </w:r>
    </w:p>
    <w:p w:rsidR="0097155D" w:rsidRDefault="0097155D" w:rsidP="0097155D">
      <w:pPr>
        <w:jc w:val="both"/>
      </w:pPr>
    </w:p>
    <w:p w:rsidR="0097155D" w:rsidRDefault="0097155D" w:rsidP="0097155D">
      <w:pPr>
        <w:jc w:val="both"/>
      </w:pPr>
      <w:r>
        <w:t>donde:</w:t>
      </w:r>
    </w:p>
    <w:p w:rsidR="0097155D" w:rsidRDefault="0097155D" w:rsidP="0097155D">
      <w:pPr>
        <w:jc w:val="both"/>
      </w:pPr>
    </w:p>
    <w:p w:rsidR="0097155D" w:rsidRDefault="0097155D" w:rsidP="0097155D">
      <w:pPr>
        <w:jc w:val="both"/>
      </w:pPr>
      <w:r>
        <w:t>γ</w:t>
      </w:r>
      <w:r>
        <w:rPr>
          <w:vertAlign w:val="subscript"/>
        </w:rPr>
        <w:t>t</w:t>
      </w:r>
      <w:r>
        <w:t xml:space="preserve">: </w:t>
      </w:r>
      <w:r>
        <w:tab/>
        <w:t>densidad húmeda</w:t>
      </w:r>
    </w:p>
    <w:p w:rsidR="0097155D" w:rsidRDefault="0097155D" w:rsidP="0097155D">
      <w:pPr>
        <w:jc w:val="both"/>
      </w:pPr>
      <w:r>
        <w:t xml:space="preserve">w: </w:t>
      </w:r>
      <w:r>
        <w:tab/>
        <w:t>contenido de humedad</w:t>
      </w:r>
    </w:p>
    <w:p w:rsidR="0097155D" w:rsidRDefault="0097155D" w:rsidP="0097155D">
      <w:pPr>
        <w:jc w:val="both"/>
      </w:pPr>
    </w:p>
    <w:p w:rsidR="0097155D" w:rsidRDefault="0097155D" w:rsidP="0097155D">
      <w:pPr>
        <w:jc w:val="both"/>
        <w:outlineLvl w:val="0"/>
      </w:pPr>
      <w:r>
        <w:t>Las curvas para otros grados de saturación, pueden ser fácilmente calculadas.</w:t>
      </w:r>
    </w:p>
    <w:p w:rsidR="0097155D" w:rsidRDefault="0097155D" w:rsidP="0097155D">
      <w:pPr>
        <w:jc w:val="both"/>
      </w:pPr>
    </w:p>
    <w:p w:rsidR="0097155D" w:rsidRDefault="0097155D" w:rsidP="0097155D">
      <w:pPr>
        <w:jc w:val="both"/>
        <w:outlineLvl w:val="0"/>
        <w:rPr>
          <w:b/>
        </w:rPr>
      </w:pPr>
      <w:r>
        <w:rPr>
          <w:b/>
        </w:rPr>
        <w:t>Equipo</w:t>
      </w:r>
    </w:p>
    <w:p w:rsidR="0097155D" w:rsidRDefault="0097155D" w:rsidP="0097155D">
      <w:pPr>
        <w:jc w:val="both"/>
      </w:pPr>
    </w:p>
    <w:p w:rsidR="0097155D" w:rsidRDefault="0097155D" w:rsidP="0097155D">
      <w:pPr>
        <w:numPr>
          <w:ilvl w:val="0"/>
          <w:numId w:val="2"/>
        </w:numPr>
        <w:jc w:val="both"/>
      </w:pPr>
      <w:r>
        <w:t>molde de compactación con base y collar</w:t>
      </w:r>
    </w:p>
    <w:p w:rsidR="0097155D" w:rsidRDefault="0097155D" w:rsidP="0097155D">
      <w:pPr>
        <w:numPr>
          <w:ilvl w:val="0"/>
          <w:numId w:val="2"/>
        </w:numPr>
        <w:jc w:val="both"/>
      </w:pPr>
      <w:r>
        <w:t>martillo de compactación</w:t>
      </w:r>
    </w:p>
    <w:p w:rsidR="0097155D" w:rsidRDefault="0097155D" w:rsidP="0097155D">
      <w:pPr>
        <w:numPr>
          <w:ilvl w:val="0"/>
          <w:numId w:val="2"/>
        </w:numPr>
        <w:jc w:val="both"/>
      </w:pPr>
      <w:r>
        <w:t>latas para contenido de humedad</w:t>
      </w:r>
    </w:p>
    <w:p w:rsidR="0097155D" w:rsidRDefault="0097155D" w:rsidP="0097155D">
      <w:pPr>
        <w:numPr>
          <w:ilvl w:val="0"/>
          <w:numId w:val="2"/>
        </w:numPr>
        <w:jc w:val="both"/>
      </w:pPr>
      <w:r>
        <w:t>espátula metálica</w:t>
      </w:r>
    </w:p>
    <w:p w:rsidR="0097155D" w:rsidRDefault="0097155D" w:rsidP="0097155D">
      <w:pPr>
        <w:jc w:val="both"/>
      </w:pPr>
    </w:p>
    <w:p w:rsidR="0097155D" w:rsidRDefault="0097155D" w:rsidP="0097155D">
      <w:pPr>
        <w:jc w:val="both"/>
        <w:outlineLvl w:val="0"/>
        <w:rPr>
          <w:b/>
        </w:rPr>
      </w:pPr>
      <w:r>
        <w:rPr>
          <w:b/>
        </w:rPr>
        <w:t>Procedimiento (Proctor Modificado)</w:t>
      </w:r>
    </w:p>
    <w:p w:rsidR="0097155D" w:rsidRDefault="0097155D" w:rsidP="0097155D">
      <w:pPr>
        <w:jc w:val="both"/>
      </w:pPr>
    </w:p>
    <w:p w:rsidR="0097155D" w:rsidRDefault="0097155D" w:rsidP="0097155D">
      <w:pPr>
        <w:numPr>
          <w:ilvl w:val="0"/>
          <w:numId w:val="1"/>
        </w:numPr>
        <w:jc w:val="both"/>
      </w:pPr>
      <w:r>
        <w:t xml:space="preserve">Cada grupo debe tomar </w:t>
      </w:r>
      <w:smartTag w:uri="urn:schemas-microsoft-com:office:smarttags" w:element="metricconverter">
        <w:smartTagPr>
          <w:attr w:name="ProductID" w:val="7 kg"/>
        </w:smartTagPr>
        <w:r>
          <w:t>7 kg</w:t>
        </w:r>
      </w:smartTag>
      <w:r>
        <w:t xml:space="preserve"> (peso nominal) de suelo secado al aire, desmenuzado para que pase a través del tamiz # 4; luego debe ser mezclado con la cantidad de agua necesaria para alcanzar el contenido de humedad basado en porcentaje de peso seco; la humedad deberá ser, para este primer ensayo, aproximadamente un </w:t>
      </w:r>
      <w:smartTag w:uri="urn:schemas-microsoft-com:office:smarttags" w:element="metricconverter">
        <w:smartTagPr>
          <w:attr w:name="ProductID" w:val="4 a"/>
        </w:smartTagPr>
        <w:r>
          <w:t>4 a</w:t>
        </w:r>
      </w:smartTag>
      <w:r>
        <w:t xml:space="preserve"> 5 % menor que la humedad óptima estimada; debe quedar claro que el suelo y el agua en un ensayo deberían mezclarse con anterioridad y dejarse curar o macerar - para asegurar su distribución homogénea - durante 24 horas cuando se trabaja con suelos cuyos finos sean plásticos; sin embargo, en esta sesión de laboratorio para estudiantes, esta etapa  podrá omitirse.</w:t>
      </w:r>
    </w:p>
    <w:p w:rsidR="0097155D" w:rsidRDefault="0097155D" w:rsidP="0097155D">
      <w:pPr>
        <w:ind w:left="360"/>
        <w:jc w:val="both"/>
      </w:pPr>
    </w:p>
    <w:p w:rsidR="0097155D" w:rsidRDefault="0097155D" w:rsidP="0097155D">
      <w:pPr>
        <w:numPr>
          <w:ilvl w:val="0"/>
          <w:numId w:val="1"/>
        </w:numPr>
        <w:jc w:val="both"/>
      </w:pPr>
      <w:r>
        <w:t>Pesar el molde de compactación, sin incluir la base ni el collar.</w:t>
      </w:r>
    </w:p>
    <w:p w:rsidR="0097155D" w:rsidRDefault="0097155D" w:rsidP="0097155D">
      <w:pPr>
        <w:ind w:left="360"/>
        <w:jc w:val="both"/>
      </w:pPr>
    </w:p>
    <w:p w:rsidR="0097155D" w:rsidRDefault="0097155D" w:rsidP="0097155D">
      <w:pPr>
        <w:numPr>
          <w:ilvl w:val="0"/>
          <w:numId w:val="1"/>
        </w:numPr>
        <w:jc w:val="both"/>
      </w:pPr>
      <w:r>
        <w:t>Medir las dimensiones internas del molde de compactación para determinar su volumen.</w:t>
      </w:r>
    </w:p>
    <w:p w:rsidR="0097155D" w:rsidRDefault="0097155D" w:rsidP="0097155D">
      <w:pPr>
        <w:ind w:left="360"/>
        <w:jc w:val="both"/>
      </w:pPr>
    </w:p>
    <w:p w:rsidR="0097155D" w:rsidRDefault="0097155D" w:rsidP="0097155D">
      <w:pPr>
        <w:numPr>
          <w:ilvl w:val="0"/>
          <w:numId w:val="1"/>
        </w:numPr>
        <w:jc w:val="both"/>
      </w:pPr>
      <w:r>
        <w:t xml:space="preserve">Compactar el suelo en 5 capas aplicando 56 golpes sobre cada una (para molde grande); se debe procurar que la última capa quede por sobre la altura del molde de compactación; en caso que la superficie de la última capa quedara bajo la altura del molde, se debe repetir el ensayo; se debe evitar además que esta última capa exceda en altura el nivel del molde en más de </w:t>
      </w:r>
      <w:smartTag w:uri="urn:schemas-microsoft-com:office:smarttags" w:element="metricconverter">
        <w:smartTagPr>
          <w:attr w:name="ProductID" w:val="6 mm"/>
        </w:smartTagPr>
        <w:r>
          <w:t>6 mm</w:t>
        </w:r>
      </w:smartTag>
      <w:r>
        <w:t xml:space="preserve"> ya que al enrasar se estaría eliminando una parte significativa del material compactado, disminuyendo la energía de compactación por unidad de volumen.</w:t>
      </w:r>
    </w:p>
    <w:p w:rsidR="0097155D" w:rsidRDefault="0097155D" w:rsidP="0097155D">
      <w:pPr>
        <w:jc w:val="both"/>
      </w:pPr>
    </w:p>
    <w:p w:rsidR="0097155D" w:rsidRDefault="0097155D" w:rsidP="0097155D">
      <w:pPr>
        <w:numPr>
          <w:ilvl w:val="0"/>
          <w:numId w:val="1"/>
        </w:numPr>
        <w:jc w:val="both"/>
      </w:pPr>
      <w:r>
        <w:t>Retirar cuidadosamente el collar de compactación, evitar girar el collar; en caso que se encuentre muy apretado, retirar con espátula el suelo que se encuentra adherido a los bordes por sobre el nivel del molde; finalmente enrasar perfectamente la superficie de suelo a nivel del plano superior del molde.</w:t>
      </w:r>
    </w:p>
    <w:p w:rsidR="0097155D" w:rsidRDefault="0097155D" w:rsidP="0097155D">
      <w:pPr>
        <w:ind w:left="360"/>
        <w:jc w:val="both"/>
      </w:pPr>
    </w:p>
    <w:p w:rsidR="0097155D" w:rsidRDefault="0097155D" w:rsidP="0097155D">
      <w:pPr>
        <w:numPr>
          <w:ilvl w:val="0"/>
          <w:numId w:val="1"/>
        </w:numPr>
        <w:jc w:val="both"/>
      </w:pPr>
      <w:r>
        <w:t>Pesar el molde con el suelo compactado y enrasado.</w:t>
      </w:r>
    </w:p>
    <w:p w:rsidR="0097155D" w:rsidRDefault="0097155D" w:rsidP="0097155D">
      <w:pPr>
        <w:ind w:left="360"/>
        <w:jc w:val="both"/>
      </w:pPr>
    </w:p>
    <w:p w:rsidR="0097155D" w:rsidRDefault="0097155D" w:rsidP="0097155D">
      <w:pPr>
        <w:numPr>
          <w:ilvl w:val="0"/>
          <w:numId w:val="1"/>
        </w:numPr>
        <w:jc w:val="both"/>
      </w:pPr>
      <w:r>
        <w:t>Extraer el suelo del molde y tomar una muestra representativa para determinar el contenido de humedad.</w:t>
      </w:r>
    </w:p>
    <w:p w:rsidR="0097155D" w:rsidRDefault="0097155D" w:rsidP="0097155D">
      <w:pPr>
        <w:ind w:left="360"/>
        <w:jc w:val="both"/>
      </w:pPr>
    </w:p>
    <w:p w:rsidR="0097155D" w:rsidRDefault="0097155D" w:rsidP="0097155D">
      <w:pPr>
        <w:numPr>
          <w:ilvl w:val="0"/>
          <w:numId w:val="1"/>
        </w:numPr>
        <w:jc w:val="both"/>
      </w:pPr>
      <w:r>
        <w:t xml:space="preserve">Desmenuzar el suelo compactado y mezclarlo con suelo aún no utilizado; agregar un 2% de agua (en relación a los </w:t>
      </w:r>
      <w:smartTag w:uri="urn:schemas-microsoft-com:office:smarttags" w:element="metricconverter">
        <w:smartTagPr>
          <w:attr w:name="ProductID" w:val="7 kg"/>
        </w:smartTagPr>
        <w:r>
          <w:t>7 kg</w:t>
        </w:r>
      </w:smartTag>
      <w:r>
        <w:t xml:space="preserve">) y repetir los pasos </w:t>
      </w:r>
      <w:smartTag w:uri="urn:schemas-microsoft-com:office:smarttags" w:element="metricconverter">
        <w:smartTagPr>
          <w:attr w:name="ProductID" w:val="4 a"/>
        </w:smartTagPr>
        <w:r>
          <w:t>4 a</w:t>
        </w:r>
      </w:smartTag>
      <w:r>
        <w:t xml:space="preserve"> 8; realizar la cantidad de ensayos que el instructor indique, suficientes para obtener una cantidad de puntos que permita determinar la humedad óptima y la densidad máxima.</w:t>
      </w:r>
    </w:p>
    <w:p w:rsidR="0097155D" w:rsidRDefault="0097155D" w:rsidP="0097155D">
      <w:pPr>
        <w:ind w:left="360"/>
        <w:jc w:val="both"/>
      </w:pPr>
    </w:p>
    <w:p w:rsidR="0097155D" w:rsidRDefault="0097155D" w:rsidP="0097155D">
      <w:pPr>
        <w:numPr>
          <w:ilvl w:val="0"/>
          <w:numId w:val="1"/>
        </w:numPr>
        <w:jc w:val="both"/>
      </w:pPr>
      <w:r>
        <w:t>Volver posteriormente al laboratorio para obtener los pesos secos de las muestras de humedad.</w:t>
      </w:r>
    </w:p>
    <w:p w:rsidR="0097155D" w:rsidRDefault="0097155D" w:rsidP="0097155D">
      <w:pPr>
        <w:jc w:val="both"/>
      </w:pPr>
    </w:p>
    <w:p w:rsidR="0097155D" w:rsidRDefault="0097155D" w:rsidP="0097155D">
      <w:pPr>
        <w:jc w:val="both"/>
      </w:pPr>
    </w:p>
    <w:p w:rsidR="0097155D" w:rsidRDefault="0097155D" w:rsidP="0097155D">
      <w:pPr>
        <w:jc w:val="both"/>
        <w:outlineLvl w:val="0"/>
        <w:rPr>
          <w:b/>
        </w:rPr>
      </w:pPr>
      <w:r>
        <w:rPr>
          <w:b/>
        </w:rPr>
        <w:t>Cálculos</w:t>
      </w:r>
    </w:p>
    <w:p w:rsidR="0097155D" w:rsidRDefault="0097155D" w:rsidP="0097155D">
      <w:pPr>
        <w:jc w:val="both"/>
      </w:pPr>
    </w:p>
    <w:p w:rsidR="0097155D" w:rsidRDefault="0097155D" w:rsidP="0097155D">
      <w:pPr>
        <w:jc w:val="both"/>
      </w:pPr>
      <w:r>
        <w:t>Calcular el peso unitario seco y hacer un grafico de γ</w:t>
      </w:r>
      <w:r>
        <w:rPr>
          <w:vertAlign w:val="subscript"/>
        </w:rPr>
        <w:t>d</w:t>
      </w:r>
      <w:r>
        <w:t xml:space="preserve"> versus contenido de humedad. Dibujar en este gráfico la curva de saturación; si no se conoce G</w:t>
      </w:r>
      <w:r>
        <w:rPr>
          <w:vertAlign w:val="subscript"/>
        </w:rPr>
        <w:t>S,</w:t>
      </w:r>
      <w:r>
        <w:t xml:space="preserve"> suponer que la densidad  saturada correspodiente a la humedad óptima es 5 % mayor que la densidad máxima seca; con este valor calcular el valor de G</w:t>
      </w:r>
      <w:r>
        <w:rPr>
          <w:vertAlign w:val="subscript"/>
        </w:rPr>
        <w:t>S</w:t>
      </w:r>
      <w:r>
        <w:t xml:space="preserve">; la curva de saturación en ningún caso debe interceptar la curva de compactación; en caso que esto suceda, incrementar en un 1 % adicional el valor de la densidad saturada hasta asegurar que la curva de saturación pase por sobre la de compactación. </w:t>
      </w:r>
    </w:p>
    <w:p w:rsidR="0097155D" w:rsidRDefault="0097155D" w:rsidP="0097155D">
      <w:pPr>
        <w:ind w:left="360"/>
        <w:jc w:val="both"/>
      </w:pPr>
    </w:p>
    <w:p w:rsidR="0097155D" w:rsidRDefault="0097155D" w:rsidP="0097155D">
      <w:pPr>
        <w:jc w:val="center"/>
      </w:pPr>
      <w:r>
        <w:rPr>
          <w:noProof/>
        </w:rPr>
        <w:lastRenderedPageBreak/>
        <w:drawing>
          <wp:inline distT="0" distB="0" distL="0" distR="0">
            <wp:extent cx="5628640" cy="3752850"/>
            <wp:effectExtent l="0" t="0" r="0" b="0"/>
            <wp:docPr id="3" name="Objeto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7155D" w:rsidRPr="00CC6721" w:rsidRDefault="0097155D" w:rsidP="0097155D">
      <w:pPr>
        <w:tabs>
          <w:tab w:val="left" w:pos="800"/>
        </w:tabs>
        <w:jc w:val="center"/>
        <w:rPr>
          <w:b/>
          <w:u w:val="single"/>
        </w:rPr>
      </w:pPr>
      <w:r w:rsidRPr="00CC6721">
        <w:rPr>
          <w:b/>
          <w:u w:val="single"/>
        </w:rPr>
        <w:t xml:space="preserve">Gráfico </w:t>
      </w:r>
      <w:r>
        <w:rPr>
          <w:b/>
          <w:u w:val="single"/>
        </w:rPr>
        <w:t>1</w:t>
      </w:r>
      <w:r w:rsidRPr="00CC6721">
        <w:rPr>
          <w:b/>
          <w:u w:val="single"/>
        </w:rPr>
        <w:t xml:space="preserve">. Curva </w:t>
      </w:r>
      <w:r>
        <w:rPr>
          <w:b/>
          <w:u w:val="single"/>
        </w:rPr>
        <w:t>Proctor de densidad seca vs humedad</w:t>
      </w:r>
      <w:r w:rsidRPr="00CC6721">
        <w:rPr>
          <w:b/>
          <w:u w:val="single"/>
        </w:rPr>
        <w:t>.</w:t>
      </w:r>
    </w:p>
    <w:p w:rsidR="0097155D" w:rsidRDefault="0097155D" w:rsidP="0097155D">
      <w:pPr>
        <w:jc w:val="center"/>
      </w:pPr>
    </w:p>
    <w:p w:rsidR="0097155D" w:rsidRDefault="0097155D" w:rsidP="0097155D">
      <w:pPr>
        <w:jc w:val="center"/>
      </w:pPr>
    </w:p>
    <w:p w:rsidR="0097155D" w:rsidRDefault="0097155D" w:rsidP="0097155D">
      <w:pPr>
        <w:jc w:val="center"/>
      </w:pPr>
    </w:p>
    <w:p w:rsidR="0097155D" w:rsidRDefault="0097155D" w:rsidP="0097155D">
      <w:pPr>
        <w:jc w:val="center"/>
      </w:pPr>
    </w:p>
    <w:p w:rsidR="0097155D" w:rsidRDefault="0097155D" w:rsidP="0097155D">
      <w:pPr>
        <w:jc w:val="center"/>
      </w:pPr>
    </w:p>
    <w:p w:rsidR="0097155D" w:rsidRPr="00A04C9D" w:rsidRDefault="0097155D" w:rsidP="0097155D">
      <w:pPr>
        <w:numPr>
          <w:ilvl w:val="0"/>
          <w:numId w:val="9"/>
        </w:numPr>
        <w:jc w:val="both"/>
        <w:rPr>
          <w:b/>
        </w:rPr>
      </w:pPr>
      <w:r w:rsidRPr="00A04C9D">
        <w:rPr>
          <w:b/>
        </w:rPr>
        <w:t xml:space="preserve">ENSAYO DE </w:t>
      </w:r>
      <w:smartTag w:uri="urn:schemas-microsoft-com:office:smarttags" w:element="PersonName">
        <w:smartTagPr>
          <w:attr w:name="ProductID" w:val="LA RELACION DE"/>
        </w:smartTagPr>
        <w:r w:rsidRPr="00A04C9D">
          <w:rPr>
            <w:b/>
          </w:rPr>
          <w:t>LA RELACION DE</w:t>
        </w:r>
      </w:smartTag>
      <w:r w:rsidRPr="00A04C9D">
        <w:rPr>
          <w:b/>
        </w:rPr>
        <w:t xml:space="preserve"> SOPORTE CALIFORNIA (CBR)</w:t>
      </w:r>
    </w:p>
    <w:p w:rsidR="0097155D" w:rsidRPr="00A04C9D" w:rsidRDefault="0097155D" w:rsidP="0097155D">
      <w:pPr>
        <w:jc w:val="both"/>
      </w:pPr>
    </w:p>
    <w:p w:rsidR="0097155D" w:rsidRPr="00A04C9D" w:rsidRDefault="0097155D" w:rsidP="0097155D">
      <w:pPr>
        <w:jc w:val="both"/>
        <w:outlineLvl w:val="0"/>
        <w:rPr>
          <w:b/>
        </w:rPr>
      </w:pPr>
      <w:r w:rsidRPr="00A04C9D">
        <w:rPr>
          <w:b/>
        </w:rPr>
        <w:t>Generalidades</w:t>
      </w:r>
    </w:p>
    <w:p w:rsidR="0097155D" w:rsidRPr="00A04C9D" w:rsidRDefault="0097155D" w:rsidP="0097155D">
      <w:pPr>
        <w:jc w:val="both"/>
      </w:pPr>
    </w:p>
    <w:p w:rsidR="0097155D" w:rsidRPr="00A04C9D" w:rsidRDefault="0097155D" w:rsidP="0097155D">
      <w:pPr>
        <w:jc w:val="both"/>
      </w:pPr>
      <w:r w:rsidRPr="00A04C9D">
        <w:t>No basta con especificar el grado de compactación de un suelo. Dos suelos diferentes alcanzarán no solo densidades secas y humedades óptimas diferentes en el ensayo de compactación, sino que el material, al estar constituido por partículas diferentes, tendrá un comportamiento en términos de ingeniería diferente. Por ello, se hace necesario un parámetro adicional que considere la capacidad de soporte del suelo en sí mismo para esas condiciones de compactación.</w:t>
      </w:r>
    </w:p>
    <w:p w:rsidR="0097155D" w:rsidRPr="00A04C9D" w:rsidRDefault="0097155D" w:rsidP="0097155D">
      <w:pPr>
        <w:jc w:val="both"/>
      </w:pPr>
      <w:r w:rsidRPr="00A04C9D">
        <w:t xml:space="preserve"> </w:t>
      </w:r>
    </w:p>
    <w:p w:rsidR="0097155D" w:rsidRPr="00A04C9D" w:rsidRDefault="0097155D" w:rsidP="0097155D">
      <w:pPr>
        <w:jc w:val="both"/>
      </w:pPr>
      <w:r w:rsidRPr="00A04C9D">
        <w:t xml:space="preserve">El ensayo de soporte de California fue desarrollado por </w:t>
      </w:r>
      <w:smartTag w:uri="urn:schemas-microsoft-com:office:smarttags" w:element="PersonName">
        <w:smartTagPr>
          <w:attr w:name="ProductID" w:val="la Divisi￳n"/>
        </w:smartTagPr>
        <w:r w:rsidRPr="00A04C9D">
          <w:t>la División</w:t>
        </w:r>
      </w:smartTag>
      <w:r w:rsidRPr="00A04C9D">
        <w:t xml:space="preserve"> de Carreteras de California en 1929 como una forma de clasificar la competencia de un suelo a ser utilizado como subrasante o material de base en construcción de carreteras.</w:t>
      </w:r>
    </w:p>
    <w:p w:rsidR="0097155D" w:rsidRPr="00A04C9D" w:rsidRDefault="0097155D" w:rsidP="0097155D">
      <w:pPr>
        <w:jc w:val="both"/>
      </w:pPr>
    </w:p>
    <w:p w:rsidR="0097155D" w:rsidRPr="00A04C9D" w:rsidRDefault="0097155D" w:rsidP="0097155D">
      <w:pPr>
        <w:jc w:val="both"/>
      </w:pPr>
      <w:r w:rsidRPr="00A04C9D">
        <w:t>El ensayo CBR (</w:t>
      </w:r>
      <w:smartTag w:uri="urn:schemas-microsoft-com:office:smarttags" w:element="PersonName">
        <w:smartTagPr>
          <w:attr w:name="ProductID" w:val="la ASTM"/>
        </w:smartTagPr>
        <w:r w:rsidRPr="00A04C9D">
          <w:t>la ASTM</w:t>
        </w:r>
      </w:smartTag>
      <w:r w:rsidRPr="00A04C9D">
        <w:t xml:space="preserve"> denomina el ensayo simplemente un ensayo de relación de soporte) mide la resistencia al corte de un suelo bajo condiciones de humedad y densidad controladas. El ensayo permite obtener un número asociado a la capacidad de soporte.</w:t>
      </w:r>
    </w:p>
    <w:p w:rsidR="0097155D" w:rsidRPr="00A04C9D" w:rsidRDefault="0097155D" w:rsidP="0097155D">
      <w:pPr>
        <w:jc w:val="both"/>
      </w:pPr>
    </w:p>
    <w:p w:rsidR="0097155D" w:rsidRPr="00A04C9D" w:rsidRDefault="0097155D" w:rsidP="0097155D">
      <w:pPr>
        <w:jc w:val="both"/>
      </w:pPr>
    </w:p>
    <w:p w:rsidR="0097155D" w:rsidRPr="00A04C9D" w:rsidRDefault="0097155D" w:rsidP="0097155D">
      <w:pPr>
        <w:jc w:val="both"/>
        <w:outlineLvl w:val="0"/>
        <w:rPr>
          <w:b/>
        </w:rPr>
      </w:pPr>
      <w:r w:rsidRPr="00A04C9D">
        <w:rPr>
          <w:b/>
        </w:rPr>
        <w:lastRenderedPageBreak/>
        <w:t>Definiciones</w:t>
      </w:r>
    </w:p>
    <w:p w:rsidR="0097155D" w:rsidRPr="00A04C9D" w:rsidRDefault="0097155D" w:rsidP="0097155D">
      <w:pPr>
        <w:jc w:val="both"/>
      </w:pPr>
    </w:p>
    <w:p w:rsidR="0097155D" w:rsidRPr="00A04C9D" w:rsidRDefault="0097155D" w:rsidP="0097155D">
      <w:pPr>
        <w:jc w:val="both"/>
      </w:pPr>
      <w:r w:rsidRPr="00A04C9D">
        <w:t>El CBR es la relación de la carga unitaria (por pulgada cuadrada) proporcionada por un vástago de sección circular para lograr una cierta profundidad de penetración dentro de la muestra de suelo (compactada a un contenido de humedad y densidad dadas) con respecto a la carga unitaria patrón requerida para obtener la misma profundidad de penetración en una muestra estándar de material triturado de excelente calidad. En forma de ecuación, esto se puede expresar como:</w:t>
      </w:r>
    </w:p>
    <w:p w:rsidR="0097155D" w:rsidRPr="00A04C9D" w:rsidRDefault="0097155D" w:rsidP="0097155D">
      <w:pPr>
        <w:jc w:val="both"/>
      </w:pPr>
    </w:p>
    <w:p w:rsidR="0097155D" w:rsidRPr="00A04C9D" w:rsidRDefault="0097155D" w:rsidP="0097155D">
      <w:pPr>
        <w:jc w:val="center"/>
      </w:pPr>
      <w:r w:rsidRPr="00A04C9D">
        <w:rPr>
          <w:position w:val="-28"/>
        </w:rPr>
        <w:object w:dxaOrig="4120" w:dyaOrig="660">
          <v:shape id="_x0000_i1027" type="#_x0000_t75" style="width:205.7pt;height:32.75pt" o:ole="" fillcolor="window">
            <v:imagedata r:id="rId10" o:title=""/>
          </v:shape>
          <o:OLEObject Type="Embed" ProgID="Equation.3" ShapeID="_x0000_i1027" DrawAspect="Content" ObjectID="_1385624716" r:id="rId11"/>
        </w:object>
      </w:r>
    </w:p>
    <w:p w:rsidR="0097155D" w:rsidRPr="00A04C9D" w:rsidRDefault="0097155D" w:rsidP="0097155D"/>
    <w:p w:rsidR="0097155D" w:rsidRPr="00A04C9D" w:rsidRDefault="0097155D" w:rsidP="0097155D">
      <w:pPr>
        <w:jc w:val="both"/>
      </w:pPr>
      <w:r w:rsidRPr="00A04C9D">
        <w:t>Los ensayos de CBR se aplican usualmente sobre muestras compactadas al contenido de humedad óptimo para el suelo determinado utilizando el ensayo de compactación estándar (o modificado).</w:t>
      </w:r>
    </w:p>
    <w:p w:rsidR="0097155D" w:rsidRPr="00A04C9D" w:rsidRDefault="0097155D" w:rsidP="0097155D">
      <w:pPr>
        <w:jc w:val="both"/>
      </w:pPr>
    </w:p>
    <w:p w:rsidR="0097155D" w:rsidRPr="00A04C9D" w:rsidRDefault="0097155D" w:rsidP="0097155D">
      <w:pPr>
        <w:jc w:val="both"/>
      </w:pPr>
      <w:r w:rsidRPr="00A04C9D">
        <w:t xml:space="preserve">A menudo se compactan  dos moldes de suelo: uno para penetración inmediata y otro para penetración  después de dejarlo saturar por un periodo de 96 horas; este último se sobrecarga  con un peso similar al del pavimento pero en ningún caso menor que </w:t>
      </w:r>
      <w:smartTag w:uri="urn:schemas-microsoft-com:office:smarttags" w:element="metricconverter">
        <w:smartTagPr>
          <w:attr w:name="ProductID" w:val="4.5 kg"/>
        </w:smartTagPr>
        <w:r w:rsidRPr="00A04C9D">
          <w:t>4.5 kg</w:t>
        </w:r>
      </w:smartTag>
      <w:r w:rsidRPr="00A04C9D">
        <w:t>. Es necesario durante este periodo tomar registros de expansión para tiempos escogidos.</w:t>
      </w:r>
    </w:p>
    <w:p w:rsidR="0097155D" w:rsidRPr="00A04C9D" w:rsidRDefault="0097155D" w:rsidP="0097155D">
      <w:pPr>
        <w:tabs>
          <w:tab w:val="left" w:pos="3340"/>
        </w:tabs>
        <w:jc w:val="both"/>
      </w:pPr>
    </w:p>
    <w:p w:rsidR="0097155D" w:rsidRPr="00A04C9D" w:rsidRDefault="0097155D" w:rsidP="0097155D">
      <w:pPr>
        <w:tabs>
          <w:tab w:val="left" w:pos="3340"/>
        </w:tabs>
        <w:jc w:val="both"/>
      </w:pPr>
      <w:r w:rsidRPr="00A04C9D">
        <w:t>En ambos ensayos, se coloca una sobrecarga sobre la muestra de la misma magnitud de la que se utiliza durante el ensayo de expansión. El ensayo sobre la muestra saturada cumple dos propósitos:</w:t>
      </w:r>
    </w:p>
    <w:p w:rsidR="0097155D" w:rsidRPr="00A04C9D" w:rsidRDefault="0097155D" w:rsidP="0097155D">
      <w:pPr>
        <w:tabs>
          <w:tab w:val="left" w:pos="3340"/>
        </w:tabs>
        <w:jc w:val="both"/>
      </w:pPr>
    </w:p>
    <w:p w:rsidR="0097155D" w:rsidRPr="00A04C9D" w:rsidRDefault="0097155D" w:rsidP="0097155D">
      <w:pPr>
        <w:tabs>
          <w:tab w:val="left" w:pos="3340"/>
        </w:tabs>
        <w:jc w:val="both"/>
      </w:pPr>
      <w:r w:rsidRPr="00A04C9D">
        <w:t>(a) proporcionar información sobre la expansión esperada en el suelo bajo la estructura de pavimento cuando el suelo se sature,</w:t>
      </w:r>
    </w:p>
    <w:p w:rsidR="0097155D" w:rsidRPr="00A04C9D" w:rsidRDefault="0097155D" w:rsidP="0097155D">
      <w:pPr>
        <w:tabs>
          <w:tab w:val="left" w:pos="3340"/>
        </w:tabs>
        <w:jc w:val="both"/>
      </w:pPr>
      <w:r w:rsidRPr="00A04C9D">
        <w:t>(b) obtener indicación de la pérdida de resistencia debida a la saturación en terreno.</w:t>
      </w:r>
      <w:r w:rsidRPr="00A04C9D">
        <w:tab/>
      </w:r>
    </w:p>
    <w:p w:rsidR="0097155D" w:rsidRPr="00A04C9D" w:rsidRDefault="0097155D" w:rsidP="0097155D">
      <w:pPr>
        <w:tabs>
          <w:tab w:val="left" w:pos="3340"/>
        </w:tabs>
        <w:jc w:val="both"/>
      </w:pPr>
    </w:p>
    <w:p w:rsidR="0097155D" w:rsidRPr="00A04C9D" w:rsidRDefault="0097155D" w:rsidP="0097155D">
      <w:pPr>
        <w:tabs>
          <w:tab w:val="left" w:pos="3340"/>
        </w:tabs>
        <w:jc w:val="both"/>
      </w:pPr>
      <w:r w:rsidRPr="00A04C9D">
        <w:t xml:space="preserve">El ensayo de penetración se lleva a cabo en una máquina de compresión utilizando una velocidad de deformación unitaria de 1.27 mm/min. Se toman lecturas de carga versus penetración  cada </w:t>
      </w:r>
      <w:smartTag w:uri="urn:schemas-microsoft-com:office:smarttags" w:element="metricconverter">
        <w:smartTagPr>
          <w:attr w:name="ProductID" w:val="0.64 mm"/>
        </w:smartTagPr>
        <w:r w:rsidRPr="00A04C9D">
          <w:t>0.64 mm</w:t>
        </w:r>
      </w:smartTag>
      <w:r w:rsidRPr="00A04C9D">
        <w:t xml:space="preserve"> de penetración (</w:t>
      </w:r>
      <w:smartTag w:uri="urn:schemas-microsoft-com:office:smarttags" w:element="metricconverter">
        <w:smartTagPr>
          <w:attr w:name="ProductID" w:val="0.025”"/>
        </w:smartTagPr>
        <w:r w:rsidRPr="00A04C9D">
          <w:t>0.025”</w:t>
        </w:r>
      </w:smartTag>
      <w:r w:rsidRPr="00A04C9D">
        <w:t xml:space="preserve">) hasta llegar a un valor de </w:t>
      </w:r>
      <w:smartTag w:uri="urn:schemas-microsoft-com:office:smarttags" w:element="metricconverter">
        <w:smartTagPr>
          <w:attr w:name="ProductID" w:val="5.0 mm"/>
        </w:smartTagPr>
        <w:r w:rsidRPr="00A04C9D">
          <w:t>5.0 mm</w:t>
        </w:r>
      </w:smartTag>
      <w:r w:rsidRPr="00A04C9D">
        <w:t xml:space="preserve"> (</w:t>
      </w:r>
      <w:smartTag w:uri="urn:schemas-microsoft-com:office:smarttags" w:element="metricconverter">
        <w:smartTagPr>
          <w:attr w:name="ProductID" w:val="0.2”"/>
        </w:smartTagPr>
        <w:r w:rsidRPr="00A04C9D">
          <w:t>0.2”</w:t>
        </w:r>
      </w:smartTag>
      <w:r w:rsidRPr="00A04C9D">
        <w:t xml:space="preserve">) a partir del cual se toman lecturas con velocidades de penetración de 2.5 mm/min (cada </w:t>
      </w:r>
      <w:smartTag w:uri="urn:schemas-microsoft-com:office:smarttags" w:element="metricconverter">
        <w:smartTagPr>
          <w:attr w:name="ProductID" w:val="0.1”"/>
        </w:smartTagPr>
        <w:r w:rsidRPr="00A04C9D">
          <w:t>0.1”</w:t>
        </w:r>
      </w:smartTag>
      <w:r w:rsidRPr="00A04C9D">
        <w:t xml:space="preserve">) hasta obtener una penetración total de </w:t>
      </w:r>
      <w:smartTag w:uri="urn:schemas-microsoft-com:office:smarttags" w:element="metricconverter">
        <w:smartTagPr>
          <w:attr w:name="ProductID" w:val="12.7 mm"/>
        </w:smartTagPr>
        <w:r w:rsidRPr="00A04C9D">
          <w:t>12.7 mm</w:t>
        </w:r>
      </w:smartTag>
      <w:r w:rsidRPr="00A04C9D">
        <w:t xml:space="preserve"> (</w:t>
      </w:r>
      <w:smartTag w:uri="urn:schemas-microsoft-com:office:smarttags" w:element="metricconverter">
        <w:smartTagPr>
          <w:attr w:name="ProductID" w:val="0.5”"/>
        </w:smartTagPr>
        <w:r w:rsidRPr="00A04C9D">
          <w:t>0.5”</w:t>
        </w:r>
      </w:smartTag>
      <w:r w:rsidRPr="00A04C9D">
        <w:t>).</w:t>
      </w:r>
    </w:p>
    <w:p w:rsidR="0097155D" w:rsidRPr="00A04C9D" w:rsidRDefault="0097155D" w:rsidP="0097155D">
      <w:pPr>
        <w:tabs>
          <w:tab w:val="left" w:pos="3340"/>
        </w:tabs>
        <w:jc w:val="both"/>
      </w:pPr>
    </w:p>
    <w:p w:rsidR="0097155D" w:rsidRPr="00A04C9D" w:rsidRDefault="0097155D" w:rsidP="0097155D">
      <w:pPr>
        <w:tabs>
          <w:tab w:val="left" w:pos="3340"/>
        </w:tabs>
        <w:jc w:val="both"/>
      </w:pPr>
      <w:r w:rsidRPr="00A04C9D">
        <w:t>El valor del CBR se utiliza para establecer una relación entre el comportamiento de los suelos, principalmente con fines de utilización como base y subrasante bajo pavimentos de carreteras y aeropistas.</w:t>
      </w:r>
    </w:p>
    <w:p w:rsidR="0097155D" w:rsidRPr="00A04C9D" w:rsidRDefault="0097155D" w:rsidP="0097155D">
      <w:pPr>
        <w:tabs>
          <w:tab w:val="left" w:pos="3340"/>
        </w:tabs>
        <w:jc w:val="both"/>
      </w:pPr>
    </w:p>
    <w:p w:rsidR="0097155D" w:rsidRPr="00A04C9D" w:rsidRDefault="0097155D" w:rsidP="0097155D">
      <w:pPr>
        <w:tabs>
          <w:tab w:val="left" w:pos="3340"/>
        </w:tabs>
        <w:jc w:val="both"/>
        <w:outlineLvl w:val="0"/>
      </w:pPr>
      <w:r w:rsidRPr="00A04C9D">
        <w:t>Equipo</w:t>
      </w:r>
    </w:p>
    <w:p w:rsidR="0097155D" w:rsidRPr="00A04C9D" w:rsidRDefault="0097155D" w:rsidP="0097155D">
      <w:pPr>
        <w:tabs>
          <w:tab w:val="left" w:pos="3340"/>
        </w:tabs>
        <w:jc w:val="both"/>
      </w:pPr>
    </w:p>
    <w:p w:rsidR="0097155D" w:rsidRPr="00A04C9D" w:rsidRDefault="0097155D" w:rsidP="0097155D">
      <w:pPr>
        <w:numPr>
          <w:ilvl w:val="0"/>
          <w:numId w:val="8"/>
        </w:numPr>
        <w:tabs>
          <w:tab w:val="left" w:pos="3340"/>
        </w:tabs>
        <w:jc w:val="both"/>
      </w:pPr>
      <w:r w:rsidRPr="00A04C9D">
        <w:t>Equipo de CBR:</w:t>
      </w:r>
    </w:p>
    <w:p w:rsidR="0097155D" w:rsidRPr="00A04C9D" w:rsidRDefault="0097155D" w:rsidP="0097155D">
      <w:pPr>
        <w:numPr>
          <w:ilvl w:val="1"/>
          <w:numId w:val="8"/>
        </w:numPr>
        <w:tabs>
          <w:tab w:val="left" w:pos="900"/>
        </w:tabs>
        <w:jc w:val="both"/>
      </w:pPr>
      <w:r w:rsidRPr="00A04C9D">
        <w:t>Molde de compactación (con collar y base)</w:t>
      </w:r>
    </w:p>
    <w:p w:rsidR="0097155D" w:rsidRPr="00A04C9D" w:rsidRDefault="0097155D" w:rsidP="0097155D">
      <w:pPr>
        <w:numPr>
          <w:ilvl w:val="1"/>
          <w:numId w:val="8"/>
        </w:numPr>
        <w:tabs>
          <w:tab w:val="left" w:pos="900"/>
        </w:tabs>
        <w:jc w:val="both"/>
      </w:pPr>
      <w:r w:rsidRPr="00A04C9D">
        <w:t>Disco espaciador</w:t>
      </w:r>
    </w:p>
    <w:p w:rsidR="0097155D" w:rsidRPr="00A04C9D" w:rsidRDefault="0097155D" w:rsidP="0097155D">
      <w:pPr>
        <w:numPr>
          <w:ilvl w:val="0"/>
          <w:numId w:val="8"/>
        </w:numPr>
        <w:tabs>
          <w:tab w:val="left" w:pos="3340"/>
        </w:tabs>
        <w:jc w:val="both"/>
      </w:pPr>
      <w:r w:rsidRPr="00A04C9D">
        <w:t>Martillo de compactación</w:t>
      </w:r>
    </w:p>
    <w:p w:rsidR="0097155D" w:rsidRPr="00A04C9D" w:rsidRDefault="0097155D" w:rsidP="0097155D">
      <w:pPr>
        <w:numPr>
          <w:ilvl w:val="0"/>
          <w:numId w:val="8"/>
        </w:numPr>
        <w:tabs>
          <w:tab w:val="left" w:pos="3340"/>
        </w:tabs>
        <w:jc w:val="both"/>
      </w:pPr>
      <w:r w:rsidRPr="00A04C9D">
        <w:t xml:space="preserve">Aparato para medir la expansión con deformímetro de carátula con precisión de </w:t>
      </w:r>
      <w:smartTag w:uri="urn:schemas-microsoft-com:office:smarttags" w:element="metricconverter">
        <w:smartTagPr>
          <w:attr w:name="ProductID" w:val="0.01 mm"/>
        </w:smartTagPr>
        <w:r w:rsidRPr="00A04C9D">
          <w:t>0.01 mm</w:t>
        </w:r>
      </w:smartTag>
    </w:p>
    <w:p w:rsidR="0097155D" w:rsidRPr="00A04C9D" w:rsidRDefault="0097155D" w:rsidP="0097155D">
      <w:pPr>
        <w:numPr>
          <w:ilvl w:val="0"/>
          <w:numId w:val="8"/>
        </w:numPr>
        <w:tabs>
          <w:tab w:val="left" w:pos="3340"/>
        </w:tabs>
        <w:jc w:val="both"/>
      </w:pPr>
      <w:r w:rsidRPr="00A04C9D">
        <w:lastRenderedPageBreak/>
        <w:t>Pesos para sobrecarga</w:t>
      </w:r>
    </w:p>
    <w:p w:rsidR="0097155D" w:rsidRPr="00A04C9D" w:rsidRDefault="0097155D" w:rsidP="0097155D">
      <w:pPr>
        <w:numPr>
          <w:ilvl w:val="0"/>
          <w:numId w:val="8"/>
        </w:numPr>
        <w:tabs>
          <w:tab w:val="left" w:pos="3340"/>
        </w:tabs>
        <w:jc w:val="both"/>
      </w:pPr>
      <w:r w:rsidRPr="00A04C9D">
        <w:t>Máquina de compresión equipada con pistón de penetración CBR capaz de penetrar a una velocidad de 1.27 mm/min</w:t>
      </w:r>
    </w:p>
    <w:p w:rsidR="0097155D" w:rsidRPr="00A04C9D" w:rsidRDefault="0097155D" w:rsidP="0097155D">
      <w:pPr>
        <w:tabs>
          <w:tab w:val="left" w:pos="3340"/>
        </w:tabs>
        <w:jc w:val="both"/>
      </w:pPr>
    </w:p>
    <w:p w:rsidR="0097155D" w:rsidRPr="00A04C9D" w:rsidRDefault="0097155D" w:rsidP="0097155D">
      <w:pPr>
        <w:tabs>
          <w:tab w:val="left" w:pos="3340"/>
        </w:tabs>
        <w:jc w:val="both"/>
        <w:outlineLvl w:val="0"/>
        <w:rPr>
          <w:b/>
        </w:rPr>
      </w:pPr>
      <w:r w:rsidRPr="00A04C9D">
        <w:rPr>
          <w:b/>
        </w:rPr>
        <w:t>Procedimiento</w:t>
      </w:r>
    </w:p>
    <w:p w:rsidR="0097155D" w:rsidRPr="00A04C9D" w:rsidRDefault="0097155D" w:rsidP="0097155D">
      <w:pPr>
        <w:tabs>
          <w:tab w:val="left" w:pos="3340"/>
        </w:tabs>
        <w:jc w:val="both"/>
      </w:pPr>
    </w:p>
    <w:p w:rsidR="0097155D" w:rsidRPr="00A04C9D" w:rsidRDefault="0097155D" w:rsidP="0097155D">
      <w:pPr>
        <w:tabs>
          <w:tab w:val="left" w:pos="3340"/>
        </w:tabs>
        <w:jc w:val="both"/>
      </w:pPr>
      <w:r w:rsidRPr="00A04C9D">
        <w:t>Para muestras en general:</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Preparar una muestra de suelo de grano fino (en cantidad suficiente para hacer 6 probetas) menor que el tamiz # 4, al contenido de humedad óptima del suelo determinado con el ensayo de Proctor Modificado.</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 xml:space="preserve">Antes de compactar el suelo en los moldes, tomar una muestra representativa para determinar su contenido de humedad (por lo menos </w:t>
      </w:r>
      <w:smartTag w:uri="urn:schemas-microsoft-com:office:smarttags" w:element="metricconverter">
        <w:smartTagPr>
          <w:attr w:name="ProductID" w:val="100 g"/>
        </w:smartTagPr>
        <w:r w:rsidRPr="00A04C9D">
          <w:t>100 g</w:t>
        </w:r>
      </w:smartTag>
      <w:r w:rsidRPr="00A04C9D">
        <w:t xml:space="preserve"> si el suelo es de grano fino).</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Pesar los moldes sin su base ni el collar.</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Para cada molde ajustar el molde a la base, insertar el disco espaciador en el molde y cubrirlo con un disco de papel filtro.</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Fabricar 6 probetas de 5 capas cada una: 2 de 12 golpes por capa, 2 de 26 golpes por capa y 2 de 56 golpes por capa; dejar saturando una muestra de 12, de 26 y de 56 golpes por capa.</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Para cada molde retirar la base, el collar y el disco espaciador, pesar el molde con el suelo compactado y determinara el peso unitario total del suelo.</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Colocar un disco de papel filtro sobre la base, invertir la muestra y asegurar el molde a la base de forma que el suelo quede en contacto con el papel filtro.</w:t>
      </w:r>
    </w:p>
    <w:p w:rsidR="0097155D" w:rsidRPr="00A04C9D" w:rsidRDefault="0097155D" w:rsidP="0097155D">
      <w:pPr>
        <w:tabs>
          <w:tab w:val="left" w:pos="3340"/>
        </w:tabs>
        <w:jc w:val="both"/>
      </w:pPr>
    </w:p>
    <w:p w:rsidR="0097155D" w:rsidRPr="00A04C9D" w:rsidRDefault="0097155D" w:rsidP="0097155D">
      <w:pPr>
        <w:tabs>
          <w:tab w:val="left" w:pos="3340"/>
        </w:tabs>
        <w:jc w:val="both"/>
      </w:pPr>
    </w:p>
    <w:p w:rsidR="0097155D" w:rsidRPr="00A04C9D" w:rsidRDefault="0097155D" w:rsidP="0097155D">
      <w:pPr>
        <w:tabs>
          <w:tab w:val="left" w:pos="3340"/>
        </w:tabs>
        <w:jc w:val="both"/>
      </w:pPr>
      <w:r w:rsidRPr="00A04C9D">
        <w:t xml:space="preserve">Para muestras no saturadas, llevar a cabo los pasos </w:t>
      </w:r>
      <w:smartTag w:uri="urn:schemas-microsoft-com:office:smarttags" w:element="metricconverter">
        <w:smartTagPr>
          <w:attr w:name="ProductID" w:val="8 a"/>
        </w:smartTagPr>
        <w:r w:rsidRPr="00A04C9D">
          <w:t>8 a</w:t>
        </w:r>
      </w:smartTag>
      <w:r w:rsidRPr="00A04C9D">
        <w:t xml:space="preserve"> 10:</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 xml:space="preserve">Colocar suficientes pesas ranuradas (no menos de </w:t>
      </w:r>
      <w:smartTag w:uri="urn:schemas-microsoft-com:office:smarttags" w:element="metricconverter">
        <w:smartTagPr>
          <w:attr w:name="ProductID" w:val="4.5 kg"/>
        </w:smartTagPr>
        <w:r w:rsidRPr="00A04C9D">
          <w:t>4.5 kg</w:t>
        </w:r>
      </w:smartTag>
      <w:r w:rsidRPr="00A04C9D">
        <w:t>) sobre la muestra de suelo para simular la presión de sobrecarga requerida.</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 xml:space="preserve">Colocar la muestra en la máquina de compresión y sentar el pistón sobre la superficie de suelo utilizando una carga inicial no mayor de </w:t>
      </w:r>
      <w:smartTag w:uri="urn:schemas-microsoft-com:office:smarttags" w:element="metricconverter">
        <w:smartTagPr>
          <w:attr w:name="ProductID" w:val="4.5 kg"/>
        </w:smartTagPr>
        <w:r w:rsidRPr="00A04C9D">
          <w:t>4.5 kg</w:t>
        </w:r>
      </w:smartTag>
      <w:r w:rsidRPr="00A04C9D">
        <w:t>. Fijar el cero en los deformímetros de medida de carga y de penetración (o deformación).</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Hacer lecturas de deformación o penetración y tomar las respectivas lecturas del deformímetro de carga. Extruir la muestra del molde y tomar dos muestras representativas adicionales para contenido de humedad.</w:t>
      </w:r>
    </w:p>
    <w:p w:rsidR="0097155D" w:rsidRDefault="0097155D" w:rsidP="0097155D">
      <w:pPr>
        <w:tabs>
          <w:tab w:val="left" w:pos="3340"/>
        </w:tabs>
        <w:jc w:val="both"/>
      </w:pPr>
    </w:p>
    <w:p w:rsidR="0097155D" w:rsidRDefault="0097155D" w:rsidP="0097155D">
      <w:pPr>
        <w:tabs>
          <w:tab w:val="left" w:pos="3340"/>
        </w:tabs>
        <w:jc w:val="both"/>
      </w:pPr>
    </w:p>
    <w:p w:rsidR="0097155D" w:rsidRPr="00A04C9D" w:rsidRDefault="0097155D" w:rsidP="0097155D">
      <w:pPr>
        <w:tabs>
          <w:tab w:val="left" w:pos="3340"/>
        </w:tabs>
        <w:jc w:val="both"/>
      </w:pPr>
    </w:p>
    <w:p w:rsidR="0097155D" w:rsidRPr="00A04C9D" w:rsidRDefault="0097155D" w:rsidP="0097155D">
      <w:pPr>
        <w:tabs>
          <w:tab w:val="left" w:pos="3340"/>
        </w:tabs>
        <w:jc w:val="both"/>
      </w:pPr>
    </w:p>
    <w:p w:rsidR="0097155D" w:rsidRPr="00A04C9D" w:rsidRDefault="0097155D" w:rsidP="0097155D">
      <w:pPr>
        <w:tabs>
          <w:tab w:val="left" w:pos="3340"/>
        </w:tabs>
        <w:jc w:val="both"/>
      </w:pPr>
      <w:r w:rsidRPr="00A04C9D">
        <w:lastRenderedPageBreak/>
        <w:t xml:space="preserve">Para muestras saturadas, llevar a cabo los pasos </w:t>
      </w:r>
      <w:smartTag w:uri="urn:schemas-microsoft-com:office:smarttags" w:element="metricconverter">
        <w:smartTagPr>
          <w:attr w:name="ProductID" w:val="11 a"/>
        </w:smartTagPr>
        <w:r w:rsidRPr="00A04C9D">
          <w:t>11 a</w:t>
        </w:r>
      </w:smartTag>
      <w:r w:rsidRPr="00A04C9D">
        <w:t xml:space="preserve"> 17:</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 xml:space="preserve">Colocar la placa perforada con el vástago ajustable sobre el suelo compactado y aplicar suficientes pesas para obtener la sobrecarga deseada, cuidando que no sea inferior a </w:t>
      </w:r>
      <w:smartTag w:uri="urn:schemas-microsoft-com:office:smarttags" w:element="metricconverter">
        <w:smartTagPr>
          <w:attr w:name="ProductID" w:val="4.5 kg"/>
        </w:smartTagPr>
        <w:r w:rsidRPr="00A04C9D">
          <w:t>4.5 kg</w:t>
        </w:r>
      </w:smartTag>
      <w:r w:rsidRPr="00A04C9D">
        <w:t>. Asegurarse de usar un disco de papel filtro entre la base perforada del vástago y el suelo para evitar que el suelo se pegue a la base del vástago.</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 xml:space="preserve">Sumergir el molde y las pesas en un recipiente de agua de forma que el agua tenga acceso tanto a la parte superior como a la parte inferior de la muestra y ajustar el deformímetro de carátula (con lecturas al </w:t>
      </w:r>
      <w:smartTag w:uri="urn:schemas-microsoft-com:office:smarttags" w:element="metricconverter">
        <w:smartTagPr>
          <w:attr w:name="ProductID" w:val="0.01 mm"/>
        </w:smartTagPr>
        <w:r w:rsidRPr="00A04C9D">
          <w:t>0.01 mm</w:t>
        </w:r>
      </w:smartTag>
      <w:r w:rsidRPr="00A04C9D">
        <w:t>) en su respectivo soporte; marcar sobre el molde los puntos donde se apoya el soporte de forma que pueda removerse y volver a colocarlo sobre el molde en el mismo sitio cuando se desee hacer una lectura.</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Ajustar el cero del deformímetro de expansión y registrar el tiempo de comienzo del ensayo. Tomar las lecturas a 0, 1, 2, 4, 8, 12, 24, 36, 48, 72 y 96 horas de tiempo transcurrido; el ensayo de expansión puede terminarse después de 48 horas si las lecturas en el deformímetro de expansión se mantienen constantes por lo menos durante 24 horas.</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Al final de las 96 horas de inmersión, sacar la muestra y dejarla drenar por espacio de 15 min; secar completamente la superficie superior de la muestra con toallas de papel.</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Pesar la muestra sumergida incluyendo el molde.</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Realizar los pasos 8 al 10 para cada muestra.</w:t>
      </w:r>
    </w:p>
    <w:p w:rsidR="0097155D" w:rsidRPr="00A04C9D" w:rsidRDefault="0097155D" w:rsidP="0097155D">
      <w:pPr>
        <w:tabs>
          <w:tab w:val="left" w:pos="3340"/>
        </w:tabs>
        <w:jc w:val="both"/>
      </w:pPr>
    </w:p>
    <w:p w:rsidR="0097155D" w:rsidRPr="00A04C9D" w:rsidRDefault="0097155D" w:rsidP="0097155D">
      <w:pPr>
        <w:numPr>
          <w:ilvl w:val="0"/>
          <w:numId w:val="5"/>
        </w:numPr>
        <w:tabs>
          <w:tab w:val="left" w:pos="3340"/>
        </w:tabs>
        <w:jc w:val="both"/>
      </w:pPr>
      <w:r w:rsidRPr="00A04C9D">
        <w:t>Tomar muestras para contenido de humedad de las muestras saturadas de la siguiente forma:</w:t>
      </w:r>
    </w:p>
    <w:p w:rsidR="0097155D" w:rsidRPr="00A04C9D" w:rsidRDefault="0097155D" w:rsidP="0097155D">
      <w:pPr>
        <w:tabs>
          <w:tab w:val="left" w:pos="800"/>
        </w:tabs>
        <w:jc w:val="both"/>
      </w:pPr>
      <w:r w:rsidRPr="00A04C9D">
        <w:tab/>
        <w:t xml:space="preserve">2 dentro de los </w:t>
      </w:r>
      <w:smartTag w:uri="urn:schemas-microsoft-com:office:smarttags" w:element="metricconverter">
        <w:smartTagPr>
          <w:attr w:name="ProductID" w:val="3 cm"/>
        </w:smartTagPr>
        <w:r w:rsidRPr="00A04C9D">
          <w:t>3 cm</w:t>
        </w:r>
      </w:smartTag>
      <w:r w:rsidRPr="00A04C9D">
        <w:t xml:space="preserve"> superiores del suelo</w:t>
      </w:r>
    </w:p>
    <w:p w:rsidR="0097155D" w:rsidRPr="00A04C9D" w:rsidRDefault="0097155D" w:rsidP="0097155D">
      <w:pPr>
        <w:tabs>
          <w:tab w:val="left" w:pos="800"/>
        </w:tabs>
        <w:jc w:val="both"/>
      </w:pPr>
      <w:r w:rsidRPr="00A04C9D">
        <w:tab/>
        <w:t xml:space="preserve">2 dentro de los </w:t>
      </w:r>
      <w:smartTag w:uri="urn:schemas-microsoft-com:office:smarttags" w:element="metricconverter">
        <w:smartTagPr>
          <w:attr w:name="ProductID" w:val="3 cm"/>
        </w:smartTagPr>
        <w:r w:rsidRPr="00A04C9D">
          <w:t>3 cm</w:t>
        </w:r>
      </w:smartTag>
      <w:r w:rsidRPr="00A04C9D">
        <w:t xml:space="preserve"> inferiores del suelo</w:t>
      </w:r>
    </w:p>
    <w:p w:rsidR="0097155D" w:rsidRPr="00A04C9D" w:rsidRDefault="0097155D" w:rsidP="0097155D">
      <w:pPr>
        <w:tabs>
          <w:tab w:val="left" w:pos="800"/>
        </w:tabs>
        <w:jc w:val="both"/>
      </w:pPr>
      <w:r w:rsidRPr="00A04C9D">
        <w:tab/>
        <w:t>2 en el centro de la muestra de suelo.</w:t>
      </w:r>
    </w:p>
    <w:p w:rsidR="0097155D" w:rsidRPr="00A04C9D" w:rsidRDefault="0097155D" w:rsidP="0097155D">
      <w:pPr>
        <w:tabs>
          <w:tab w:val="left" w:pos="800"/>
        </w:tabs>
        <w:jc w:val="both"/>
      </w:pPr>
    </w:p>
    <w:p w:rsidR="0097155D" w:rsidRPr="00A04C9D" w:rsidRDefault="0097155D" w:rsidP="0097155D">
      <w:pPr>
        <w:tabs>
          <w:tab w:val="left" w:pos="800"/>
        </w:tabs>
        <w:jc w:val="both"/>
        <w:outlineLvl w:val="0"/>
        <w:rPr>
          <w:b/>
        </w:rPr>
      </w:pPr>
      <w:r w:rsidRPr="00A04C9D">
        <w:rPr>
          <w:b/>
        </w:rPr>
        <w:t>Cálculos</w:t>
      </w:r>
    </w:p>
    <w:p w:rsidR="0097155D" w:rsidRPr="00A04C9D" w:rsidRDefault="0097155D" w:rsidP="0097155D">
      <w:pPr>
        <w:tabs>
          <w:tab w:val="left" w:pos="800"/>
        </w:tabs>
        <w:jc w:val="both"/>
      </w:pPr>
    </w:p>
    <w:p w:rsidR="0097155D" w:rsidRPr="00A04C9D" w:rsidRDefault="0097155D" w:rsidP="0097155D">
      <w:pPr>
        <w:numPr>
          <w:ilvl w:val="0"/>
          <w:numId w:val="6"/>
        </w:numPr>
        <w:tabs>
          <w:tab w:val="left" w:pos="800"/>
        </w:tabs>
        <w:jc w:val="both"/>
      </w:pPr>
      <w:r w:rsidRPr="00A04C9D">
        <w:t>Dibujar una curva de resistencia a la penetración (en libras por pulgada cuadrada – [psi] ó  [kPa]) versus la penetración (en pulgadas ó mm) de las probetas compactadas a 12, 26 y 56 golpes/capa (Gráfico 2). En un mismo gráfico las muestras secas y en otro las muestras saturadas. Dibujar posteriormente estas curvas en un mismo gráfico con el fin de comparar las resistencias secas y saturadas.</w:t>
      </w:r>
    </w:p>
    <w:p w:rsidR="0097155D" w:rsidRPr="00A04C9D" w:rsidRDefault="0097155D" w:rsidP="0097155D">
      <w:pPr>
        <w:tabs>
          <w:tab w:val="left" w:pos="800"/>
        </w:tabs>
        <w:jc w:val="both"/>
      </w:pPr>
    </w:p>
    <w:p w:rsidR="0097155D" w:rsidRPr="00A04C9D" w:rsidRDefault="0097155D" w:rsidP="0097155D">
      <w:pPr>
        <w:numPr>
          <w:ilvl w:val="0"/>
          <w:numId w:val="6"/>
        </w:numPr>
        <w:tabs>
          <w:tab w:val="left" w:pos="800"/>
        </w:tabs>
        <w:jc w:val="both"/>
      </w:pPr>
      <w:r w:rsidRPr="00A04C9D">
        <w:t xml:space="preserve">En cada gráfico, saturado y no saturado, encontrar la resistencia a la penetración de cada una de las curvas para los valores de penetración de </w:t>
      </w:r>
      <w:smartTag w:uri="urn:schemas-microsoft-com:office:smarttags" w:element="metricconverter">
        <w:smartTagPr>
          <w:attr w:name="ProductID" w:val="0.1”"/>
        </w:smartTagPr>
        <w:r w:rsidRPr="00A04C9D">
          <w:t>0.1”</w:t>
        </w:r>
      </w:smartTag>
      <w:r w:rsidRPr="00A04C9D">
        <w:t xml:space="preserve">, </w:t>
      </w:r>
      <w:smartTag w:uri="urn:schemas-microsoft-com:office:smarttags" w:element="metricconverter">
        <w:smartTagPr>
          <w:attr w:name="ProductID" w:val="0.2”"/>
        </w:smartTagPr>
        <w:r w:rsidRPr="00A04C9D">
          <w:t>0.2”</w:t>
        </w:r>
      </w:smartTag>
      <w:r w:rsidRPr="00A04C9D">
        <w:t xml:space="preserve"> y </w:t>
      </w:r>
      <w:smartTag w:uri="urn:schemas-microsoft-com:office:smarttags" w:element="metricconverter">
        <w:smartTagPr>
          <w:attr w:name="ProductID" w:val="0.3”"/>
        </w:smartTagPr>
        <w:r w:rsidRPr="00A04C9D">
          <w:t>0.3”</w:t>
        </w:r>
      </w:smartTag>
      <w:r w:rsidRPr="00A04C9D">
        <w:t>.</w:t>
      </w:r>
    </w:p>
    <w:p w:rsidR="0097155D" w:rsidRPr="00A04C9D" w:rsidRDefault="0097155D" w:rsidP="0097155D">
      <w:pPr>
        <w:tabs>
          <w:tab w:val="left" w:pos="800"/>
        </w:tabs>
        <w:jc w:val="both"/>
      </w:pPr>
    </w:p>
    <w:p w:rsidR="0097155D" w:rsidRPr="00A04C9D" w:rsidRDefault="0097155D" w:rsidP="0097155D">
      <w:pPr>
        <w:numPr>
          <w:ilvl w:val="0"/>
          <w:numId w:val="6"/>
        </w:numPr>
        <w:tabs>
          <w:tab w:val="left" w:pos="800"/>
        </w:tabs>
        <w:jc w:val="both"/>
      </w:pPr>
      <w:r w:rsidRPr="00A04C9D">
        <w:t xml:space="preserve">Calcular el CBR según la fórmula de definición (expuesta anteriormente), considerando las cargas patrones de cada penetración (3000, 4500 y 5700 [psi] para </w:t>
      </w:r>
      <w:smartTag w:uri="urn:schemas-microsoft-com:office:smarttags" w:element="metricconverter">
        <w:smartTagPr>
          <w:attr w:name="ProductID" w:val="0.1”"/>
        </w:smartTagPr>
        <w:r w:rsidRPr="00A04C9D">
          <w:t>0.1”</w:t>
        </w:r>
      </w:smartTag>
      <w:r w:rsidRPr="00A04C9D">
        <w:t xml:space="preserve">, </w:t>
      </w:r>
      <w:smartTag w:uri="urn:schemas-microsoft-com:office:smarttags" w:element="metricconverter">
        <w:smartTagPr>
          <w:attr w:name="ProductID" w:val="0.2”"/>
        </w:smartTagPr>
        <w:r w:rsidRPr="00A04C9D">
          <w:t>0.2”</w:t>
        </w:r>
      </w:smartTag>
      <w:r w:rsidRPr="00A04C9D">
        <w:t xml:space="preserve"> y </w:t>
      </w:r>
      <w:smartTag w:uri="urn:schemas-microsoft-com:office:smarttags" w:element="metricconverter">
        <w:smartTagPr>
          <w:attr w:name="ProductID" w:val="0.3”"/>
        </w:smartTagPr>
        <w:r w:rsidRPr="00A04C9D">
          <w:t>0.3”</w:t>
        </w:r>
      </w:smartTag>
      <w:r w:rsidRPr="00A04C9D">
        <w:t xml:space="preserve"> respectivamente). Conocidas las densidades secas a las cuales cada probeta de 12, 26 y 56 goles/capa queda confeccionada, dibujar la curva CBR (%) versus densidad seca </w:t>
      </w:r>
      <w:r w:rsidRPr="00A04C9D">
        <w:lastRenderedPageBreak/>
        <w:t>(kg/cm</w:t>
      </w:r>
      <w:r w:rsidRPr="00A04C9D">
        <w:rPr>
          <w:vertAlign w:val="superscript"/>
        </w:rPr>
        <w:t>3</w:t>
      </w:r>
      <w:r w:rsidRPr="00A04C9D">
        <w:t>) (una curva para las muestras secas y otro para las muestras saturadas) para cada una de las penetraciones (Gráfico 3).</w:t>
      </w:r>
    </w:p>
    <w:p w:rsidR="0097155D" w:rsidRPr="00A04C9D" w:rsidRDefault="0097155D" w:rsidP="0097155D">
      <w:pPr>
        <w:tabs>
          <w:tab w:val="left" w:pos="800"/>
        </w:tabs>
        <w:jc w:val="both"/>
      </w:pPr>
    </w:p>
    <w:p w:rsidR="0097155D" w:rsidRPr="00A04C9D" w:rsidRDefault="0097155D" w:rsidP="0097155D">
      <w:pPr>
        <w:numPr>
          <w:ilvl w:val="0"/>
          <w:numId w:val="6"/>
        </w:numPr>
        <w:tabs>
          <w:tab w:val="left" w:pos="800"/>
        </w:tabs>
        <w:jc w:val="both"/>
      </w:pPr>
      <w:r w:rsidRPr="00A04C9D">
        <w:t>Obtener el porcentaje real de CBR a la que el suelo se encuentra mediante la intersección de la curva de densidad Proctor a los 2 [gr/cm</w:t>
      </w:r>
      <w:r w:rsidRPr="00A04C9D">
        <w:rPr>
          <w:vertAlign w:val="superscript"/>
        </w:rPr>
        <w:t>3</w:t>
      </w:r>
      <w:r w:rsidRPr="00A04C9D">
        <w:t>].</w:t>
      </w:r>
    </w:p>
    <w:p w:rsidR="0097155D" w:rsidRPr="00A04C9D" w:rsidRDefault="0097155D" w:rsidP="0097155D">
      <w:pPr>
        <w:tabs>
          <w:tab w:val="left" w:pos="800"/>
        </w:tabs>
        <w:jc w:val="both"/>
      </w:pPr>
    </w:p>
    <w:p w:rsidR="0097155D" w:rsidRPr="00A04C9D" w:rsidRDefault="0097155D" w:rsidP="0097155D">
      <w:pPr>
        <w:tabs>
          <w:tab w:val="left" w:pos="800"/>
        </w:tabs>
        <w:jc w:val="center"/>
      </w:pPr>
      <w:r>
        <w:rPr>
          <w:noProof/>
        </w:rPr>
        <w:drawing>
          <wp:inline distT="0" distB="0" distL="0" distR="0">
            <wp:extent cx="5600700" cy="3657600"/>
            <wp:effectExtent l="0" t="0" r="0" b="0"/>
            <wp:docPr id="8" name="Objeto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7155D" w:rsidRPr="00A04C9D" w:rsidRDefault="0097155D" w:rsidP="0097155D">
      <w:pPr>
        <w:tabs>
          <w:tab w:val="left" w:pos="800"/>
        </w:tabs>
        <w:jc w:val="center"/>
        <w:rPr>
          <w:b/>
          <w:u w:val="single"/>
        </w:rPr>
      </w:pPr>
      <w:r w:rsidRPr="00A04C9D">
        <w:rPr>
          <w:b/>
          <w:u w:val="single"/>
        </w:rPr>
        <w:t>Gráfico 2. Curva de resistencia a la penetración vs penetración.</w:t>
      </w:r>
    </w:p>
    <w:p w:rsidR="0097155D" w:rsidRPr="00A04C9D" w:rsidRDefault="0097155D" w:rsidP="0097155D">
      <w:pPr>
        <w:tabs>
          <w:tab w:val="left" w:pos="800"/>
        </w:tabs>
        <w:jc w:val="both"/>
      </w:pPr>
    </w:p>
    <w:p w:rsidR="0097155D" w:rsidRPr="00A04C9D" w:rsidRDefault="0097155D" w:rsidP="0097155D">
      <w:pPr>
        <w:tabs>
          <w:tab w:val="left" w:pos="800"/>
        </w:tabs>
        <w:jc w:val="both"/>
      </w:pPr>
    </w:p>
    <w:p w:rsidR="0097155D" w:rsidRPr="00A04C9D" w:rsidRDefault="0097155D" w:rsidP="0097155D">
      <w:pPr>
        <w:jc w:val="center"/>
      </w:pPr>
      <w:r>
        <w:rPr>
          <w:noProof/>
        </w:rPr>
        <w:lastRenderedPageBreak/>
        <w:drawing>
          <wp:inline distT="0" distB="0" distL="0" distR="0">
            <wp:extent cx="5610225" cy="3543300"/>
            <wp:effectExtent l="0" t="0" r="0" b="0"/>
            <wp:docPr id="9" name="Objeto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7155D" w:rsidRPr="00A04C9D" w:rsidRDefault="0097155D" w:rsidP="0097155D">
      <w:pPr>
        <w:tabs>
          <w:tab w:val="left" w:pos="800"/>
        </w:tabs>
        <w:jc w:val="center"/>
        <w:rPr>
          <w:b/>
          <w:u w:val="single"/>
        </w:rPr>
      </w:pPr>
      <w:r w:rsidRPr="00A04C9D">
        <w:rPr>
          <w:b/>
          <w:u w:val="single"/>
        </w:rPr>
        <w:t>Gráfico 3. Curva CBR vs densidad seca.</w:t>
      </w:r>
    </w:p>
    <w:p w:rsidR="0097155D" w:rsidRPr="00A04C9D" w:rsidRDefault="0097155D" w:rsidP="0097155D"/>
    <w:p w:rsidR="0097155D" w:rsidRPr="00A04C9D" w:rsidRDefault="0097155D" w:rsidP="0097155D">
      <w:pPr>
        <w:jc w:val="both"/>
      </w:pPr>
    </w:p>
    <w:p w:rsidR="0097155D" w:rsidRDefault="0097155D" w:rsidP="0097155D">
      <w:pPr>
        <w:autoSpaceDE w:val="0"/>
        <w:autoSpaceDN w:val="0"/>
        <w:adjustRightInd w:val="0"/>
        <w:rPr>
          <w:rFonts w:eastAsiaTheme="minorHAnsi"/>
          <w:b/>
          <w:bCs/>
          <w:lang w:eastAsia="en-US"/>
        </w:rPr>
      </w:pPr>
      <w:r w:rsidRPr="0097155D">
        <w:rPr>
          <w:rFonts w:eastAsiaTheme="minorHAnsi"/>
          <w:b/>
          <w:bCs/>
          <w:lang w:eastAsia="en-US"/>
        </w:rPr>
        <w:t>Preguntas</w:t>
      </w:r>
    </w:p>
    <w:p w:rsidR="0097155D" w:rsidRDefault="0097155D" w:rsidP="0097155D">
      <w:pPr>
        <w:jc w:val="both"/>
      </w:pPr>
      <w:r>
        <w:t>Estas preguntas no necesitan responderlas en el informe. Están aquí planteadas para que ustedes razonen al respecto, ya que pueden ser temas del control.</w:t>
      </w:r>
    </w:p>
    <w:p w:rsidR="0097155D" w:rsidRPr="0097155D" w:rsidRDefault="0097155D" w:rsidP="0097155D">
      <w:pPr>
        <w:autoSpaceDE w:val="0"/>
        <w:autoSpaceDN w:val="0"/>
        <w:adjustRightInd w:val="0"/>
        <w:rPr>
          <w:rFonts w:eastAsiaTheme="minorHAnsi"/>
          <w:b/>
          <w:bCs/>
          <w:lang w:eastAsia="en-US"/>
        </w:rPr>
      </w:pPr>
    </w:p>
    <w:p w:rsidR="0097155D" w:rsidRDefault="0097155D" w:rsidP="0097155D">
      <w:pPr>
        <w:autoSpaceDE w:val="0"/>
        <w:autoSpaceDN w:val="0"/>
        <w:adjustRightInd w:val="0"/>
        <w:rPr>
          <w:rFonts w:ascii="TimesNewRomanPSMT" w:eastAsiaTheme="minorHAnsi" w:hAnsi="TimesNewRomanPSMT" w:cs="TimesNewRomanPSMT"/>
          <w:lang w:eastAsia="en-US"/>
        </w:rPr>
      </w:pPr>
      <w:r w:rsidRPr="0097155D">
        <w:rPr>
          <w:rFonts w:ascii="TimesNewRomanPSMT" w:eastAsiaTheme="minorHAnsi" w:hAnsi="TimesNewRomanPSMT" w:cs="TimesNewRomanPSMT"/>
          <w:lang w:eastAsia="en-US"/>
        </w:rPr>
        <w:t>Ensayo de Compactación</w:t>
      </w:r>
    </w:p>
    <w:p w:rsidR="0097155D" w:rsidRPr="0097155D" w:rsidRDefault="0097155D" w:rsidP="0097155D">
      <w:pPr>
        <w:autoSpaceDE w:val="0"/>
        <w:autoSpaceDN w:val="0"/>
        <w:adjustRightInd w:val="0"/>
        <w:rPr>
          <w:rFonts w:ascii="TimesNewRomanPSMT" w:eastAsiaTheme="minorHAnsi" w:hAnsi="TimesNewRomanPSMT" w:cs="TimesNewRomanPSMT"/>
          <w:lang w:eastAsia="en-US"/>
        </w:rPr>
      </w:pPr>
    </w:p>
    <w:p w:rsidR="0097155D" w:rsidRPr="0097155D" w:rsidRDefault="0097155D" w:rsidP="0097155D">
      <w:pPr>
        <w:pStyle w:val="Prrafodelista"/>
        <w:numPr>
          <w:ilvl w:val="0"/>
          <w:numId w:val="10"/>
        </w:numPr>
        <w:autoSpaceDE w:val="0"/>
        <w:autoSpaceDN w:val="0"/>
        <w:adjustRightInd w:val="0"/>
        <w:jc w:val="both"/>
      </w:pPr>
      <w:r w:rsidRPr="0097155D">
        <w:t>¿De qué factores depende la eficacia de la compactación? ¿Cuáles de estos factores se</w:t>
      </w:r>
      <w:r>
        <w:t xml:space="preserve"> </w:t>
      </w:r>
      <w:r w:rsidRPr="0097155D">
        <w:t>estudian en el laboratorio mediante el ensayo de Proctor?</w:t>
      </w:r>
    </w:p>
    <w:p w:rsidR="0097155D" w:rsidRPr="0097155D" w:rsidRDefault="0097155D" w:rsidP="0097155D">
      <w:pPr>
        <w:pStyle w:val="Prrafodelista"/>
        <w:numPr>
          <w:ilvl w:val="0"/>
          <w:numId w:val="10"/>
        </w:numPr>
        <w:autoSpaceDE w:val="0"/>
        <w:autoSpaceDN w:val="0"/>
        <w:adjustRightInd w:val="0"/>
        <w:jc w:val="both"/>
      </w:pPr>
      <w:r w:rsidRPr="0097155D">
        <w:t>Una muestra de arcilla se compacta con la humedad óptima y otra muestra de la misma</w:t>
      </w:r>
      <w:r>
        <w:t xml:space="preserve"> </w:t>
      </w:r>
      <w:r w:rsidRPr="0097155D">
        <w:t>arcilla con la humedad menor a la óptima. Una vez compactadas se sumergen en agua.</w:t>
      </w:r>
      <w:r>
        <w:t xml:space="preserve"> </w:t>
      </w:r>
      <w:r w:rsidRPr="0097155D">
        <w:t>¿Cuál muestra absorberá más agua para llegar a saturarse? ¿Cuál de las dos toma más</w:t>
      </w:r>
      <w:r>
        <w:t xml:space="preserve"> </w:t>
      </w:r>
      <w:r w:rsidRPr="0097155D">
        <w:t>tiempo en saturarse?</w:t>
      </w:r>
    </w:p>
    <w:p w:rsidR="0097155D" w:rsidRPr="0097155D" w:rsidRDefault="0097155D" w:rsidP="0097155D">
      <w:pPr>
        <w:pStyle w:val="Prrafodelista"/>
        <w:numPr>
          <w:ilvl w:val="0"/>
          <w:numId w:val="10"/>
        </w:numPr>
        <w:autoSpaceDE w:val="0"/>
        <w:autoSpaceDN w:val="0"/>
        <w:adjustRightInd w:val="0"/>
        <w:jc w:val="both"/>
      </w:pPr>
      <w:r w:rsidRPr="0097155D">
        <w:t xml:space="preserve">  Ud. realiza dos ensayos Proctor en una arcilla muy plástica: uno, agregando el agua de</w:t>
      </w:r>
      <w:r>
        <w:t xml:space="preserve"> </w:t>
      </w:r>
      <w:r w:rsidRPr="0097155D">
        <w:t>compactación, mezclándola con la muestra y procediendo de inmediato a compactarla</w:t>
      </w:r>
      <w:r>
        <w:t xml:space="preserve"> </w:t>
      </w:r>
      <w:r w:rsidRPr="0097155D">
        <w:t>en el molde; el otro, dejando antes la mezcla (cubierta con un paño húmedo) reposar</w:t>
      </w:r>
      <w:r>
        <w:t xml:space="preserve"> </w:t>
      </w:r>
      <w:r w:rsidRPr="0097155D">
        <w:t>durante 24 horas. ¿Obtendría la misma curva densidad seca v/s humedad para ambos</w:t>
      </w:r>
      <w:r>
        <w:t xml:space="preserve"> </w:t>
      </w:r>
      <w:r w:rsidRPr="0097155D">
        <w:t>casos?</w:t>
      </w:r>
    </w:p>
    <w:p w:rsidR="0097155D" w:rsidRDefault="0097155D" w:rsidP="0097155D">
      <w:pPr>
        <w:pStyle w:val="Prrafodelista"/>
        <w:numPr>
          <w:ilvl w:val="0"/>
          <w:numId w:val="10"/>
        </w:numPr>
        <w:autoSpaceDE w:val="0"/>
        <w:autoSpaceDN w:val="0"/>
        <w:adjustRightInd w:val="0"/>
        <w:jc w:val="both"/>
      </w:pPr>
      <w:r w:rsidRPr="0097155D">
        <w:t xml:space="preserve"> ¿El grado de compactación de una arena, compactada en seco y en estado saturado, es</w:t>
      </w:r>
      <w:r>
        <w:t xml:space="preserve"> </w:t>
      </w:r>
      <w:r w:rsidRPr="0097155D">
        <w:t>virtualmente el mismo? Explique.</w:t>
      </w:r>
      <w:r>
        <w:t xml:space="preserve"> </w:t>
      </w:r>
    </w:p>
    <w:p w:rsidR="0097155D" w:rsidRPr="0097155D" w:rsidRDefault="0097155D" w:rsidP="0097155D">
      <w:pPr>
        <w:pStyle w:val="Prrafodelista"/>
        <w:autoSpaceDE w:val="0"/>
        <w:autoSpaceDN w:val="0"/>
        <w:adjustRightInd w:val="0"/>
        <w:ind w:left="786"/>
        <w:jc w:val="both"/>
      </w:pPr>
    </w:p>
    <w:p w:rsidR="0097155D" w:rsidRDefault="0097155D" w:rsidP="0097155D">
      <w:pPr>
        <w:autoSpaceDE w:val="0"/>
        <w:autoSpaceDN w:val="0"/>
        <w:adjustRightInd w:val="0"/>
        <w:jc w:val="both"/>
      </w:pPr>
      <w:r w:rsidRPr="0097155D">
        <w:t>Ensayo CBR</w:t>
      </w:r>
    </w:p>
    <w:p w:rsidR="0097155D" w:rsidRPr="0097155D" w:rsidRDefault="0097155D" w:rsidP="0097155D">
      <w:pPr>
        <w:autoSpaceDE w:val="0"/>
        <w:autoSpaceDN w:val="0"/>
        <w:adjustRightInd w:val="0"/>
        <w:jc w:val="both"/>
      </w:pPr>
    </w:p>
    <w:p w:rsidR="0097155D" w:rsidRPr="0097155D" w:rsidRDefault="0097155D" w:rsidP="0097155D">
      <w:pPr>
        <w:pStyle w:val="Prrafodelista"/>
        <w:numPr>
          <w:ilvl w:val="0"/>
          <w:numId w:val="10"/>
        </w:numPr>
        <w:autoSpaceDE w:val="0"/>
        <w:autoSpaceDN w:val="0"/>
        <w:adjustRightInd w:val="0"/>
        <w:jc w:val="both"/>
      </w:pPr>
      <w:r w:rsidRPr="0097155D">
        <w:t>¿Es posible obtener en terreno un CBR mayor que 100? Explique.</w:t>
      </w:r>
    </w:p>
    <w:p w:rsidR="0097155D" w:rsidRPr="0097155D" w:rsidRDefault="0097155D" w:rsidP="0097155D">
      <w:pPr>
        <w:pStyle w:val="Prrafodelista"/>
        <w:numPr>
          <w:ilvl w:val="0"/>
          <w:numId w:val="10"/>
        </w:numPr>
        <w:autoSpaceDE w:val="0"/>
        <w:autoSpaceDN w:val="0"/>
        <w:adjustRightInd w:val="0"/>
        <w:jc w:val="both"/>
      </w:pPr>
      <w:r w:rsidRPr="0097155D">
        <w:lastRenderedPageBreak/>
        <w:t xml:space="preserve">  Se desea construir un camino en Arica. ¿Recomendaría hacer un ensayo de CBR para</w:t>
      </w:r>
      <w:r>
        <w:t xml:space="preserve"> </w:t>
      </w:r>
      <w:r w:rsidRPr="0097155D">
        <w:t>condición saturada?</w:t>
      </w:r>
    </w:p>
    <w:p w:rsidR="0097155D" w:rsidRPr="0097155D" w:rsidRDefault="0097155D" w:rsidP="0097155D">
      <w:pPr>
        <w:pStyle w:val="Prrafodelista"/>
        <w:numPr>
          <w:ilvl w:val="0"/>
          <w:numId w:val="10"/>
        </w:numPr>
        <w:autoSpaceDE w:val="0"/>
        <w:autoSpaceDN w:val="0"/>
        <w:adjustRightInd w:val="0"/>
        <w:jc w:val="both"/>
      </w:pPr>
      <w:r w:rsidRPr="0097155D">
        <w:t>¿Por qué es necesario medir la expansión de la muestra saturada?</w:t>
      </w:r>
    </w:p>
    <w:p w:rsidR="0097155D" w:rsidRPr="0097155D" w:rsidRDefault="0097155D" w:rsidP="0097155D">
      <w:pPr>
        <w:pStyle w:val="Prrafodelista"/>
        <w:numPr>
          <w:ilvl w:val="0"/>
          <w:numId w:val="10"/>
        </w:numPr>
        <w:autoSpaceDE w:val="0"/>
        <w:autoSpaceDN w:val="0"/>
        <w:adjustRightInd w:val="0"/>
        <w:jc w:val="both"/>
      </w:pPr>
      <w:r w:rsidRPr="0097155D">
        <w:t>Sabiendo que un camino está compuesto por varias capas (base, sub-base, capa</w:t>
      </w:r>
    </w:p>
    <w:p w:rsidR="0097155D" w:rsidRPr="0097155D" w:rsidRDefault="0097155D" w:rsidP="0097155D">
      <w:pPr>
        <w:autoSpaceDE w:val="0"/>
        <w:autoSpaceDN w:val="0"/>
        <w:adjustRightInd w:val="0"/>
        <w:jc w:val="both"/>
      </w:pPr>
      <w:r w:rsidRPr="0097155D">
        <w:t>asfáltica, etc.) y que las tensiones verticales se disipan con la profundidad, ¿qué capas</w:t>
      </w:r>
    </w:p>
    <w:p w:rsidR="0097155D" w:rsidRPr="0097155D" w:rsidRDefault="0097155D" w:rsidP="0097155D">
      <w:pPr>
        <w:jc w:val="both"/>
        <w:outlineLvl w:val="0"/>
      </w:pPr>
      <w:r w:rsidRPr="0097155D">
        <w:t>cree Ud. (superiores o inferiores) deben tener un CBR más alto?</w:t>
      </w:r>
    </w:p>
    <w:p w:rsidR="0097155D" w:rsidRDefault="0097155D" w:rsidP="0097155D">
      <w:pPr>
        <w:jc w:val="both"/>
        <w:outlineLvl w:val="0"/>
        <w:rPr>
          <w:b/>
        </w:rPr>
      </w:pPr>
    </w:p>
    <w:p w:rsidR="0097155D" w:rsidRDefault="0097155D" w:rsidP="0097155D">
      <w:pPr>
        <w:jc w:val="both"/>
        <w:outlineLvl w:val="0"/>
        <w:rPr>
          <w:b/>
        </w:rPr>
      </w:pPr>
    </w:p>
    <w:p w:rsidR="0097155D" w:rsidRPr="00A04C9D" w:rsidRDefault="0097155D" w:rsidP="0097155D">
      <w:pPr>
        <w:jc w:val="both"/>
        <w:outlineLvl w:val="0"/>
        <w:rPr>
          <w:b/>
        </w:rPr>
      </w:pPr>
      <w:r w:rsidRPr="00A04C9D">
        <w:rPr>
          <w:b/>
        </w:rPr>
        <w:t>Bibliografía</w:t>
      </w:r>
    </w:p>
    <w:p w:rsidR="0097155D" w:rsidRPr="00A04C9D" w:rsidRDefault="0097155D" w:rsidP="0097155D">
      <w:pPr>
        <w:jc w:val="both"/>
      </w:pPr>
    </w:p>
    <w:p w:rsidR="0097155D" w:rsidRPr="00A04C9D" w:rsidRDefault="0097155D" w:rsidP="0097155D">
      <w:pPr>
        <w:numPr>
          <w:ilvl w:val="0"/>
          <w:numId w:val="3"/>
        </w:numPr>
        <w:jc w:val="both"/>
        <w:rPr>
          <w:lang w:val="en-US"/>
        </w:rPr>
      </w:pPr>
      <w:r w:rsidRPr="00A04C9D">
        <w:rPr>
          <w:lang w:val="en-US"/>
        </w:rPr>
        <w:t>Lambe, T. W. Soil Testing for Engineers, 1951, capítulo V.</w:t>
      </w:r>
      <w:r w:rsidRPr="00A04C9D">
        <w:t xml:space="preserve"> Biblioteca</w:t>
      </w:r>
      <w:r w:rsidRPr="00A04C9D">
        <w:rPr>
          <w:lang w:val="en-US"/>
        </w:rPr>
        <w:t xml:space="preserve"> IDIEM.</w:t>
      </w:r>
    </w:p>
    <w:p w:rsidR="0097155D" w:rsidRPr="00A04C9D" w:rsidRDefault="0097155D" w:rsidP="0097155D">
      <w:pPr>
        <w:jc w:val="both"/>
        <w:rPr>
          <w:lang w:val="en-US"/>
        </w:rPr>
      </w:pPr>
    </w:p>
    <w:p w:rsidR="0097155D" w:rsidRPr="00A04C9D" w:rsidRDefault="0097155D" w:rsidP="0097155D">
      <w:pPr>
        <w:numPr>
          <w:ilvl w:val="0"/>
          <w:numId w:val="3"/>
        </w:numPr>
        <w:jc w:val="both"/>
        <w:rPr>
          <w:lang w:val="en-US"/>
        </w:rPr>
      </w:pPr>
      <w:r w:rsidRPr="00A04C9D">
        <w:rPr>
          <w:lang w:val="en-US"/>
        </w:rPr>
        <w:t xml:space="preserve">Laboratory Soil Testing, Department of the Army, </w:t>
      </w:r>
      <w:smartTag w:uri="urn:schemas-microsoft-com:office:smarttags" w:element="country-region">
        <w:smartTag w:uri="urn:schemas-microsoft-com:office:smarttags" w:element="place">
          <w:r w:rsidRPr="00A04C9D">
            <w:rPr>
              <w:lang w:val="en-US"/>
            </w:rPr>
            <w:t>U.S.A.</w:t>
          </w:r>
        </w:smartTag>
      </w:smartTag>
      <w:r w:rsidRPr="00A04C9D">
        <w:rPr>
          <w:lang w:val="en-US"/>
        </w:rPr>
        <w:t>, 1965, Apéndice VI. Biblioteca IDIEM.</w:t>
      </w:r>
    </w:p>
    <w:p w:rsidR="0097155D" w:rsidRPr="00A04C9D" w:rsidRDefault="0097155D" w:rsidP="0097155D">
      <w:pPr>
        <w:jc w:val="both"/>
        <w:rPr>
          <w:lang w:val="en-US"/>
        </w:rPr>
      </w:pPr>
    </w:p>
    <w:p w:rsidR="0097155D" w:rsidRPr="00A04C9D" w:rsidRDefault="0097155D" w:rsidP="0097155D">
      <w:pPr>
        <w:numPr>
          <w:ilvl w:val="0"/>
          <w:numId w:val="3"/>
        </w:numPr>
        <w:jc w:val="both"/>
      </w:pPr>
      <w:r w:rsidRPr="00A04C9D">
        <w:rPr>
          <w:lang w:val="en-US"/>
        </w:rPr>
        <w:t xml:space="preserve">Earth Manual, Bureau of Reclamation, </w:t>
      </w:r>
      <w:smartTag w:uri="urn:schemas-microsoft-com:office:smarttags" w:element="place">
        <w:smartTag w:uri="urn:schemas-microsoft-com:office:smarttags" w:element="City">
          <w:r w:rsidRPr="00A04C9D">
            <w:rPr>
              <w:lang w:val="en-US"/>
            </w:rPr>
            <w:t>Denver</w:t>
          </w:r>
        </w:smartTag>
        <w:r w:rsidRPr="00A04C9D">
          <w:rPr>
            <w:lang w:val="en-US"/>
          </w:rPr>
          <w:t xml:space="preserve">, </w:t>
        </w:r>
        <w:smartTag w:uri="urn:schemas-microsoft-com:office:smarttags" w:element="State">
          <w:r w:rsidRPr="00A04C9D">
            <w:rPr>
              <w:lang w:val="en-US"/>
            </w:rPr>
            <w:t>Colorado</w:t>
          </w:r>
        </w:smartTag>
      </w:smartTag>
      <w:r w:rsidRPr="00A04C9D">
        <w:rPr>
          <w:lang w:val="en-US"/>
        </w:rPr>
        <w:t xml:space="preserve">, 1963. </w:t>
      </w:r>
      <w:r w:rsidRPr="00A04C9D">
        <w:t>Biblioteca Central Esc. Ingeniería, Biblioteca IDIEM.</w:t>
      </w:r>
    </w:p>
    <w:p w:rsidR="0097155D" w:rsidRPr="00A04C9D" w:rsidRDefault="0097155D" w:rsidP="0097155D">
      <w:pPr>
        <w:jc w:val="both"/>
      </w:pPr>
    </w:p>
    <w:p w:rsidR="0097155D" w:rsidRPr="00A04C9D" w:rsidRDefault="0097155D" w:rsidP="0097155D">
      <w:pPr>
        <w:numPr>
          <w:ilvl w:val="0"/>
          <w:numId w:val="3"/>
        </w:numPr>
        <w:jc w:val="both"/>
        <w:rPr>
          <w:lang w:val="en-US"/>
        </w:rPr>
      </w:pPr>
      <w:r w:rsidRPr="00A04C9D">
        <w:rPr>
          <w:lang w:val="en-US"/>
        </w:rPr>
        <w:t xml:space="preserve">Soil Mechanics Laboratory, </w:t>
      </w:r>
      <w:smartTag w:uri="urn:schemas-microsoft-com:office:smarttags" w:element="place">
        <w:smartTag w:uri="urn:schemas-microsoft-com:office:smarttags" w:element="PlaceName">
          <w:r w:rsidRPr="00A04C9D">
            <w:rPr>
              <w:lang w:val="en-US"/>
            </w:rPr>
            <w:t>Harvard</w:t>
          </w:r>
        </w:smartTag>
        <w:r w:rsidRPr="00A04C9D">
          <w:rPr>
            <w:lang w:val="en-US"/>
          </w:rPr>
          <w:t xml:space="preserve"> </w:t>
        </w:r>
        <w:smartTag w:uri="urn:schemas-microsoft-com:office:smarttags" w:element="PlaceType">
          <w:r w:rsidRPr="00A04C9D">
            <w:rPr>
              <w:lang w:val="en-US"/>
            </w:rPr>
            <w:t>University</w:t>
          </w:r>
        </w:smartTag>
      </w:smartTag>
      <w:r w:rsidRPr="00A04C9D">
        <w:rPr>
          <w:lang w:val="en-US"/>
        </w:rPr>
        <w:t>, 1965. Biblioteca IDIEM.</w:t>
      </w:r>
    </w:p>
    <w:p w:rsidR="0097155D" w:rsidRPr="00A04C9D" w:rsidRDefault="0097155D" w:rsidP="0097155D">
      <w:pPr>
        <w:jc w:val="both"/>
        <w:rPr>
          <w:lang w:val="en-US"/>
        </w:rPr>
      </w:pPr>
    </w:p>
    <w:p w:rsidR="0097155D" w:rsidRPr="00A04C9D" w:rsidRDefault="0097155D" w:rsidP="0097155D">
      <w:pPr>
        <w:numPr>
          <w:ilvl w:val="0"/>
          <w:numId w:val="3"/>
        </w:numPr>
        <w:jc w:val="both"/>
      </w:pPr>
      <w:r w:rsidRPr="00A04C9D">
        <w:t>Bowles Joseph E. Manual de Laboratorio de Suelos en Ingeniería Civil. Biblioteca IDIEM.</w:t>
      </w:r>
    </w:p>
    <w:p w:rsidR="0097155D" w:rsidRPr="00A04C9D" w:rsidRDefault="0097155D" w:rsidP="0097155D">
      <w:pPr>
        <w:jc w:val="both"/>
      </w:pPr>
    </w:p>
    <w:p w:rsidR="0097155D" w:rsidRPr="00A04C9D" w:rsidRDefault="0097155D" w:rsidP="0097155D">
      <w:pPr>
        <w:numPr>
          <w:ilvl w:val="0"/>
          <w:numId w:val="3"/>
        </w:numPr>
        <w:jc w:val="both"/>
        <w:rPr>
          <w:lang w:val="en-GB"/>
        </w:rPr>
      </w:pPr>
      <w:r w:rsidRPr="00A04C9D">
        <w:rPr>
          <w:lang w:val="en-GB"/>
        </w:rPr>
        <w:t>Kezdi; Arpad.  Soil Testing, 1980. Biblioeca IDIEM.</w:t>
      </w:r>
    </w:p>
    <w:p w:rsidR="0097155D" w:rsidRPr="0097155D" w:rsidRDefault="0097155D">
      <w:pPr>
        <w:rPr>
          <w:lang w:val="en-GB"/>
        </w:rPr>
      </w:pPr>
    </w:p>
    <w:sectPr w:rsidR="0097155D" w:rsidRPr="0097155D" w:rsidSect="0097155D">
      <w:pgSz w:w="12240" w:h="15840"/>
      <w:pgMar w:top="1276"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410E"/>
    <w:multiLevelType w:val="hybridMultilevel"/>
    <w:tmpl w:val="0D5605D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D0E105B"/>
    <w:multiLevelType w:val="hybridMultilevel"/>
    <w:tmpl w:val="7B4CB8AE"/>
    <w:lvl w:ilvl="0" w:tplc="FFFFFFFF">
      <w:start w:val="1"/>
      <w:numFmt w:val="upperRoman"/>
      <w:lvlText w:val="%1."/>
      <w:lvlJc w:val="left"/>
      <w:pPr>
        <w:tabs>
          <w:tab w:val="num" w:pos="397"/>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3380D31"/>
    <w:multiLevelType w:val="hybridMultilevel"/>
    <w:tmpl w:val="92EAA33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212B1F24"/>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252F23B3"/>
    <w:multiLevelType w:val="hybridMultilevel"/>
    <w:tmpl w:val="7278E22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25387D8F"/>
    <w:multiLevelType w:val="hybridMultilevel"/>
    <w:tmpl w:val="758CF9D2"/>
    <w:lvl w:ilvl="0" w:tplc="7830613A">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AC629E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EB17B5A"/>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36DC416F"/>
    <w:multiLevelType w:val="hybridMultilevel"/>
    <w:tmpl w:val="D7881E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ahoma"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9E71047"/>
    <w:multiLevelType w:val="hybridMultilevel"/>
    <w:tmpl w:val="6D8888B6"/>
    <w:lvl w:ilvl="0" w:tplc="340A000F">
      <w:start w:val="1"/>
      <w:numFmt w:val="decimal"/>
      <w:lvlText w:val="%1."/>
      <w:lvlJc w:val="left"/>
      <w:pPr>
        <w:ind w:left="786"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41744115"/>
    <w:multiLevelType w:val="hybridMultilevel"/>
    <w:tmpl w:val="04DE379E"/>
    <w:lvl w:ilvl="0" w:tplc="07882534">
      <w:start w:val="2"/>
      <w:numFmt w:val="upperRoman"/>
      <w:lvlText w:val="%1."/>
      <w:lvlJc w:val="left"/>
      <w:pPr>
        <w:tabs>
          <w:tab w:val="num" w:pos="757"/>
        </w:tabs>
        <w:ind w:left="700" w:hanging="34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65577C5E"/>
    <w:multiLevelType w:val="hybridMultilevel"/>
    <w:tmpl w:val="F2E6F0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66033AF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84D10C6"/>
    <w:multiLevelType w:val="hybridMultilevel"/>
    <w:tmpl w:val="5F74768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774A1381"/>
    <w:multiLevelType w:val="hybridMultilevel"/>
    <w:tmpl w:val="C0A2A39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6"/>
  </w:num>
  <w:num w:numId="2">
    <w:abstractNumId w:val="11"/>
  </w:num>
  <w:num w:numId="3">
    <w:abstractNumId w:val="12"/>
  </w:num>
  <w:num w:numId="4">
    <w:abstractNumId w:val="5"/>
  </w:num>
  <w:num w:numId="5">
    <w:abstractNumId w:val="3"/>
  </w:num>
  <w:num w:numId="6">
    <w:abstractNumId w:val="7"/>
  </w:num>
  <w:num w:numId="7">
    <w:abstractNumId w:val="1"/>
  </w:num>
  <w:num w:numId="8">
    <w:abstractNumId w:val="8"/>
  </w:num>
  <w:num w:numId="9">
    <w:abstractNumId w:val="10"/>
  </w:num>
  <w:num w:numId="10">
    <w:abstractNumId w:val="9"/>
  </w:num>
  <w:num w:numId="11">
    <w:abstractNumId w:val="4"/>
  </w:num>
  <w:num w:numId="12">
    <w:abstractNumId w:val="14"/>
  </w:num>
  <w:num w:numId="13">
    <w:abstractNumId w:val="13"/>
  </w:num>
  <w:num w:numId="14">
    <w:abstractNumId w:val="2"/>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97155D"/>
    <w:rsid w:val="00266DF2"/>
    <w:rsid w:val="00346B5F"/>
    <w:rsid w:val="0036197C"/>
    <w:rsid w:val="00362A56"/>
    <w:rsid w:val="003B0C90"/>
    <w:rsid w:val="004918E3"/>
    <w:rsid w:val="004D223D"/>
    <w:rsid w:val="00680D7D"/>
    <w:rsid w:val="006D7B7D"/>
    <w:rsid w:val="0097155D"/>
    <w:rsid w:val="00B02906"/>
    <w:rsid w:val="00E610DF"/>
    <w:rsid w:val="00E9129A"/>
    <w:rsid w:val="00FE565D"/>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55D"/>
    <w:pPr>
      <w:spacing w:after="0" w:line="240" w:lineRule="auto"/>
    </w:pPr>
    <w:rPr>
      <w:rFonts w:ascii="Times New Roman" w:eastAsia="Times New Roman" w:hAnsi="Times New Roman" w:cs="Times New Roman"/>
      <w:sz w:val="24"/>
      <w:szCs w:val="24"/>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71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97155D"/>
    <w:rPr>
      <w:rFonts w:ascii="Tahoma" w:eastAsia="Times New Roman" w:hAnsi="Tahoma" w:cs="Tahoma"/>
      <w:sz w:val="16"/>
      <w:szCs w:val="16"/>
      <w:lang w:eastAsia="es-CL"/>
    </w:rPr>
  </w:style>
  <w:style w:type="paragraph" w:styleId="Prrafodelista">
    <w:name w:val="List Paragraph"/>
    <w:basedOn w:val="Normal"/>
    <w:uiPriority w:val="34"/>
    <w:qFormat/>
    <w:rsid w:val="009715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chart" Target="charts/chart3.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3.bin"/><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sz="798" b="1" i="0" u="none" strike="noStrike" baseline="0">
                <a:solidFill>
                  <a:srgbClr val="000000"/>
                </a:solidFill>
                <a:latin typeface="Arial"/>
                <a:ea typeface="Arial"/>
                <a:cs typeface="Arial"/>
              </a:defRPr>
            </a:pPr>
            <a:r>
              <a:rPr lang="es-CL"/>
              <a:t>Ensayo de Compactación</a:t>
            </a:r>
          </a:p>
        </c:rich>
      </c:tx>
      <c:layout>
        <c:manualLayout>
          <c:xMode val="edge"/>
          <c:yMode val="edge"/>
          <c:x val="0.37865748709122216"/>
          <c:y val="2.0779220779220797E-2"/>
        </c:manualLayout>
      </c:layout>
      <c:spPr>
        <a:noFill/>
        <a:ln w="25335">
          <a:noFill/>
        </a:ln>
      </c:spPr>
    </c:title>
    <c:plotArea>
      <c:layout>
        <c:manualLayout>
          <c:layoutTarget val="inner"/>
          <c:xMode val="edge"/>
          <c:yMode val="edge"/>
          <c:x val="9.9827882960413158E-2"/>
          <c:y val="0.1480519480519481"/>
          <c:w val="0.87091222030981064"/>
          <c:h val="0.70129870129870153"/>
        </c:manualLayout>
      </c:layout>
      <c:scatterChart>
        <c:scatterStyle val="smoothMarker"/>
        <c:ser>
          <c:idx val="0"/>
          <c:order val="0"/>
          <c:spPr>
            <a:ln w="12668">
              <a:solidFill>
                <a:srgbClr val="000080"/>
              </a:solidFill>
              <a:prstDash val="solid"/>
            </a:ln>
          </c:spPr>
          <c:marker>
            <c:symbol val="diamond"/>
            <c:size val="4"/>
            <c:spPr>
              <a:solidFill>
                <a:srgbClr val="000080"/>
              </a:solidFill>
              <a:ln>
                <a:solidFill>
                  <a:srgbClr val="000080"/>
                </a:solidFill>
                <a:prstDash val="solid"/>
              </a:ln>
            </c:spPr>
          </c:marker>
          <c:xVal>
            <c:numRef>
              <c:f>Hoja1!$B$4:$B$8</c:f>
              <c:numCache>
                <c:formatCode>General</c:formatCode>
                <c:ptCount val="5"/>
                <c:pt idx="0">
                  <c:v>5</c:v>
                </c:pt>
                <c:pt idx="1">
                  <c:v>8</c:v>
                </c:pt>
                <c:pt idx="2">
                  <c:v>10</c:v>
                </c:pt>
                <c:pt idx="3">
                  <c:v>12</c:v>
                </c:pt>
                <c:pt idx="4">
                  <c:v>15</c:v>
                </c:pt>
              </c:numCache>
            </c:numRef>
          </c:xVal>
          <c:yVal>
            <c:numRef>
              <c:f>Hoja1!$D$4:$D$8</c:f>
              <c:numCache>
                <c:formatCode>General</c:formatCode>
                <c:ptCount val="5"/>
                <c:pt idx="0">
                  <c:v>1.2</c:v>
                </c:pt>
                <c:pt idx="1">
                  <c:v>1.45</c:v>
                </c:pt>
                <c:pt idx="2">
                  <c:v>1.61</c:v>
                </c:pt>
                <c:pt idx="3">
                  <c:v>1.7100000000000002</c:v>
                </c:pt>
                <c:pt idx="4">
                  <c:v>1.4</c:v>
                </c:pt>
              </c:numCache>
            </c:numRef>
          </c:yVal>
          <c:smooth val="1"/>
        </c:ser>
        <c:ser>
          <c:idx val="1"/>
          <c:order val="1"/>
          <c:spPr>
            <a:ln w="12668">
              <a:solidFill>
                <a:srgbClr val="FF00FF"/>
              </a:solidFill>
              <a:prstDash val="solid"/>
            </a:ln>
          </c:spPr>
          <c:marker>
            <c:symbol val="square"/>
            <c:size val="4"/>
            <c:spPr>
              <a:solidFill>
                <a:srgbClr val="FF00FF"/>
              </a:solidFill>
              <a:ln>
                <a:solidFill>
                  <a:srgbClr val="FF00FF"/>
                </a:solidFill>
                <a:prstDash val="solid"/>
              </a:ln>
            </c:spPr>
          </c:marker>
          <c:xVal>
            <c:numRef>
              <c:f>Hoja1!$B$4:$B$16</c:f>
              <c:numCache>
                <c:formatCode>General</c:formatCode>
                <c:ptCount val="13"/>
                <c:pt idx="0">
                  <c:v>5</c:v>
                </c:pt>
                <c:pt idx="1">
                  <c:v>8</c:v>
                </c:pt>
                <c:pt idx="2">
                  <c:v>10</c:v>
                </c:pt>
                <c:pt idx="3">
                  <c:v>12</c:v>
                </c:pt>
                <c:pt idx="4">
                  <c:v>15</c:v>
                </c:pt>
                <c:pt idx="5">
                  <c:v>17</c:v>
                </c:pt>
                <c:pt idx="6">
                  <c:v>19</c:v>
                </c:pt>
                <c:pt idx="7">
                  <c:v>21</c:v>
                </c:pt>
                <c:pt idx="8">
                  <c:v>23</c:v>
                </c:pt>
                <c:pt idx="9">
                  <c:v>25</c:v>
                </c:pt>
                <c:pt idx="10">
                  <c:v>27</c:v>
                </c:pt>
                <c:pt idx="11">
                  <c:v>29</c:v>
                </c:pt>
                <c:pt idx="12">
                  <c:v>31</c:v>
                </c:pt>
              </c:numCache>
            </c:numRef>
          </c:xVal>
          <c:yVal>
            <c:numRef>
              <c:f>Hoja1!$E$4:$E$16</c:f>
              <c:numCache>
                <c:formatCode>General</c:formatCode>
                <c:ptCount val="13"/>
                <c:pt idx="0">
                  <c:v>2.0627802690582957</c:v>
                </c:pt>
                <c:pt idx="1">
                  <c:v>1.9425675675675678</c:v>
                </c:pt>
                <c:pt idx="2">
                  <c:v>1.8699186991869918</c:v>
                </c:pt>
                <c:pt idx="3">
                  <c:v>1.8025078369905962</c:v>
                </c:pt>
                <c:pt idx="4">
                  <c:v>1.7100371747211902</c:v>
                </c:pt>
                <c:pt idx="5">
                  <c:v>1.6534867002156719</c:v>
                </c:pt>
                <c:pt idx="6">
                  <c:v>1.6005567153792624</c:v>
                </c:pt>
                <c:pt idx="7">
                  <c:v>1.5509103169251517</c:v>
                </c:pt>
                <c:pt idx="8">
                  <c:v>1.5042511445389148</c:v>
                </c:pt>
                <c:pt idx="9">
                  <c:v>1.4603174603174602</c:v>
                </c:pt>
                <c:pt idx="10">
                  <c:v>1.4188772362739048</c:v>
                </c:pt>
                <c:pt idx="11">
                  <c:v>1.3797240551889616</c:v>
                </c:pt>
                <c:pt idx="12">
                  <c:v>1.3426736719206069</c:v>
                </c:pt>
              </c:numCache>
            </c:numRef>
          </c:yVal>
          <c:smooth val="1"/>
        </c:ser>
        <c:ser>
          <c:idx val="2"/>
          <c:order val="2"/>
          <c:spPr>
            <a:ln w="12668">
              <a:solidFill>
                <a:srgbClr val="FFFF00"/>
              </a:solidFill>
              <a:prstDash val="solid"/>
            </a:ln>
          </c:spPr>
          <c:marker>
            <c:symbol val="dot"/>
            <c:size val="4"/>
            <c:spPr>
              <a:solidFill>
                <a:srgbClr val="FFFF00"/>
              </a:solidFill>
              <a:ln>
                <a:solidFill>
                  <a:srgbClr val="FFFF00"/>
                </a:solidFill>
                <a:prstDash val="solid"/>
              </a:ln>
            </c:spPr>
          </c:marker>
          <c:dPt>
            <c:idx val="1"/>
            <c:spPr>
              <a:ln w="12668">
                <a:solidFill>
                  <a:srgbClr val="00FFFF"/>
                </a:solidFill>
                <a:prstDash val="solid"/>
              </a:ln>
            </c:spPr>
          </c:dPt>
          <c:xVal>
            <c:numRef>
              <c:f>Hoja1!$G$9:$G$10</c:f>
              <c:numCache>
                <c:formatCode>General</c:formatCode>
                <c:ptCount val="2"/>
                <c:pt idx="0">
                  <c:v>0</c:v>
                </c:pt>
                <c:pt idx="1">
                  <c:v>11.6</c:v>
                </c:pt>
              </c:numCache>
            </c:numRef>
          </c:xVal>
          <c:yVal>
            <c:numRef>
              <c:f>Hoja1!$H$9:$H$10</c:f>
              <c:numCache>
                <c:formatCode>General</c:formatCode>
                <c:ptCount val="2"/>
                <c:pt idx="0">
                  <c:v>1.7200000000000002</c:v>
                </c:pt>
                <c:pt idx="1">
                  <c:v>1.7200000000000002</c:v>
                </c:pt>
              </c:numCache>
            </c:numRef>
          </c:yVal>
          <c:smooth val="1"/>
        </c:ser>
        <c:ser>
          <c:idx val="3"/>
          <c:order val="3"/>
          <c:spPr>
            <a:ln w="12668">
              <a:solidFill>
                <a:srgbClr val="00FFFF"/>
              </a:solidFill>
              <a:prstDash val="solid"/>
            </a:ln>
          </c:spPr>
          <c:marker>
            <c:symbol val="dot"/>
            <c:size val="4"/>
            <c:spPr>
              <a:noFill/>
              <a:ln>
                <a:solidFill>
                  <a:srgbClr val="00FFFF"/>
                </a:solidFill>
                <a:prstDash val="solid"/>
              </a:ln>
            </c:spPr>
          </c:marker>
          <c:xVal>
            <c:numRef>
              <c:f>Hoja1!$G$12:$G$13</c:f>
              <c:numCache>
                <c:formatCode>General</c:formatCode>
                <c:ptCount val="2"/>
                <c:pt idx="0">
                  <c:v>11.6</c:v>
                </c:pt>
                <c:pt idx="1">
                  <c:v>11.6</c:v>
                </c:pt>
              </c:numCache>
            </c:numRef>
          </c:xVal>
          <c:yVal>
            <c:numRef>
              <c:f>Hoja1!$H$12:$H$13</c:f>
              <c:numCache>
                <c:formatCode>General</c:formatCode>
                <c:ptCount val="2"/>
                <c:pt idx="0">
                  <c:v>0</c:v>
                </c:pt>
                <c:pt idx="1">
                  <c:v>1.7200000000000002</c:v>
                </c:pt>
              </c:numCache>
            </c:numRef>
          </c:yVal>
          <c:smooth val="1"/>
        </c:ser>
        <c:axId val="59337344"/>
        <c:axId val="65079168"/>
      </c:scatterChart>
      <c:valAx>
        <c:axId val="59337344"/>
        <c:scaling>
          <c:orientation val="minMax"/>
          <c:max val="20"/>
          <c:min val="4"/>
        </c:scaling>
        <c:axPos val="b"/>
        <c:title>
          <c:tx>
            <c:rich>
              <a:bodyPr/>
              <a:lstStyle/>
              <a:p>
                <a:pPr>
                  <a:defRPr sz="798" b="1" i="0" u="none" strike="noStrike" baseline="0">
                    <a:solidFill>
                      <a:srgbClr val="000000"/>
                    </a:solidFill>
                    <a:latin typeface="Arial"/>
                    <a:ea typeface="Arial"/>
                    <a:cs typeface="Arial"/>
                  </a:defRPr>
                </a:pPr>
                <a:r>
                  <a:rPr lang="es-CL"/>
                  <a:t>Contenido de humedad [%]</a:t>
                </a:r>
              </a:p>
            </c:rich>
          </c:tx>
          <c:layout>
            <c:manualLayout>
              <c:xMode val="edge"/>
              <c:yMode val="edge"/>
              <c:x val="0.40275387263339069"/>
              <c:y val="0.91688311688311708"/>
            </c:manualLayout>
          </c:layout>
          <c:spPr>
            <a:noFill/>
            <a:ln w="25335">
              <a:noFill/>
            </a:ln>
          </c:spPr>
        </c:title>
        <c:numFmt formatCode="General" sourceLinked="1"/>
        <c:tickLblPos val="nextTo"/>
        <c:spPr>
          <a:ln w="3167">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es-CL"/>
          </a:p>
        </c:txPr>
        <c:crossAx val="65079168"/>
        <c:crosses val="autoZero"/>
        <c:crossBetween val="midCat"/>
      </c:valAx>
      <c:valAx>
        <c:axId val="65079168"/>
        <c:scaling>
          <c:orientation val="minMax"/>
          <c:min val="1"/>
        </c:scaling>
        <c:axPos val="l"/>
        <c:majorGridlines>
          <c:spPr>
            <a:ln w="3167">
              <a:solidFill>
                <a:srgbClr val="000000"/>
              </a:solidFill>
              <a:prstDash val="solid"/>
            </a:ln>
          </c:spPr>
        </c:majorGridlines>
        <c:title>
          <c:tx>
            <c:rich>
              <a:bodyPr/>
              <a:lstStyle/>
              <a:p>
                <a:pPr>
                  <a:defRPr sz="798" b="1" i="0" u="none" strike="noStrike" baseline="0">
                    <a:solidFill>
                      <a:srgbClr val="000000"/>
                    </a:solidFill>
                    <a:latin typeface="Arial"/>
                    <a:ea typeface="Arial"/>
                    <a:cs typeface="Arial"/>
                  </a:defRPr>
                </a:pPr>
                <a:r>
                  <a:rPr lang="es-CL"/>
                  <a:t>Densidad Seca [t/m3]</a:t>
                </a:r>
              </a:p>
            </c:rich>
          </c:tx>
          <c:layout>
            <c:manualLayout>
              <c:xMode val="edge"/>
              <c:yMode val="edge"/>
              <c:x val="1.8932874354561112E-2"/>
              <c:y val="0.34285714285714292"/>
            </c:manualLayout>
          </c:layout>
          <c:spPr>
            <a:noFill/>
            <a:ln w="25335">
              <a:noFill/>
            </a:ln>
          </c:spPr>
        </c:title>
        <c:numFmt formatCode="General" sourceLinked="1"/>
        <c:tickLblPos val="nextTo"/>
        <c:spPr>
          <a:ln w="3167">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es-CL"/>
          </a:p>
        </c:txPr>
        <c:crossAx val="59337344"/>
        <c:crosses val="autoZero"/>
        <c:crossBetween val="midCat"/>
      </c:valAx>
      <c:spPr>
        <a:solidFill>
          <a:srgbClr val="C0C0C0"/>
        </a:solidFill>
        <a:ln w="12668">
          <a:solidFill>
            <a:srgbClr val="808080"/>
          </a:solidFill>
          <a:prstDash val="solid"/>
        </a:ln>
      </c:spPr>
    </c:plotArea>
    <c:plotVisOnly val="1"/>
    <c:dispBlanksAs val="gap"/>
  </c:chart>
  <c:spPr>
    <a:noFill/>
    <a:ln w="3167">
      <a:solidFill>
        <a:srgbClr val="000000"/>
      </a:solidFill>
      <a:prstDash val="solid"/>
    </a:ln>
  </c:spPr>
  <c:txPr>
    <a:bodyPr/>
    <a:lstStyle/>
    <a:p>
      <a:pPr>
        <a:defRPr sz="798" b="0" i="0" u="none" strike="noStrike" baseline="0">
          <a:solidFill>
            <a:srgbClr val="000000"/>
          </a:solidFill>
          <a:latin typeface="Arial"/>
          <a:ea typeface="Arial"/>
          <a:cs typeface="Arial"/>
        </a:defRPr>
      </a:pPr>
      <a:endParaRPr lang="es-CL"/>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CL"/>
  <c:chart>
    <c:plotArea>
      <c:layout>
        <c:manualLayout>
          <c:layoutTarget val="inner"/>
          <c:xMode val="edge"/>
          <c:yMode val="edge"/>
          <c:x val="0.12456747404844293"/>
          <c:y val="5.6149732620320858E-2"/>
          <c:w val="0.81660899653979291"/>
          <c:h val="0.79144385026737973"/>
        </c:manualLayout>
      </c:layout>
      <c:scatterChart>
        <c:scatterStyle val="smoothMarker"/>
        <c:ser>
          <c:idx val="0"/>
          <c:order val="0"/>
          <c:tx>
            <c:v>12 golpes/capa</c:v>
          </c:tx>
          <c:spPr>
            <a:ln w="12700">
              <a:solidFill>
                <a:srgbClr val="000080"/>
              </a:solidFill>
              <a:prstDash val="solid"/>
            </a:ln>
          </c:spPr>
          <c:marker>
            <c:symbol val="diamond"/>
            <c:size val="5"/>
            <c:spPr>
              <a:solidFill>
                <a:srgbClr val="000080"/>
              </a:solidFill>
              <a:ln>
                <a:solidFill>
                  <a:srgbClr val="000080"/>
                </a:solidFill>
                <a:prstDash val="solid"/>
              </a:ln>
            </c:spPr>
          </c:marker>
          <c:xVal>
            <c:numRef>
              <c:f>Hoja1!$B$2:$B$13</c:f>
              <c:numCache>
                <c:formatCode>0.000</c:formatCode>
                <c:ptCount val="12"/>
                <c:pt idx="0" formatCode="General">
                  <c:v>0</c:v>
                </c:pt>
                <c:pt idx="1">
                  <c:v>2.5000000000000001E-2</c:v>
                </c:pt>
                <c:pt idx="2">
                  <c:v>0.05</c:v>
                </c:pt>
                <c:pt idx="3">
                  <c:v>7.5000000000000011E-2</c:v>
                </c:pt>
                <c:pt idx="4">
                  <c:v>0.1</c:v>
                </c:pt>
                <c:pt idx="5">
                  <c:v>0.125</c:v>
                </c:pt>
                <c:pt idx="6">
                  <c:v>0.15000000000000005</c:v>
                </c:pt>
                <c:pt idx="7">
                  <c:v>0.17500000000000004</c:v>
                </c:pt>
                <c:pt idx="8">
                  <c:v>0.2</c:v>
                </c:pt>
                <c:pt idx="9">
                  <c:v>0.3000000000000001</c:v>
                </c:pt>
                <c:pt idx="10">
                  <c:v>0.4</c:v>
                </c:pt>
                <c:pt idx="11">
                  <c:v>0.5</c:v>
                </c:pt>
              </c:numCache>
            </c:numRef>
          </c:xVal>
          <c:yVal>
            <c:numRef>
              <c:f>Hoja1!$F$2:$F$13</c:f>
              <c:numCache>
                <c:formatCode>General</c:formatCode>
                <c:ptCount val="12"/>
                <c:pt idx="0">
                  <c:v>0</c:v>
                </c:pt>
                <c:pt idx="1">
                  <c:v>160</c:v>
                </c:pt>
                <c:pt idx="2">
                  <c:v>240</c:v>
                </c:pt>
                <c:pt idx="3">
                  <c:v>340</c:v>
                </c:pt>
                <c:pt idx="4">
                  <c:v>420</c:v>
                </c:pt>
                <c:pt idx="5">
                  <c:v>520</c:v>
                </c:pt>
                <c:pt idx="6">
                  <c:v>620</c:v>
                </c:pt>
                <c:pt idx="7">
                  <c:v>680</c:v>
                </c:pt>
                <c:pt idx="8">
                  <c:v>760</c:v>
                </c:pt>
                <c:pt idx="9">
                  <c:v>960</c:v>
                </c:pt>
                <c:pt idx="10">
                  <c:v>1140</c:v>
                </c:pt>
                <c:pt idx="11">
                  <c:v>1380</c:v>
                </c:pt>
              </c:numCache>
            </c:numRef>
          </c:yVal>
          <c:smooth val="1"/>
        </c:ser>
        <c:ser>
          <c:idx val="1"/>
          <c:order val="1"/>
          <c:tx>
            <c:v>26 golpes/capa</c:v>
          </c:tx>
          <c:spPr>
            <a:ln w="12700">
              <a:solidFill>
                <a:srgbClr val="FF00FF"/>
              </a:solidFill>
              <a:prstDash val="solid"/>
            </a:ln>
          </c:spPr>
          <c:marker>
            <c:symbol val="square"/>
            <c:size val="5"/>
            <c:spPr>
              <a:solidFill>
                <a:srgbClr val="FF00FF"/>
              </a:solidFill>
              <a:ln>
                <a:solidFill>
                  <a:srgbClr val="FF00FF"/>
                </a:solidFill>
                <a:prstDash val="solid"/>
              </a:ln>
            </c:spPr>
          </c:marker>
          <c:xVal>
            <c:numRef>
              <c:f>Hoja1!$B$2:$B$13</c:f>
              <c:numCache>
                <c:formatCode>0.000</c:formatCode>
                <c:ptCount val="12"/>
                <c:pt idx="0" formatCode="General">
                  <c:v>0</c:v>
                </c:pt>
                <c:pt idx="1">
                  <c:v>2.5000000000000001E-2</c:v>
                </c:pt>
                <c:pt idx="2">
                  <c:v>0.05</c:v>
                </c:pt>
                <c:pt idx="3">
                  <c:v>7.5000000000000011E-2</c:v>
                </c:pt>
                <c:pt idx="4">
                  <c:v>0.1</c:v>
                </c:pt>
                <c:pt idx="5">
                  <c:v>0.125</c:v>
                </c:pt>
                <c:pt idx="6">
                  <c:v>0.15000000000000005</c:v>
                </c:pt>
                <c:pt idx="7">
                  <c:v>0.17500000000000004</c:v>
                </c:pt>
                <c:pt idx="8">
                  <c:v>0.2</c:v>
                </c:pt>
                <c:pt idx="9">
                  <c:v>0.3000000000000001</c:v>
                </c:pt>
                <c:pt idx="10">
                  <c:v>0.4</c:v>
                </c:pt>
                <c:pt idx="11">
                  <c:v>0.5</c:v>
                </c:pt>
              </c:numCache>
            </c:numRef>
          </c:xVal>
          <c:yVal>
            <c:numRef>
              <c:f>Hoja1!$G$2:$G$13</c:f>
              <c:numCache>
                <c:formatCode>General</c:formatCode>
                <c:ptCount val="12"/>
                <c:pt idx="0">
                  <c:v>0</c:v>
                </c:pt>
                <c:pt idx="1">
                  <c:v>240</c:v>
                </c:pt>
                <c:pt idx="2">
                  <c:v>380</c:v>
                </c:pt>
                <c:pt idx="3">
                  <c:v>520</c:v>
                </c:pt>
                <c:pt idx="4">
                  <c:v>690</c:v>
                </c:pt>
                <c:pt idx="5">
                  <c:v>860</c:v>
                </c:pt>
                <c:pt idx="6">
                  <c:v>1040</c:v>
                </c:pt>
                <c:pt idx="7">
                  <c:v>1180</c:v>
                </c:pt>
                <c:pt idx="8">
                  <c:v>1300</c:v>
                </c:pt>
                <c:pt idx="9">
                  <c:v>1800</c:v>
                </c:pt>
                <c:pt idx="10">
                  <c:v>2420</c:v>
                </c:pt>
                <c:pt idx="11">
                  <c:v>3680</c:v>
                </c:pt>
              </c:numCache>
            </c:numRef>
          </c:yVal>
          <c:smooth val="1"/>
        </c:ser>
        <c:ser>
          <c:idx val="2"/>
          <c:order val="2"/>
          <c:tx>
            <c:v>56 golpes/capa</c:v>
          </c:tx>
          <c:spPr>
            <a:ln w="12700">
              <a:solidFill>
                <a:srgbClr val="FFFF00"/>
              </a:solidFill>
              <a:prstDash val="solid"/>
            </a:ln>
          </c:spPr>
          <c:marker>
            <c:symbol val="triangle"/>
            <c:size val="5"/>
            <c:spPr>
              <a:solidFill>
                <a:srgbClr val="FFFF00"/>
              </a:solidFill>
              <a:ln>
                <a:solidFill>
                  <a:srgbClr val="FFFF00"/>
                </a:solidFill>
                <a:prstDash val="solid"/>
              </a:ln>
            </c:spPr>
          </c:marker>
          <c:xVal>
            <c:numRef>
              <c:f>Hoja1!$B$2:$B$13</c:f>
              <c:numCache>
                <c:formatCode>0.000</c:formatCode>
                <c:ptCount val="12"/>
                <c:pt idx="0" formatCode="General">
                  <c:v>0</c:v>
                </c:pt>
                <c:pt idx="1">
                  <c:v>2.5000000000000001E-2</c:v>
                </c:pt>
                <c:pt idx="2">
                  <c:v>0.05</c:v>
                </c:pt>
                <c:pt idx="3">
                  <c:v>7.5000000000000011E-2</c:v>
                </c:pt>
                <c:pt idx="4">
                  <c:v>0.1</c:v>
                </c:pt>
                <c:pt idx="5">
                  <c:v>0.125</c:v>
                </c:pt>
                <c:pt idx="6">
                  <c:v>0.15000000000000005</c:v>
                </c:pt>
                <c:pt idx="7">
                  <c:v>0.17500000000000004</c:v>
                </c:pt>
                <c:pt idx="8">
                  <c:v>0.2</c:v>
                </c:pt>
                <c:pt idx="9">
                  <c:v>0.3000000000000001</c:v>
                </c:pt>
                <c:pt idx="10">
                  <c:v>0.4</c:v>
                </c:pt>
                <c:pt idx="11">
                  <c:v>0.5</c:v>
                </c:pt>
              </c:numCache>
            </c:numRef>
          </c:xVal>
          <c:yVal>
            <c:numRef>
              <c:f>Hoja1!$H$2:$H$13</c:f>
              <c:numCache>
                <c:formatCode>General</c:formatCode>
                <c:ptCount val="12"/>
                <c:pt idx="0">
                  <c:v>0</c:v>
                </c:pt>
                <c:pt idx="1">
                  <c:v>600</c:v>
                </c:pt>
                <c:pt idx="2">
                  <c:v>1200</c:v>
                </c:pt>
                <c:pt idx="3">
                  <c:v>1800</c:v>
                </c:pt>
                <c:pt idx="4">
                  <c:v>2400</c:v>
                </c:pt>
                <c:pt idx="5">
                  <c:v>3000</c:v>
                </c:pt>
                <c:pt idx="6">
                  <c:v>3500</c:v>
                </c:pt>
                <c:pt idx="7">
                  <c:v>4000</c:v>
                </c:pt>
                <c:pt idx="8">
                  <c:v>4400</c:v>
                </c:pt>
                <c:pt idx="9">
                  <c:v>6360</c:v>
                </c:pt>
                <c:pt idx="10">
                  <c:v>8400</c:v>
                </c:pt>
                <c:pt idx="11">
                  <c:v>11700</c:v>
                </c:pt>
              </c:numCache>
            </c:numRef>
          </c:yVal>
          <c:smooth val="1"/>
        </c:ser>
        <c:axId val="65835392"/>
        <c:axId val="67130112"/>
      </c:scatterChart>
      <c:valAx>
        <c:axId val="65835392"/>
        <c:scaling>
          <c:orientation val="minMax"/>
        </c:scaling>
        <c:axPos val="b"/>
        <c:title>
          <c:tx>
            <c:rich>
              <a:bodyPr/>
              <a:lstStyle/>
              <a:p>
                <a:pPr>
                  <a:defRPr sz="800" b="1" i="0" u="none" strike="noStrike" baseline="0">
                    <a:solidFill>
                      <a:srgbClr val="000000"/>
                    </a:solidFill>
                    <a:latin typeface="Arial"/>
                    <a:ea typeface="Arial"/>
                    <a:cs typeface="Arial"/>
                  </a:defRPr>
                </a:pPr>
                <a:r>
                  <a:rPr lang="es-CL"/>
                  <a:t>Penetración [pulgadas]</a:t>
                </a:r>
              </a:p>
            </c:rich>
          </c:tx>
          <c:layout>
            <c:manualLayout>
              <c:xMode val="edge"/>
              <c:yMode val="edge"/>
              <c:x val="0.41868512110726652"/>
              <c:y val="0.91711229946524031"/>
            </c:manualLayout>
          </c:layout>
          <c:spPr>
            <a:noFill/>
            <a:ln w="25400">
              <a:noFill/>
            </a:ln>
          </c:spPr>
        </c:title>
        <c:numFmt formatCode="0.00" sourceLinked="0"/>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s-CL"/>
          </a:p>
        </c:txPr>
        <c:crossAx val="67130112"/>
        <c:crosses val="autoZero"/>
        <c:crossBetween val="midCat"/>
      </c:valAx>
      <c:valAx>
        <c:axId val="67130112"/>
        <c:scaling>
          <c:orientation val="minMax"/>
        </c:scaling>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rPr lang="es-CL"/>
                  <a:t>Carga [psi]</a:t>
                </a:r>
              </a:p>
            </c:rich>
          </c:tx>
          <c:layout>
            <c:manualLayout>
              <c:xMode val="edge"/>
              <c:yMode val="edge"/>
              <c:x val="1.7301038062283745E-2"/>
              <c:y val="0.36363636363636376"/>
            </c:manualLayout>
          </c:layout>
          <c:spPr>
            <a:noFill/>
            <a:ln w="25400">
              <a:noFill/>
            </a:ln>
          </c:spPr>
        </c:title>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s-CL"/>
          </a:p>
        </c:txPr>
        <c:crossAx val="65835392"/>
        <c:crosses val="autoZero"/>
        <c:crossBetween val="midCat"/>
      </c:valAx>
      <c:spPr>
        <a:solidFill>
          <a:srgbClr val="C0C0C0"/>
        </a:solidFill>
        <a:ln w="12700">
          <a:solidFill>
            <a:srgbClr val="808080"/>
          </a:solidFill>
          <a:prstDash val="solid"/>
        </a:ln>
      </c:spPr>
    </c:plotArea>
    <c:legend>
      <c:legendPos val="r"/>
      <c:layout>
        <c:manualLayout>
          <c:xMode val="edge"/>
          <c:yMode val="edge"/>
          <c:x val="0.17474048442906587"/>
          <c:y val="9.6256684491978578E-2"/>
          <c:w val="0.26989619377162632"/>
          <c:h val="0.23796791443850271"/>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s-CL"/>
        </a:p>
      </c:txPr>
    </c:legend>
    <c:plotVisOnly val="1"/>
    <c:dispBlanksAs val="gap"/>
  </c:chart>
  <c:spPr>
    <a:no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s-CL"/>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sz="800" b="1" i="0" u="none" strike="noStrike" baseline="0">
                <a:solidFill>
                  <a:srgbClr val="000000"/>
                </a:solidFill>
                <a:latin typeface="Arial"/>
                <a:ea typeface="Arial"/>
                <a:cs typeface="Arial"/>
              </a:defRPr>
            </a:pPr>
            <a:r>
              <a:rPr lang="es-CL"/>
              <a:t>CBR v/s Densidad Seca
a 0,1" de penetración</a:t>
            </a:r>
          </a:p>
        </c:rich>
      </c:tx>
      <c:layout>
        <c:manualLayout>
          <c:xMode val="edge"/>
          <c:yMode val="edge"/>
          <c:x val="0.38860103626943016"/>
          <c:y val="1.9337016574585635E-2"/>
        </c:manualLayout>
      </c:layout>
      <c:spPr>
        <a:noFill/>
        <a:ln w="25399">
          <a:noFill/>
        </a:ln>
      </c:spPr>
    </c:title>
    <c:plotArea>
      <c:layout>
        <c:manualLayout>
          <c:layoutTarget val="inner"/>
          <c:xMode val="edge"/>
          <c:yMode val="edge"/>
          <c:x val="8.462867012089817E-2"/>
          <c:y val="0.19613259668508287"/>
          <c:w val="0.8791018998272887"/>
          <c:h val="0.6602209944751386"/>
        </c:manualLayout>
      </c:layout>
      <c:scatterChart>
        <c:scatterStyle val="lineMarker"/>
        <c:ser>
          <c:idx val="0"/>
          <c:order val="0"/>
          <c:spPr>
            <a:ln w="12699">
              <a:solidFill>
                <a:srgbClr val="000080"/>
              </a:solidFill>
              <a:prstDash val="solid"/>
            </a:ln>
          </c:spPr>
          <c:marker>
            <c:symbol val="diamond"/>
            <c:size val="4"/>
            <c:spPr>
              <a:solidFill>
                <a:srgbClr val="000080"/>
              </a:solidFill>
              <a:ln>
                <a:solidFill>
                  <a:srgbClr val="000080"/>
                </a:solidFill>
                <a:prstDash val="solid"/>
              </a:ln>
            </c:spPr>
          </c:marker>
          <c:xVal>
            <c:numRef>
              <c:f>Hoja1!$E$20:$E$22</c:f>
              <c:numCache>
                <c:formatCode>General</c:formatCode>
                <c:ptCount val="3"/>
                <c:pt idx="0">
                  <c:v>2.2135625524848335</c:v>
                </c:pt>
                <c:pt idx="1">
                  <c:v>2.2349999999999999</c:v>
                </c:pt>
                <c:pt idx="2">
                  <c:v>2.4085561901879942</c:v>
                </c:pt>
              </c:numCache>
            </c:numRef>
          </c:xVal>
          <c:yVal>
            <c:numRef>
              <c:f>Hoja1!$F$20:$F$22</c:f>
              <c:numCache>
                <c:formatCode>General</c:formatCode>
                <c:ptCount val="3"/>
                <c:pt idx="0">
                  <c:v>14.000000000000002</c:v>
                </c:pt>
                <c:pt idx="1">
                  <c:v>23</c:v>
                </c:pt>
                <c:pt idx="2">
                  <c:v>80</c:v>
                </c:pt>
              </c:numCache>
            </c:numRef>
          </c:yVal>
        </c:ser>
        <c:axId val="67535616"/>
        <c:axId val="68091904"/>
      </c:scatterChart>
      <c:valAx>
        <c:axId val="67535616"/>
        <c:scaling>
          <c:orientation val="minMax"/>
        </c:scaling>
        <c:axPos val="b"/>
        <c:title>
          <c:tx>
            <c:rich>
              <a:bodyPr/>
              <a:lstStyle/>
              <a:p>
                <a:pPr>
                  <a:defRPr sz="575" b="1" i="0" u="none" strike="noStrike" baseline="0">
                    <a:solidFill>
                      <a:srgbClr val="000000"/>
                    </a:solidFill>
                    <a:latin typeface="Arial"/>
                    <a:ea typeface="Arial"/>
                    <a:cs typeface="Arial"/>
                  </a:defRPr>
                </a:pPr>
                <a:r>
                  <a:rPr lang="es-CL"/>
                  <a:t>densidad seca [g/cm3]</a:t>
                </a:r>
              </a:p>
            </c:rich>
          </c:tx>
          <c:layout>
            <c:manualLayout>
              <c:xMode val="edge"/>
              <c:yMode val="edge"/>
              <c:x val="0.42832469775474996"/>
              <c:y val="0.92817679558011068"/>
            </c:manualLayout>
          </c:layout>
          <c:spPr>
            <a:noFill/>
            <a:ln w="25399">
              <a:noFill/>
            </a:ln>
          </c:spPr>
        </c:title>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s-CL"/>
          </a:p>
        </c:txPr>
        <c:crossAx val="68091904"/>
        <c:crosses val="autoZero"/>
        <c:crossBetween val="midCat"/>
      </c:valAx>
      <c:valAx>
        <c:axId val="68091904"/>
        <c:scaling>
          <c:orientation val="minMax"/>
        </c:scaling>
        <c:axPos val="l"/>
        <c:majorGridlines>
          <c:spPr>
            <a:ln w="3175">
              <a:solidFill>
                <a:srgbClr val="000000"/>
              </a:solidFill>
              <a:prstDash val="solid"/>
            </a:ln>
          </c:spPr>
        </c:majorGridlines>
        <c:title>
          <c:tx>
            <c:rich>
              <a:bodyPr/>
              <a:lstStyle/>
              <a:p>
                <a:pPr>
                  <a:defRPr sz="575" b="1" i="0" u="none" strike="noStrike" baseline="0">
                    <a:solidFill>
                      <a:srgbClr val="000000"/>
                    </a:solidFill>
                    <a:latin typeface="Arial"/>
                    <a:ea typeface="Arial"/>
                    <a:cs typeface="Arial"/>
                  </a:defRPr>
                </a:pPr>
                <a:r>
                  <a:rPr lang="es-CL"/>
                  <a:t>CBR [%]</a:t>
                </a:r>
              </a:p>
            </c:rich>
          </c:tx>
          <c:layout>
            <c:manualLayout>
              <c:xMode val="edge"/>
              <c:yMode val="edge"/>
              <c:x val="1.8998272884283247E-2"/>
              <c:y val="0.46408839779005551"/>
            </c:manualLayout>
          </c:layout>
          <c:spPr>
            <a:noFill/>
            <a:ln w="25399">
              <a:noFill/>
            </a:ln>
          </c:spPr>
        </c:title>
        <c:numFmt formatCode="General" sourceLinked="1"/>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s-CL"/>
          </a:p>
        </c:txPr>
        <c:crossAx val="67535616"/>
        <c:crosses val="autoZero"/>
        <c:crossBetween val="midCat"/>
      </c:valAx>
      <c:spPr>
        <a:solidFill>
          <a:srgbClr val="C0C0C0"/>
        </a:solidFill>
        <a:ln w="12699">
          <a:solidFill>
            <a:srgbClr val="808080"/>
          </a:solidFill>
          <a:prstDash val="solid"/>
        </a:ln>
      </c:spPr>
    </c:plotArea>
    <c:plotVisOnly val="1"/>
    <c:dispBlanksAs val="gap"/>
  </c:chart>
  <c:spPr>
    <a:no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s-CL"/>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11</Pages>
  <Words>3012</Words>
  <Characters>16566</Characters>
  <Application>Microsoft Office Word</Application>
  <DocSecurity>0</DocSecurity>
  <Lines>138</Lines>
  <Paragraphs>39</Paragraphs>
  <ScaleCrop>false</ScaleCrop>
  <Company/>
  <LinksUpToDate>false</LinksUpToDate>
  <CharactersWithSpaces>19539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2011-12-17T13:37:00Z</dcterms:created>
  <dcterms:modified xsi:type="dcterms:W3CDTF">2011-12-17T13:59:00Z</dcterms:modified>
</cp:coreProperties>
</file>