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89" w:rsidRPr="00135E24" w:rsidRDefault="00C15089" w:rsidP="00BA5180">
      <w:pPr>
        <w:jc w:val="center"/>
        <w:rPr>
          <w:rFonts w:cstheme="minorHAnsi"/>
          <w:sz w:val="32"/>
          <w:szCs w:val="32"/>
          <w:lang w:val="es-CL"/>
        </w:rPr>
      </w:pPr>
      <w:bookmarkStart w:id="0" w:name="_GoBack"/>
      <w:bookmarkEnd w:id="0"/>
    </w:p>
    <w:p w:rsidR="003D7F01" w:rsidRPr="00135E24" w:rsidRDefault="00FF4FDC" w:rsidP="00BA5180">
      <w:pPr>
        <w:jc w:val="center"/>
        <w:rPr>
          <w:rFonts w:cstheme="minorHAnsi"/>
          <w:b/>
          <w:sz w:val="32"/>
          <w:szCs w:val="32"/>
          <w:lang w:val="es-CL"/>
        </w:rPr>
      </w:pPr>
      <w:r w:rsidRPr="00135E24">
        <w:rPr>
          <w:rFonts w:cstheme="minorHAnsi"/>
          <w:b/>
          <w:sz w:val="32"/>
          <w:szCs w:val="32"/>
          <w:lang w:val="es-CL"/>
        </w:rPr>
        <w:t xml:space="preserve">Plan </w:t>
      </w:r>
      <w:r w:rsidR="003D7F01" w:rsidRPr="00135E24">
        <w:rPr>
          <w:rFonts w:cstheme="minorHAnsi"/>
          <w:b/>
          <w:sz w:val="32"/>
          <w:szCs w:val="32"/>
          <w:lang w:val="es-CL"/>
        </w:rPr>
        <w:t xml:space="preserve">de </w:t>
      </w:r>
      <w:r w:rsidR="00C2157D" w:rsidRPr="00135E24">
        <w:rPr>
          <w:rFonts w:cstheme="minorHAnsi"/>
          <w:b/>
          <w:sz w:val="32"/>
          <w:szCs w:val="32"/>
          <w:lang w:val="es-CL"/>
        </w:rPr>
        <w:t>P</w:t>
      </w:r>
      <w:r w:rsidR="003D7F01" w:rsidRPr="00135E24">
        <w:rPr>
          <w:rFonts w:cstheme="minorHAnsi"/>
          <w:b/>
          <w:sz w:val="32"/>
          <w:szCs w:val="32"/>
          <w:lang w:val="es-CL"/>
        </w:rPr>
        <w:t xml:space="preserve">rotección del </w:t>
      </w:r>
      <w:r w:rsidR="00C2157D" w:rsidRPr="00135E24">
        <w:rPr>
          <w:rFonts w:cstheme="minorHAnsi"/>
          <w:b/>
          <w:sz w:val="32"/>
          <w:szCs w:val="32"/>
          <w:lang w:val="es-CL"/>
        </w:rPr>
        <w:t>E</w:t>
      </w:r>
      <w:r w:rsidR="003D7F01" w:rsidRPr="00135E24">
        <w:rPr>
          <w:rFonts w:cstheme="minorHAnsi"/>
          <w:b/>
          <w:sz w:val="32"/>
          <w:szCs w:val="32"/>
          <w:lang w:val="es-CL"/>
        </w:rPr>
        <w:t>mpleo</w:t>
      </w:r>
      <w:r w:rsidR="006531AB" w:rsidRPr="00135E24">
        <w:rPr>
          <w:rFonts w:cstheme="minorHAnsi"/>
          <w:b/>
          <w:sz w:val="32"/>
          <w:szCs w:val="32"/>
          <w:lang w:val="es-CL"/>
        </w:rPr>
        <w:t xml:space="preserve"> y Recuperación Económica</w:t>
      </w:r>
    </w:p>
    <w:p w:rsidR="00BA5180" w:rsidRPr="00135E24" w:rsidRDefault="00BA5180" w:rsidP="00BA5180">
      <w:pPr>
        <w:jc w:val="center"/>
        <w:rPr>
          <w:rFonts w:cstheme="minorHAnsi"/>
          <w:sz w:val="32"/>
          <w:szCs w:val="32"/>
          <w:lang w:val="es-CL"/>
        </w:rPr>
      </w:pPr>
      <w:r w:rsidRPr="00135E24">
        <w:rPr>
          <w:rFonts w:cstheme="minorHAnsi"/>
          <w:sz w:val="32"/>
          <w:szCs w:val="32"/>
          <w:lang w:val="es-CL"/>
        </w:rPr>
        <w:t>2 de diciembre de 2019</w:t>
      </w:r>
    </w:p>
    <w:p w:rsidR="00840BBC" w:rsidRPr="00135E24" w:rsidRDefault="00840BBC" w:rsidP="00840BBC">
      <w:pPr>
        <w:jc w:val="both"/>
        <w:rPr>
          <w:rFonts w:cstheme="minorHAnsi"/>
          <w:sz w:val="32"/>
          <w:szCs w:val="32"/>
          <w:lang w:val="es-CL"/>
        </w:rPr>
      </w:pPr>
    </w:p>
    <w:p w:rsidR="0023731E" w:rsidRPr="00135E24" w:rsidRDefault="00840BBC" w:rsidP="00846726">
      <w:pPr>
        <w:pStyle w:val="Prrafodelista"/>
        <w:numPr>
          <w:ilvl w:val="0"/>
          <w:numId w:val="1"/>
        </w:numPr>
        <w:jc w:val="both"/>
        <w:rPr>
          <w:rFonts w:cstheme="minorHAnsi"/>
          <w:sz w:val="32"/>
          <w:szCs w:val="32"/>
          <w:u w:val="single"/>
          <w:lang w:val="es-CL"/>
        </w:rPr>
      </w:pPr>
      <w:r w:rsidRPr="00135E24">
        <w:rPr>
          <w:rFonts w:cstheme="minorHAnsi"/>
          <w:sz w:val="32"/>
          <w:szCs w:val="32"/>
          <w:u w:val="single"/>
          <w:lang w:val="es-CL"/>
        </w:rPr>
        <w:t>La Agenda en el actual contexto económico</w:t>
      </w:r>
      <w:r w:rsidR="00913A57" w:rsidRPr="00135E24">
        <w:rPr>
          <w:rFonts w:cstheme="minorHAnsi"/>
          <w:sz w:val="32"/>
          <w:szCs w:val="32"/>
          <w:lang w:val="es-CL"/>
        </w:rPr>
        <w:t xml:space="preserve">: </w:t>
      </w:r>
    </w:p>
    <w:p w:rsidR="0023731E" w:rsidRPr="00135E24" w:rsidRDefault="0023731E" w:rsidP="0023731E">
      <w:pPr>
        <w:pStyle w:val="Prrafodelista"/>
        <w:jc w:val="both"/>
        <w:rPr>
          <w:rFonts w:cstheme="minorHAnsi"/>
          <w:sz w:val="32"/>
          <w:szCs w:val="32"/>
          <w:u w:val="single"/>
          <w:lang w:val="es-CL"/>
        </w:rPr>
      </w:pPr>
    </w:p>
    <w:p w:rsidR="00C30A59" w:rsidRPr="00135E24" w:rsidRDefault="00C30A59" w:rsidP="0023731E">
      <w:pPr>
        <w:pStyle w:val="Prrafodelista"/>
        <w:jc w:val="both"/>
        <w:rPr>
          <w:rFonts w:cstheme="minorHAnsi"/>
          <w:sz w:val="32"/>
          <w:szCs w:val="32"/>
          <w:lang w:val="es-CL"/>
        </w:rPr>
      </w:pPr>
      <w:r w:rsidRPr="00135E24">
        <w:rPr>
          <w:rFonts w:cstheme="minorHAnsi"/>
          <w:sz w:val="32"/>
          <w:szCs w:val="32"/>
          <w:lang w:val="es-CL"/>
        </w:rPr>
        <w:t xml:space="preserve">- </w:t>
      </w:r>
      <w:r w:rsidR="00105478" w:rsidRPr="00135E24">
        <w:rPr>
          <w:rFonts w:cstheme="minorHAnsi"/>
          <w:sz w:val="32"/>
          <w:szCs w:val="32"/>
          <w:lang w:val="es-CL"/>
        </w:rPr>
        <w:t>Con la nueva información disponible, las proyecciones de crecimiento económico para el cierre de este año y el próximo</w:t>
      </w:r>
      <w:r w:rsidR="00840BBC" w:rsidRPr="00135E24">
        <w:rPr>
          <w:rFonts w:cstheme="minorHAnsi"/>
          <w:sz w:val="32"/>
          <w:szCs w:val="32"/>
          <w:lang w:val="es-CL"/>
        </w:rPr>
        <w:t xml:space="preserve"> se corrigen significativamente a la baja</w:t>
      </w:r>
      <w:r w:rsidR="00105478" w:rsidRPr="00135E24">
        <w:rPr>
          <w:rFonts w:cstheme="minorHAnsi"/>
          <w:sz w:val="32"/>
          <w:szCs w:val="32"/>
          <w:lang w:val="es-CL"/>
        </w:rPr>
        <w:t>.</w:t>
      </w:r>
      <w:r w:rsidRPr="00135E24">
        <w:rPr>
          <w:rFonts w:cstheme="minorHAnsi"/>
          <w:sz w:val="32"/>
          <w:szCs w:val="32"/>
          <w:lang w:val="es-CL"/>
        </w:rPr>
        <w:t xml:space="preserve"> </w:t>
      </w:r>
    </w:p>
    <w:p w:rsidR="00C30A59" w:rsidRPr="00135E24" w:rsidRDefault="00C30A59" w:rsidP="0023731E">
      <w:pPr>
        <w:pStyle w:val="Prrafodelista"/>
        <w:jc w:val="both"/>
        <w:rPr>
          <w:rFonts w:cstheme="minorHAnsi"/>
          <w:sz w:val="32"/>
          <w:szCs w:val="32"/>
          <w:lang w:val="es-CL"/>
        </w:rPr>
      </w:pPr>
      <w:r w:rsidRPr="00135E24">
        <w:rPr>
          <w:rFonts w:cstheme="minorHAnsi"/>
          <w:sz w:val="32"/>
          <w:szCs w:val="32"/>
          <w:lang w:val="es-CL"/>
        </w:rPr>
        <w:t>-</w:t>
      </w:r>
      <w:r w:rsidR="00105478" w:rsidRPr="00135E24">
        <w:rPr>
          <w:rFonts w:cstheme="minorHAnsi"/>
          <w:sz w:val="32"/>
          <w:szCs w:val="32"/>
          <w:lang w:val="es-CL"/>
        </w:rPr>
        <w:t xml:space="preserve"> </w:t>
      </w:r>
      <w:r w:rsidR="00241872" w:rsidRPr="00135E24">
        <w:rPr>
          <w:rFonts w:cstheme="minorHAnsi"/>
          <w:sz w:val="32"/>
          <w:szCs w:val="32"/>
          <w:lang w:val="es-CL"/>
        </w:rPr>
        <w:t>E</w:t>
      </w:r>
      <w:r w:rsidR="00913A57" w:rsidRPr="00135E24">
        <w:rPr>
          <w:rFonts w:cstheme="minorHAnsi"/>
          <w:sz w:val="32"/>
          <w:szCs w:val="32"/>
          <w:lang w:val="es-CL"/>
        </w:rPr>
        <w:t xml:space="preserve">l IMACEC de octubre reveló que el impacto de los eventos recientes ocurridos en el país </w:t>
      </w:r>
      <w:r w:rsidR="008A218D" w:rsidRPr="00135E24">
        <w:rPr>
          <w:rFonts w:cstheme="minorHAnsi"/>
          <w:sz w:val="32"/>
          <w:szCs w:val="32"/>
          <w:lang w:val="es-CL"/>
        </w:rPr>
        <w:t>está siendo</w:t>
      </w:r>
      <w:r w:rsidR="00913A57" w:rsidRPr="00135E24">
        <w:rPr>
          <w:rFonts w:cstheme="minorHAnsi"/>
          <w:sz w:val="32"/>
          <w:szCs w:val="32"/>
          <w:lang w:val="es-CL"/>
        </w:rPr>
        <w:t xml:space="preserve"> mucho mayor a lo previsto.</w:t>
      </w:r>
    </w:p>
    <w:p w:rsidR="00C30A59" w:rsidRPr="00135E24" w:rsidRDefault="00C30A59" w:rsidP="0023731E">
      <w:pPr>
        <w:pStyle w:val="Prrafodelista"/>
        <w:jc w:val="both"/>
        <w:rPr>
          <w:rFonts w:cstheme="minorHAnsi"/>
          <w:sz w:val="32"/>
          <w:szCs w:val="32"/>
          <w:lang w:val="es-CL"/>
        </w:rPr>
      </w:pPr>
      <w:r w:rsidRPr="00135E24">
        <w:rPr>
          <w:rFonts w:cstheme="minorHAnsi"/>
          <w:sz w:val="32"/>
          <w:szCs w:val="32"/>
          <w:lang w:val="es-CL"/>
        </w:rPr>
        <w:t>-</w:t>
      </w:r>
      <w:r w:rsidR="00913A57" w:rsidRPr="00135E24">
        <w:rPr>
          <w:rFonts w:cstheme="minorHAnsi"/>
          <w:sz w:val="32"/>
          <w:szCs w:val="32"/>
          <w:lang w:val="es-CL"/>
        </w:rPr>
        <w:t xml:space="preserve"> La actividad económica registró una contracción compatible solo con años de crisis económicas que ha</w:t>
      </w:r>
      <w:r w:rsidR="0067684B" w:rsidRPr="00135E24">
        <w:rPr>
          <w:rFonts w:cstheme="minorHAnsi"/>
          <w:sz w:val="32"/>
          <w:szCs w:val="32"/>
          <w:lang w:val="es-CL"/>
        </w:rPr>
        <w:t>n terminado en recesión</w:t>
      </w:r>
      <w:r w:rsidR="001C2D47" w:rsidRPr="00135E24">
        <w:rPr>
          <w:rFonts w:cstheme="minorHAnsi"/>
          <w:sz w:val="32"/>
          <w:szCs w:val="32"/>
          <w:lang w:val="es-CL"/>
        </w:rPr>
        <w:t xml:space="preserve">. </w:t>
      </w:r>
    </w:p>
    <w:p w:rsidR="0067684B" w:rsidRPr="00135E24" w:rsidRDefault="00C30A59" w:rsidP="0023731E">
      <w:pPr>
        <w:pStyle w:val="Prrafodelista"/>
        <w:jc w:val="both"/>
        <w:rPr>
          <w:rFonts w:cstheme="minorHAnsi"/>
          <w:sz w:val="32"/>
          <w:szCs w:val="32"/>
          <w:u w:val="single"/>
          <w:lang w:val="es-CL"/>
        </w:rPr>
      </w:pPr>
      <w:r w:rsidRPr="00135E24">
        <w:rPr>
          <w:rFonts w:cstheme="minorHAnsi"/>
          <w:sz w:val="32"/>
          <w:szCs w:val="32"/>
          <w:lang w:val="es-CL"/>
        </w:rPr>
        <w:t xml:space="preserve">- </w:t>
      </w:r>
      <w:r w:rsidR="0067684B" w:rsidRPr="00135E24">
        <w:rPr>
          <w:rFonts w:cstheme="minorHAnsi"/>
          <w:sz w:val="32"/>
          <w:szCs w:val="32"/>
          <w:lang w:val="es-CL"/>
        </w:rPr>
        <w:t xml:space="preserve">Si bien las cifras de desempleo aún no reflejan la mayor debilidad de la economía, cabe recordar que, durante la última recesión del año 2009, la tasa de desempleo superó 11%, por lo que </w:t>
      </w:r>
      <w:r w:rsidR="00283643" w:rsidRPr="00135E24">
        <w:rPr>
          <w:rFonts w:cstheme="minorHAnsi"/>
          <w:sz w:val="32"/>
          <w:szCs w:val="32"/>
          <w:lang w:val="es-CL"/>
        </w:rPr>
        <w:t>es necesario</w:t>
      </w:r>
      <w:r w:rsidR="0067684B" w:rsidRPr="00135E24">
        <w:rPr>
          <w:rFonts w:cstheme="minorHAnsi"/>
          <w:sz w:val="32"/>
          <w:szCs w:val="32"/>
          <w:lang w:val="es-CL"/>
        </w:rPr>
        <w:t xml:space="preserve"> actuar </w:t>
      </w:r>
      <w:r w:rsidR="009E1611" w:rsidRPr="00135E24">
        <w:rPr>
          <w:rFonts w:cstheme="minorHAnsi"/>
          <w:sz w:val="32"/>
          <w:szCs w:val="32"/>
          <w:lang w:val="es-CL"/>
        </w:rPr>
        <w:t xml:space="preserve">con </w:t>
      </w:r>
      <w:r w:rsidR="00283643" w:rsidRPr="00135E24">
        <w:rPr>
          <w:rFonts w:cstheme="minorHAnsi"/>
          <w:sz w:val="32"/>
          <w:szCs w:val="32"/>
          <w:lang w:val="es-CL"/>
        </w:rPr>
        <w:t>sentido de urgencia</w:t>
      </w:r>
      <w:r w:rsidR="0067684B" w:rsidRPr="00135E24">
        <w:rPr>
          <w:rFonts w:cstheme="minorHAnsi"/>
          <w:sz w:val="32"/>
          <w:szCs w:val="32"/>
          <w:lang w:val="es-CL"/>
        </w:rPr>
        <w:t xml:space="preserve"> para atenuar los efectos negativos de este </w:t>
      </w:r>
      <w:r w:rsidR="00283643" w:rsidRPr="00135E24">
        <w:rPr>
          <w:rFonts w:cstheme="minorHAnsi"/>
          <w:sz w:val="32"/>
          <w:szCs w:val="32"/>
          <w:lang w:val="es-CL"/>
        </w:rPr>
        <w:t>shock</w:t>
      </w:r>
      <w:r w:rsidR="0067684B" w:rsidRPr="00135E24">
        <w:rPr>
          <w:rFonts w:cstheme="minorHAnsi"/>
          <w:sz w:val="32"/>
          <w:szCs w:val="32"/>
          <w:lang w:val="es-CL"/>
        </w:rPr>
        <w:t xml:space="preserve"> sobre</w:t>
      </w:r>
      <w:r w:rsidR="009E1611" w:rsidRPr="00135E24">
        <w:rPr>
          <w:rFonts w:cstheme="minorHAnsi"/>
          <w:sz w:val="32"/>
          <w:szCs w:val="32"/>
          <w:lang w:val="es-CL"/>
        </w:rPr>
        <w:t xml:space="preserve"> el empleo y</w:t>
      </w:r>
      <w:r w:rsidR="0067684B" w:rsidRPr="00135E24">
        <w:rPr>
          <w:rFonts w:cstheme="minorHAnsi"/>
          <w:sz w:val="32"/>
          <w:szCs w:val="32"/>
          <w:lang w:val="es-CL"/>
        </w:rPr>
        <w:t xml:space="preserve"> las familias, especialmente las más vulnerables.  </w:t>
      </w:r>
    </w:p>
    <w:p w:rsidR="00C30A59" w:rsidRPr="00135E24" w:rsidRDefault="00C30A59" w:rsidP="00105478">
      <w:pPr>
        <w:pStyle w:val="Prrafodelista"/>
        <w:jc w:val="both"/>
        <w:rPr>
          <w:rFonts w:cstheme="minorHAnsi"/>
          <w:sz w:val="32"/>
          <w:szCs w:val="32"/>
          <w:lang w:val="es-CL"/>
        </w:rPr>
      </w:pPr>
      <w:r w:rsidRPr="00135E24">
        <w:rPr>
          <w:rFonts w:cstheme="minorHAnsi"/>
          <w:sz w:val="32"/>
          <w:szCs w:val="32"/>
          <w:lang w:val="es-CL"/>
        </w:rPr>
        <w:t xml:space="preserve">- </w:t>
      </w:r>
      <w:r w:rsidR="00913A57" w:rsidRPr="00135E24">
        <w:rPr>
          <w:rFonts w:cstheme="minorHAnsi"/>
          <w:sz w:val="32"/>
          <w:szCs w:val="32"/>
          <w:lang w:val="es-CL"/>
        </w:rPr>
        <w:t xml:space="preserve">Si a </w:t>
      </w:r>
      <w:r w:rsidR="0067684B" w:rsidRPr="00135E24">
        <w:rPr>
          <w:rFonts w:cstheme="minorHAnsi"/>
          <w:sz w:val="32"/>
          <w:szCs w:val="32"/>
          <w:lang w:val="es-CL"/>
        </w:rPr>
        <w:t>lo anterior</w:t>
      </w:r>
      <w:r w:rsidR="00913A57" w:rsidRPr="00135E24">
        <w:rPr>
          <w:rFonts w:cstheme="minorHAnsi"/>
          <w:sz w:val="32"/>
          <w:szCs w:val="32"/>
          <w:lang w:val="es-CL"/>
        </w:rPr>
        <w:t xml:space="preserve"> se suma el significativo deterioro de las expectativas de los agentes, </w:t>
      </w:r>
      <w:r w:rsidRPr="00135E24">
        <w:rPr>
          <w:rFonts w:cstheme="minorHAnsi"/>
          <w:sz w:val="32"/>
          <w:szCs w:val="32"/>
          <w:lang w:val="es-CL"/>
        </w:rPr>
        <w:t xml:space="preserve">las </w:t>
      </w:r>
      <w:r w:rsidR="00105478" w:rsidRPr="00135E24">
        <w:rPr>
          <w:rFonts w:cstheme="minorHAnsi"/>
          <w:sz w:val="32"/>
          <w:szCs w:val="32"/>
          <w:lang w:val="es-CL"/>
        </w:rPr>
        <w:t xml:space="preserve">condiciones financieras más restrictivas, </w:t>
      </w:r>
      <w:r w:rsidR="00913A57" w:rsidRPr="00135E24">
        <w:rPr>
          <w:rFonts w:cstheme="minorHAnsi"/>
          <w:sz w:val="32"/>
          <w:szCs w:val="32"/>
          <w:lang w:val="es-CL"/>
        </w:rPr>
        <w:t>e</w:t>
      </w:r>
      <w:r w:rsidR="008A218D" w:rsidRPr="00135E24">
        <w:rPr>
          <w:rFonts w:cstheme="minorHAnsi"/>
          <w:sz w:val="32"/>
          <w:szCs w:val="32"/>
          <w:lang w:val="es-CL"/>
        </w:rPr>
        <w:t>l aumento del riesgo en diversas industrias</w:t>
      </w:r>
      <w:r w:rsidR="006C571D" w:rsidRPr="00135E24">
        <w:rPr>
          <w:rFonts w:cstheme="minorHAnsi"/>
          <w:sz w:val="32"/>
          <w:szCs w:val="32"/>
          <w:lang w:val="es-CL"/>
        </w:rPr>
        <w:t>, la incertidumbre en varios planos, e</w:t>
      </w:r>
      <w:r w:rsidR="00A23337" w:rsidRPr="00135E24">
        <w:rPr>
          <w:rFonts w:cstheme="minorHAnsi"/>
          <w:sz w:val="32"/>
          <w:szCs w:val="32"/>
          <w:lang w:val="es-CL"/>
        </w:rPr>
        <w:t>l vandalismo</w:t>
      </w:r>
      <w:r w:rsidR="006C571D" w:rsidRPr="00135E24">
        <w:rPr>
          <w:rFonts w:cstheme="minorHAnsi"/>
          <w:sz w:val="32"/>
          <w:szCs w:val="32"/>
          <w:lang w:val="es-CL"/>
        </w:rPr>
        <w:t>,</w:t>
      </w:r>
      <w:r w:rsidR="00A23337" w:rsidRPr="00135E24">
        <w:rPr>
          <w:rFonts w:cstheme="minorHAnsi"/>
          <w:sz w:val="32"/>
          <w:szCs w:val="32"/>
          <w:lang w:val="es-CL"/>
        </w:rPr>
        <w:t xml:space="preserve"> y </w:t>
      </w:r>
      <w:r w:rsidR="006C571D" w:rsidRPr="00135E24">
        <w:rPr>
          <w:rFonts w:cstheme="minorHAnsi"/>
          <w:sz w:val="32"/>
          <w:szCs w:val="32"/>
          <w:lang w:val="es-CL"/>
        </w:rPr>
        <w:t xml:space="preserve">la </w:t>
      </w:r>
      <w:r w:rsidR="00A23337" w:rsidRPr="00135E24">
        <w:rPr>
          <w:rFonts w:cstheme="minorHAnsi"/>
          <w:sz w:val="32"/>
          <w:szCs w:val="32"/>
          <w:lang w:val="es-CL"/>
        </w:rPr>
        <w:t>violencia que ha afectado y compromete las perspectivas de actividad</w:t>
      </w:r>
      <w:r w:rsidR="00913A57" w:rsidRPr="00135E24">
        <w:rPr>
          <w:rFonts w:cstheme="minorHAnsi"/>
          <w:sz w:val="32"/>
          <w:szCs w:val="32"/>
          <w:lang w:val="es-CL"/>
        </w:rPr>
        <w:t>, el resultado es un ajuste</w:t>
      </w:r>
      <w:r w:rsidR="008A218D" w:rsidRPr="00135E24">
        <w:rPr>
          <w:rFonts w:cstheme="minorHAnsi"/>
          <w:sz w:val="32"/>
          <w:szCs w:val="32"/>
          <w:lang w:val="es-CL"/>
        </w:rPr>
        <w:t xml:space="preserve"> relevante</w:t>
      </w:r>
      <w:r w:rsidR="00913A57" w:rsidRPr="00135E24">
        <w:rPr>
          <w:rFonts w:cstheme="minorHAnsi"/>
          <w:sz w:val="32"/>
          <w:szCs w:val="32"/>
          <w:lang w:val="es-CL"/>
        </w:rPr>
        <w:t xml:space="preserve"> a la baja en las estimaciones de crecimiento para este año y el próximo. </w:t>
      </w:r>
    </w:p>
    <w:p w:rsidR="00DE58DD" w:rsidRPr="00135E24" w:rsidRDefault="00C30A59" w:rsidP="00105478">
      <w:pPr>
        <w:pStyle w:val="Prrafodelista"/>
        <w:jc w:val="both"/>
        <w:rPr>
          <w:rFonts w:cstheme="minorHAnsi"/>
          <w:sz w:val="32"/>
          <w:szCs w:val="32"/>
          <w:lang w:val="es-CL"/>
        </w:rPr>
      </w:pPr>
      <w:r w:rsidRPr="00135E24">
        <w:rPr>
          <w:rFonts w:cstheme="minorHAnsi"/>
          <w:sz w:val="32"/>
          <w:szCs w:val="32"/>
          <w:lang w:val="es-CL"/>
        </w:rPr>
        <w:t xml:space="preserve">- </w:t>
      </w:r>
      <w:r w:rsidR="00105478" w:rsidRPr="00135E24">
        <w:rPr>
          <w:rFonts w:cstheme="minorHAnsi"/>
          <w:sz w:val="32"/>
          <w:szCs w:val="32"/>
          <w:lang w:val="es-CL"/>
        </w:rPr>
        <w:t>E</w:t>
      </w:r>
      <w:r w:rsidR="001C2D47" w:rsidRPr="00135E24">
        <w:rPr>
          <w:rFonts w:cstheme="minorHAnsi"/>
          <w:sz w:val="32"/>
          <w:szCs w:val="32"/>
          <w:lang w:val="es-CL"/>
        </w:rPr>
        <w:t xml:space="preserve">n efecto, </w:t>
      </w:r>
      <w:r w:rsidR="00105478" w:rsidRPr="00135E24">
        <w:rPr>
          <w:rFonts w:cstheme="minorHAnsi"/>
          <w:sz w:val="32"/>
          <w:szCs w:val="32"/>
          <w:lang w:val="es-CL"/>
        </w:rPr>
        <w:t>el escenario que sustenta las proyecciones fiscales presentadas más adelante, considera que la economía crecerá 1,4% este año y entre 1,0% y 1,5% (centrado en 1,3%) en 2020.</w:t>
      </w:r>
    </w:p>
    <w:p w:rsidR="00F46ABD" w:rsidRPr="00135E24" w:rsidRDefault="00C30A59" w:rsidP="00105478">
      <w:pPr>
        <w:pStyle w:val="Prrafodelista"/>
        <w:jc w:val="both"/>
        <w:rPr>
          <w:rFonts w:cstheme="minorHAnsi"/>
          <w:sz w:val="32"/>
          <w:szCs w:val="32"/>
          <w:lang w:val="es-CL"/>
        </w:rPr>
      </w:pPr>
      <w:r w:rsidRPr="00135E24">
        <w:rPr>
          <w:rFonts w:cstheme="minorHAnsi"/>
          <w:sz w:val="32"/>
          <w:szCs w:val="32"/>
          <w:lang w:val="es-CL"/>
        </w:rPr>
        <w:t xml:space="preserve">- </w:t>
      </w:r>
      <w:r w:rsidR="00840BBC" w:rsidRPr="00135E24">
        <w:rPr>
          <w:rFonts w:cstheme="minorHAnsi"/>
          <w:sz w:val="32"/>
          <w:szCs w:val="32"/>
          <w:lang w:val="es-CL"/>
        </w:rPr>
        <w:t xml:space="preserve">En este contexto, el </w:t>
      </w:r>
      <w:r w:rsidR="00DF088B" w:rsidRPr="00135E24">
        <w:rPr>
          <w:rFonts w:cstheme="minorHAnsi"/>
          <w:sz w:val="32"/>
          <w:szCs w:val="32"/>
          <w:lang w:val="es-CL"/>
        </w:rPr>
        <w:t>G</w:t>
      </w:r>
      <w:r w:rsidR="00840BBC" w:rsidRPr="00135E24">
        <w:rPr>
          <w:rFonts w:cstheme="minorHAnsi"/>
          <w:sz w:val="32"/>
          <w:szCs w:val="32"/>
          <w:lang w:val="es-CL"/>
        </w:rPr>
        <w:t xml:space="preserve">obierno considera prioritario implementar una agenda que, en primer lugar, permita proteger los miles de </w:t>
      </w:r>
      <w:r w:rsidR="00840BBC" w:rsidRPr="00135E24">
        <w:rPr>
          <w:rFonts w:cstheme="minorHAnsi"/>
          <w:sz w:val="32"/>
          <w:szCs w:val="32"/>
          <w:lang w:val="es-CL"/>
        </w:rPr>
        <w:lastRenderedPageBreak/>
        <w:t>empleos que est</w:t>
      </w:r>
      <w:r w:rsidR="00F249CC" w:rsidRPr="00135E24">
        <w:rPr>
          <w:rFonts w:cstheme="minorHAnsi"/>
          <w:sz w:val="32"/>
          <w:szCs w:val="32"/>
          <w:lang w:val="es-CL"/>
        </w:rPr>
        <w:t xml:space="preserve">án en riesgo, como consecuencia de la situación que atraviesa el país. </w:t>
      </w:r>
    </w:p>
    <w:p w:rsidR="00F46ABD" w:rsidRPr="00135E24" w:rsidRDefault="00F46ABD" w:rsidP="00105478">
      <w:pPr>
        <w:pStyle w:val="Prrafodelista"/>
        <w:jc w:val="both"/>
        <w:rPr>
          <w:rFonts w:cstheme="minorHAnsi"/>
          <w:sz w:val="32"/>
          <w:szCs w:val="32"/>
          <w:lang w:val="es-CL"/>
        </w:rPr>
      </w:pPr>
      <w:r w:rsidRPr="00135E24">
        <w:rPr>
          <w:rFonts w:cstheme="minorHAnsi"/>
          <w:sz w:val="32"/>
          <w:szCs w:val="32"/>
          <w:lang w:val="es-CL"/>
        </w:rPr>
        <w:t xml:space="preserve">- </w:t>
      </w:r>
      <w:r w:rsidR="00F249CC" w:rsidRPr="00135E24">
        <w:rPr>
          <w:rFonts w:cstheme="minorHAnsi"/>
          <w:sz w:val="32"/>
          <w:szCs w:val="32"/>
          <w:lang w:val="es-CL"/>
        </w:rPr>
        <w:t>E</w:t>
      </w:r>
      <w:r w:rsidR="00C2157D" w:rsidRPr="00135E24">
        <w:rPr>
          <w:rFonts w:cstheme="minorHAnsi"/>
          <w:sz w:val="32"/>
          <w:szCs w:val="32"/>
          <w:lang w:val="es-CL"/>
        </w:rPr>
        <w:t xml:space="preserve">l </w:t>
      </w:r>
      <w:r w:rsidR="005F1738" w:rsidRPr="00135E24">
        <w:rPr>
          <w:rFonts w:cstheme="minorHAnsi"/>
          <w:b/>
          <w:sz w:val="32"/>
          <w:szCs w:val="32"/>
          <w:lang w:val="es-CL"/>
        </w:rPr>
        <w:t>Plan de Protección del Empleo y Recuperación Económica</w:t>
      </w:r>
      <w:r w:rsidR="005F1738" w:rsidRPr="00135E24">
        <w:rPr>
          <w:rFonts w:cstheme="minorHAnsi"/>
          <w:sz w:val="32"/>
          <w:szCs w:val="32"/>
          <w:lang w:val="es-CL"/>
        </w:rPr>
        <w:t xml:space="preserve"> </w:t>
      </w:r>
      <w:r w:rsidR="00C2157D" w:rsidRPr="00135E24">
        <w:rPr>
          <w:rFonts w:cstheme="minorHAnsi"/>
          <w:sz w:val="32"/>
          <w:szCs w:val="32"/>
          <w:lang w:val="es-CL"/>
        </w:rPr>
        <w:t xml:space="preserve">consiste en una </w:t>
      </w:r>
      <w:r w:rsidR="00F249CC" w:rsidRPr="00135E24">
        <w:rPr>
          <w:rFonts w:cstheme="minorHAnsi"/>
          <w:sz w:val="32"/>
          <w:szCs w:val="32"/>
          <w:lang w:val="es-CL"/>
        </w:rPr>
        <w:t xml:space="preserve">agenda </w:t>
      </w:r>
      <w:r w:rsidR="00C2157D" w:rsidRPr="00135E24">
        <w:rPr>
          <w:rFonts w:cstheme="minorHAnsi"/>
          <w:sz w:val="32"/>
          <w:szCs w:val="32"/>
          <w:lang w:val="es-CL"/>
        </w:rPr>
        <w:t xml:space="preserve">que </w:t>
      </w:r>
      <w:r w:rsidR="00F249CC" w:rsidRPr="00135E24">
        <w:rPr>
          <w:rFonts w:cstheme="minorHAnsi"/>
          <w:sz w:val="32"/>
          <w:szCs w:val="32"/>
          <w:lang w:val="es-CL"/>
        </w:rPr>
        <w:t>incorpora iniciativas</w:t>
      </w:r>
      <w:r w:rsidR="00840BBC" w:rsidRPr="00135E24">
        <w:rPr>
          <w:rFonts w:cstheme="minorHAnsi"/>
          <w:sz w:val="32"/>
          <w:szCs w:val="32"/>
          <w:lang w:val="es-CL"/>
        </w:rPr>
        <w:t xml:space="preserve"> directas que fortalecen los mecanismos de protección </w:t>
      </w:r>
      <w:r w:rsidR="00F249CC" w:rsidRPr="00135E24">
        <w:rPr>
          <w:rFonts w:cstheme="minorHAnsi"/>
          <w:sz w:val="32"/>
          <w:szCs w:val="32"/>
          <w:lang w:val="es-CL"/>
        </w:rPr>
        <w:t xml:space="preserve">disponibles para quienes pierden su trabajo; medidas que apuntan a reducir la probabilidad de perder el empleo y un aumento relevante de la inversión pública, </w:t>
      </w:r>
      <w:r w:rsidR="00581A96" w:rsidRPr="00135E24">
        <w:rPr>
          <w:rFonts w:cstheme="minorHAnsi"/>
          <w:sz w:val="32"/>
          <w:szCs w:val="32"/>
          <w:lang w:val="es-CL"/>
        </w:rPr>
        <w:t>la cual</w:t>
      </w:r>
      <w:r w:rsidR="00BF0597" w:rsidRPr="00135E24">
        <w:rPr>
          <w:rFonts w:cstheme="minorHAnsi"/>
          <w:sz w:val="32"/>
          <w:szCs w:val="32"/>
          <w:lang w:val="es-CL"/>
        </w:rPr>
        <w:t>,</w:t>
      </w:r>
      <w:r w:rsidR="00F249CC" w:rsidRPr="00135E24">
        <w:rPr>
          <w:rFonts w:cstheme="minorHAnsi"/>
          <w:sz w:val="32"/>
          <w:szCs w:val="32"/>
          <w:lang w:val="es-CL"/>
        </w:rPr>
        <w:t xml:space="preserve"> junto con permitir la reconstrucción del país, apoyará la reactivación económica</w:t>
      </w:r>
      <w:r w:rsidR="003352B8" w:rsidRPr="00135E24">
        <w:rPr>
          <w:rFonts w:cstheme="minorHAnsi"/>
          <w:sz w:val="32"/>
          <w:szCs w:val="32"/>
          <w:lang w:val="es-CL"/>
        </w:rPr>
        <w:t xml:space="preserve">, </w:t>
      </w:r>
      <w:r w:rsidR="00F249CC" w:rsidRPr="00135E24">
        <w:rPr>
          <w:rFonts w:cstheme="minorHAnsi"/>
          <w:sz w:val="32"/>
          <w:szCs w:val="32"/>
          <w:lang w:val="es-CL"/>
        </w:rPr>
        <w:t xml:space="preserve">con fuerte énfasis en la creación de puestos de trabajo. </w:t>
      </w:r>
    </w:p>
    <w:p w:rsidR="00840BBC" w:rsidRPr="00135E24" w:rsidRDefault="00F46ABD" w:rsidP="00105478">
      <w:pPr>
        <w:pStyle w:val="Prrafodelista"/>
        <w:jc w:val="both"/>
        <w:rPr>
          <w:rFonts w:cstheme="minorHAnsi"/>
          <w:sz w:val="32"/>
          <w:szCs w:val="32"/>
          <w:lang w:val="es-CL"/>
        </w:rPr>
      </w:pPr>
      <w:r w:rsidRPr="00135E24">
        <w:rPr>
          <w:rFonts w:cstheme="minorHAnsi"/>
          <w:sz w:val="32"/>
          <w:szCs w:val="32"/>
          <w:lang w:val="es-CL"/>
        </w:rPr>
        <w:t xml:space="preserve">- </w:t>
      </w:r>
      <w:r w:rsidR="00BF0597" w:rsidRPr="00135E24">
        <w:rPr>
          <w:rFonts w:cstheme="minorHAnsi"/>
          <w:sz w:val="32"/>
          <w:szCs w:val="32"/>
          <w:lang w:val="es-CL"/>
        </w:rPr>
        <w:t xml:space="preserve">Adicionalmente, considerando el </w:t>
      </w:r>
      <w:r w:rsidR="003352B8" w:rsidRPr="00135E24">
        <w:rPr>
          <w:rFonts w:cstheme="minorHAnsi"/>
          <w:sz w:val="32"/>
          <w:szCs w:val="32"/>
          <w:lang w:val="es-CL"/>
        </w:rPr>
        <w:t>significativo</w:t>
      </w:r>
      <w:r w:rsidR="00BF0597" w:rsidRPr="00135E24">
        <w:rPr>
          <w:rFonts w:cstheme="minorHAnsi"/>
          <w:sz w:val="32"/>
          <w:szCs w:val="32"/>
          <w:lang w:val="es-CL"/>
        </w:rPr>
        <w:t xml:space="preserve"> </w:t>
      </w:r>
      <w:r w:rsidR="003352B8" w:rsidRPr="00135E24">
        <w:rPr>
          <w:rFonts w:cstheme="minorHAnsi"/>
          <w:sz w:val="32"/>
          <w:szCs w:val="32"/>
          <w:lang w:val="es-CL"/>
        </w:rPr>
        <w:t>daño</w:t>
      </w:r>
      <w:r w:rsidR="00BF0597" w:rsidRPr="00135E24">
        <w:rPr>
          <w:rFonts w:cstheme="minorHAnsi"/>
          <w:sz w:val="32"/>
          <w:szCs w:val="32"/>
          <w:lang w:val="es-CL"/>
        </w:rPr>
        <w:t xml:space="preserve"> que han </w:t>
      </w:r>
      <w:r w:rsidR="003352B8" w:rsidRPr="00135E24">
        <w:rPr>
          <w:rFonts w:cstheme="minorHAnsi"/>
          <w:sz w:val="32"/>
          <w:szCs w:val="32"/>
          <w:lang w:val="es-CL"/>
        </w:rPr>
        <w:t>sufrido</w:t>
      </w:r>
      <w:r w:rsidR="00BF0597" w:rsidRPr="00135E24">
        <w:rPr>
          <w:rFonts w:cstheme="minorHAnsi"/>
          <w:sz w:val="32"/>
          <w:szCs w:val="32"/>
          <w:lang w:val="es-CL"/>
        </w:rPr>
        <w:t xml:space="preserve"> las empresas de menor tamaño, la agenda considera medidas en directo beneficio de ellas, tanto en materia de liquidez, incluyendo un mecanismo para acelerar los pagos del Estado, como diversas facilidades para el acceso al cr</w:t>
      </w:r>
      <w:r w:rsidR="00581A96" w:rsidRPr="00135E24">
        <w:rPr>
          <w:rFonts w:cstheme="minorHAnsi"/>
          <w:sz w:val="32"/>
          <w:szCs w:val="32"/>
          <w:lang w:val="es-CL"/>
        </w:rPr>
        <w:t>édito y recursos</w:t>
      </w:r>
      <w:r w:rsidR="003352B8" w:rsidRPr="00135E24">
        <w:rPr>
          <w:rFonts w:cstheme="minorHAnsi"/>
          <w:sz w:val="32"/>
          <w:szCs w:val="32"/>
          <w:lang w:val="es-CL"/>
        </w:rPr>
        <w:t xml:space="preserve">. </w:t>
      </w:r>
    </w:p>
    <w:p w:rsidR="00FF4FDC" w:rsidRPr="00135E24" w:rsidRDefault="00FF4FDC" w:rsidP="00105478">
      <w:pPr>
        <w:pStyle w:val="Prrafodelista"/>
        <w:jc w:val="both"/>
        <w:rPr>
          <w:rFonts w:cstheme="minorHAnsi"/>
          <w:sz w:val="32"/>
          <w:szCs w:val="32"/>
          <w:lang w:val="es-CL"/>
        </w:rPr>
      </w:pPr>
      <w:r w:rsidRPr="00135E24">
        <w:rPr>
          <w:rFonts w:cstheme="minorHAnsi"/>
          <w:sz w:val="32"/>
          <w:szCs w:val="32"/>
          <w:lang w:val="es-CL"/>
        </w:rPr>
        <w:t xml:space="preserve">- En resumen, los focos de esta agenda </w:t>
      </w:r>
      <w:r w:rsidR="00673901" w:rsidRPr="00135E24">
        <w:rPr>
          <w:rFonts w:cstheme="minorHAnsi"/>
          <w:sz w:val="32"/>
          <w:szCs w:val="32"/>
          <w:lang w:val="es-CL"/>
        </w:rPr>
        <w:t xml:space="preserve">son la </w:t>
      </w:r>
      <w:r w:rsidRPr="00135E24">
        <w:rPr>
          <w:rFonts w:cstheme="minorHAnsi"/>
          <w:sz w:val="32"/>
          <w:szCs w:val="32"/>
          <w:lang w:val="es-CL"/>
        </w:rPr>
        <w:t xml:space="preserve">protección del empleo, </w:t>
      </w:r>
      <w:r w:rsidR="00673901" w:rsidRPr="00135E24">
        <w:rPr>
          <w:rFonts w:cstheme="minorHAnsi"/>
          <w:sz w:val="32"/>
          <w:szCs w:val="32"/>
          <w:lang w:val="es-CL"/>
        </w:rPr>
        <w:t xml:space="preserve">la </w:t>
      </w:r>
      <w:r w:rsidRPr="00135E24">
        <w:rPr>
          <w:rFonts w:cstheme="minorHAnsi"/>
          <w:sz w:val="32"/>
          <w:szCs w:val="32"/>
          <w:lang w:val="es-CL"/>
        </w:rPr>
        <w:t xml:space="preserve">reactivación económica, </w:t>
      </w:r>
      <w:r w:rsidR="00673901" w:rsidRPr="00135E24">
        <w:rPr>
          <w:rFonts w:cstheme="minorHAnsi"/>
          <w:sz w:val="32"/>
          <w:szCs w:val="32"/>
          <w:lang w:val="es-CL"/>
        </w:rPr>
        <w:t xml:space="preserve">la </w:t>
      </w:r>
      <w:r w:rsidRPr="00135E24">
        <w:rPr>
          <w:rFonts w:cstheme="minorHAnsi"/>
          <w:sz w:val="32"/>
          <w:szCs w:val="32"/>
          <w:lang w:val="es-CL"/>
        </w:rPr>
        <w:t xml:space="preserve">reconstrucción y </w:t>
      </w:r>
      <w:r w:rsidR="00673901" w:rsidRPr="00135E24">
        <w:rPr>
          <w:rFonts w:cstheme="minorHAnsi"/>
          <w:sz w:val="32"/>
          <w:szCs w:val="32"/>
          <w:lang w:val="es-CL"/>
        </w:rPr>
        <w:t xml:space="preserve">el </w:t>
      </w:r>
      <w:r w:rsidRPr="00135E24">
        <w:rPr>
          <w:rFonts w:cstheme="minorHAnsi"/>
          <w:sz w:val="32"/>
          <w:szCs w:val="32"/>
          <w:lang w:val="es-CL"/>
        </w:rPr>
        <w:t xml:space="preserve">apoyo a las </w:t>
      </w:r>
      <w:proofErr w:type="spellStart"/>
      <w:r w:rsidRPr="00135E24">
        <w:rPr>
          <w:rFonts w:cstheme="minorHAnsi"/>
          <w:sz w:val="32"/>
          <w:szCs w:val="32"/>
          <w:lang w:val="es-CL"/>
        </w:rPr>
        <w:t>Mi</w:t>
      </w:r>
      <w:r w:rsidR="001753DD" w:rsidRPr="00135E24">
        <w:rPr>
          <w:rFonts w:cstheme="minorHAnsi"/>
          <w:sz w:val="32"/>
          <w:szCs w:val="32"/>
          <w:lang w:val="es-CL"/>
        </w:rPr>
        <w:t>p</w:t>
      </w:r>
      <w:r w:rsidRPr="00135E24">
        <w:rPr>
          <w:rFonts w:cstheme="minorHAnsi"/>
          <w:sz w:val="32"/>
          <w:szCs w:val="32"/>
          <w:lang w:val="es-CL"/>
        </w:rPr>
        <w:t>ymes</w:t>
      </w:r>
      <w:proofErr w:type="spellEnd"/>
    </w:p>
    <w:p w:rsidR="00F249CC" w:rsidRPr="00135E24" w:rsidRDefault="00F249CC" w:rsidP="00105478">
      <w:pPr>
        <w:pStyle w:val="Prrafodelista"/>
        <w:jc w:val="both"/>
        <w:rPr>
          <w:rFonts w:cstheme="minorHAnsi"/>
          <w:sz w:val="32"/>
          <w:szCs w:val="32"/>
          <w:lang w:val="es-CL"/>
        </w:rPr>
      </w:pPr>
    </w:p>
    <w:p w:rsidR="00612E0B" w:rsidRPr="00135E24" w:rsidRDefault="00840BBC" w:rsidP="00612E0B">
      <w:pPr>
        <w:pStyle w:val="Prrafodelista"/>
        <w:jc w:val="both"/>
        <w:rPr>
          <w:rFonts w:cstheme="minorHAnsi"/>
          <w:sz w:val="32"/>
          <w:szCs w:val="32"/>
          <w:u w:val="single"/>
          <w:lang w:val="es-CL"/>
        </w:rPr>
      </w:pPr>
      <w:r w:rsidRPr="00135E24">
        <w:rPr>
          <w:rFonts w:cstheme="minorHAnsi"/>
          <w:sz w:val="32"/>
          <w:szCs w:val="32"/>
          <w:lang w:val="es-CL"/>
        </w:rPr>
        <w:t xml:space="preserve"> </w:t>
      </w:r>
    </w:p>
    <w:p w:rsidR="00BA5180" w:rsidRPr="00135E24" w:rsidRDefault="00BA5180" w:rsidP="00BA5180">
      <w:pPr>
        <w:pStyle w:val="Prrafodelista"/>
        <w:numPr>
          <w:ilvl w:val="0"/>
          <w:numId w:val="1"/>
        </w:numPr>
        <w:jc w:val="both"/>
        <w:rPr>
          <w:rFonts w:cstheme="minorHAnsi"/>
          <w:sz w:val="32"/>
          <w:szCs w:val="32"/>
          <w:u w:val="single"/>
          <w:lang w:val="es-CL"/>
        </w:rPr>
      </w:pPr>
      <w:r w:rsidRPr="00135E24">
        <w:rPr>
          <w:rFonts w:cstheme="minorHAnsi"/>
          <w:sz w:val="32"/>
          <w:szCs w:val="32"/>
          <w:u w:val="single"/>
          <w:lang w:val="es-CL"/>
        </w:rPr>
        <w:t>Medidas</w:t>
      </w:r>
      <w:r w:rsidR="000A013E" w:rsidRPr="00135E24">
        <w:rPr>
          <w:rFonts w:cstheme="minorHAnsi"/>
          <w:sz w:val="32"/>
          <w:szCs w:val="32"/>
          <w:u w:val="single"/>
          <w:lang w:val="es-CL"/>
        </w:rPr>
        <w:t xml:space="preserve"> </w:t>
      </w:r>
      <w:r w:rsidR="00581A96" w:rsidRPr="00135E24">
        <w:rPr>
          <w:rFonts w:cstheme="minorHAnsi"/>
          <w:sz w:val="32"/>
          <w:szCs w:val="32"/>
          <w:u w:val="single"/>
          <w:lang w:val="es-CL"/>
        </w:rPr>
        <w:t>contenidas en la Agenda</w:t>
      </w:r>
      <w:r w:rsidR="000A013E" w:rsidRPr="00135E24">
        <w:rPr>
          <w:rFonts w:cstheme="minorHAnsi"/>
          <w:sz w:val="32"/>
          <w:szCs w:val="32"/>
          <w:u w:val="single"/>
          <w:lang w:val="es-CL"/>
        </w:rPr>
        <w:t xml:space="preserve">: </w:t>
      </w:r>
      <w:r w:rsidRPr="00135E24">
        <w:rPr>
          <w:rFonts w:cstheme="minorHAnsi"/>
          <w:sz w:val="32"/>
          <w:szCs w:val="32"/>
          <w:u w:val="single"/>
          <w:lang w:val="es-CL"/>
        </w:rPr>
        <w:t xml:space="preserve"> </w:t>
      </w:r>
    </w:p>
    <w:p w:rsidR="0067684B" w:rsidRPr="00135E24" w:rsidRDefault="0067684B" w:rsidP="002A7B7D">
      <w:pPr>
        <w:pStyle w:val="Prrafodelista"/>
        <w:jc w:val="both"/>
        <w:rPr>
          <w:rFonts w:cstheme="minorHAnsi"/>
          <w:sz w:val="32"/>
          <w:szCs w:val="32"/>
          <w:lang w:val="es-CL"/>
        </w:rPr>
      </w:pPr>
    </w:p>
    <w:p w:rsidR="004F3722" w:rsidRPr="00135E24" w:rsidRDefault="004F3722" w:rsidP="002A7B7D">
      <w:pPr>
        <w:pStyle w:val="Prrafodelista"/>
        <w:jc w:val="both"/>
        <w:rPr>
          <w:rFonts w:cstheme="minorHAnsi"/>
          <w:sz w:val="32"/>
          <w:szCs w:val="32"/>
          <w:lang w:val="es-CL"/>
        </w:rPr>
      </w:pPr>
      <w:r w:rsidRPr="00135E24">
        <w:rPr>
          <w:rFonts w:cstheme="minorHAnsi"/>
          <w:sz w:val="32"/>
          <w:szCs w:val="32"/>
          <w:lang w:val="es-CL"/>
        </w:rPr>
        <w:t xml:space="preserve">- </w:t>
      </w:r>
      <w:r w:rsidR="00E67091" w:rsidRPr="00135E24">
        <w:rPr>
          <w:rFonts w:cstheme="minorHAnsi"/>
          <w:sz w:val="32"/>
          <w:szCs w:val="32"/>
          <w:lang w:val="es-CL"/>
        </w:rPr>
        <w:t>La situación económica</w:t>
      </w:r>
      <w:r w:rsidR="009E1611" w:rsidRPr="00135E24">
        <w:rPr>
          <w:rFonts w:cstheme="minorHAnsi"/>
          <w:sz w:val="32"/>
          <w:szCs w:val="32"/>
          <w:lang w:val="es-CL"/>
        </w:rPr>
        <w:t xml:space="preserve"> que enfrenta el país requiere</w:t>
      </w:r>
      <w:r w:rsidR="00E67091" w:rsidRPr="00135E24">
        <w:rPr>
          <w:rFonts w:cstheme="minorHAnsi"/>
          <w:sz w:val="32"/>
          <w:szCs w:val="32"/>
          <w:lang w:val="es-CL"/>
        </w:rPr>
        <w:t xml:space="preserve"> la implementación de un paquete </w:t>
      </w:r>
      <w:proofErr w:type="spellStart"/>
      <w:r w:rsidR="00660A2E" w:rsidRPr="00135E24">
        <w:rPr>
          <w:rFonts w:cstheme="minorHAnsi"/>
          <w:sz w:val="32"/>
          <w:szCs w:val="32"/>
          <w:lang w:val="es-CL"/>
        </w:rPr>
        <w:t>contra</w:t>
      </w:r>
      <w:r w:rsidR="00D26060" w:rsidRPr="00135E24">
        <w:rPr>
          <w:rFonts w:cstheme="minorHAnsi"/>
          <w:sz w:val="32"/>
          <w:szCs w:val="32"/>
          <w:lang w:val="es-CL"/>
        </w:rPr>
        <w:t>cíclico</w:t>
      </w:r>
      <w:proofErr w:type="spellEnd"/>
      <w:r w:rsidR="00E67091" w:rsidRPr="00135E24">
        <w:rPr>
          <w:rFonts w:cstheme="minorHAnsi"/>
          <w:sz w:val="32"/>
          <w:szCs w:val="32"/>
          <w:lang w:val="es-CL"/>
        </w:rPr>
        <w:t xml:space="preserve"> de medidas. </w:t>
      </w:r>
    </w:p>
    <w:p w:rsidR="004F3722" w:rsidRPr="00135E24" w:rsidRDefault="004F3722" w:rsidP="002A7B7D">
      <w:pPr>
        <w:pStyle w:val="Prrafodelista"/>
        <w:jc w:val="both"/>
        <w:rPr>
          <w:rFonts w:cstheme="minorHAnsi"/>
          <w:sz w:val="32"/>
          <w:szCs w:val="32"/>
          <w:lang w:val="es-CL"/>
        </w:rPr>
      </w:pPr>
      <w:r w:rsidRPr="00135E24">
        <w:rPr>
          <w:rFonts w:cstheme="minorHAnsi"/>
          <w:sz w:val="32"/>
          <w:szCs w:val="32"/>
          <w:lang w:val="es-CL"/>
        </w:rPr>
        <w:t xml:space="preserve">- </w:t>
      </w:r>
      <w:r w:rsidR="009E1611" w:rsidRPr="00135E24">
        <w:rPr>
          <w:rFonts w:cstheme="minorHAnsi"/>
          <w:b/>
          <w:sz w:val="32"/>
          <w:szCs w:val="32"/>
          <w:lang w:val="es-CL"/>
        </w:rPr>
        <w:t>E</w:t>
      </w:r>
      <w:r w:rsidR="008432CD" w:rsidRPr="00135E24">
        <w:rPr>
          <w:rFonts w:cstheme="minorHAnsi"/>
          <w:b/>
          <w:sz w:val="32"/>
          <w:szCs w:val="32"/>
          <w:lang w:val="es-CL"/>
        </w:rPr>
        <w:t xml:space="preserve">l Plan de Recuperación Económica y Protección del Empleo </w:t>
      </w:r>
      <w:r w:rsidR="00253D13" w:rsidRPr="00135E24">
        <w:rPr>
          <w:rFonts w:cstheme="minorHAnsi"/>
          <w:b/>
          <w:sz w:val="32"/>
          <w:szCs w:val="32"/>
          <w:lang w:val="es-CL"/>
        </w:rPr>
        <w:t xml:space="preserve">considera </w:t>
      </w:r>
      <w:r w:rsidR="009E1611" w:rsidRPr="00135E24">
        <w:rPr>
          <w:rFonts w:cstheme="minorHAnsi"/>
          <w:b/>
          <w:sz w:val="32"/>
          <w:szCs w:val="32"/>
          <w:lang w:val="es-CL"/>
        </w:rPr>
        <w:t xml:space="preserve">nuevas </w:t>
      </w:r>
      <w:r w:rsidR="00253D13" w:rsidRPr="00135E24">
        <w:rPr>
          <w:rFonts w:cstheme="minorHAnsi"/>
          <w:b/>
          <w:sz w:val="32"/>
          <w:szCs w:val="32"/>
          <w:lang w:val="es-CL"/>
        </w:rPr>
        <w:t>medidas</w:t>
      </w:r>
      <w:r w:rsidR="009E1611" w:rsidRPr="00135E24">
        <w:rPr>
          <w:rFonts w:cstheme="minorHAnsi"/>
          <w:b/>
          <w:sz w:val="32"/>
          <w:szCs w:val="32"/>
          <w:lang w:val="es-CL"/>
        </w:rPr>
        <w:t xml:space="preserve"> por US$</w:t>
      </w:r>
      <w:r w:rsidR="008F1173" w:rsidRPr="00135E24">
        <w:rPr>
          <w:rFonts w:cstheme="minorHAnsi"/>
          <w:b/>
          <w:sz w:val="32"/>
          <w:szCs w:val="32"/>
          <w:lang w:val="es-CL"/>
        </w:rPr>
        <w:t xml:space="preserve"> </w:t>
      </w:r>
      <w:r w:rsidR="009E1611" w:rsidRPr="00135E24">
        <w:rPr>
          <w:rFonts w:cstheme="minorHAnsi"/>
          <w:b/>
          <w:sz w:val="32"/>
          <w:szCs w:val="32"/>
          <w:lang w:val="es-CL"/>
        </w:rPr>
        <w:t xml:space="preserve">4.800 millones que se suman a las medidas de capitalización de Banco Estado y apoyo crediticio a las </w:t>
      </w:r>
      <w:proofErr w:type="spellStart"/>
      <w:r w:rsidR="001753DD" w:rsidRPr="00135E24">
        <w:rPr>
          <w:rFonts w:cstheme="minorHAnsi"/>
          <w:b/>
          <w:sz w:val="32"/>
          <w:szCs w:val="32"/>
          <w:lang w:val="es-CL"/>
        </w:rPr>
        <w:t>Mip</w:t>
      </w:r>
      <w:r w:rsidR="00185FF4" w:rsidRPr="00135E24">
        <w:rPr>
          <w:rFonts w:cstheme="minorHAnsi"/>
          <w:b/>
          <w:sz w:val="32"/>
          <w:szCs w:val="32"/>
          <w:lang w:val="es-CL"/>
        </w:rPr>
        <w:t>ymes</w:t>
      </w:r>
      <w:proofErr w:type="spellEnd"/>
      <w:r w:rsidR="00891557" w:rsidRPr="00135E24">
        <w:rPr>
          <w:rFonts w:cstheme="minorHAnsi"/>
          <w:b/>
          <w:sz w:val="32"/>
          <w:szCs w:val="32"/>
          <w:lang w:val="es-CL"/>
        </w:rPr>
        <w:t xml:space="preserve"> vía CORFO</w:t>
      </w:r>
      <w:r w:rsidR="009E1611" w:rsidRPr="00135E24">
        <w:rPr>
          <w:rFonts w:cstheme="minorHAnsi"/>
          <w:b/>
          <w:sz w:val="32"/>
          <w:szCs w:val="32"/>
          <w:lang w:val="es-CL"/>
        </w:rPr>
        <w:t xml:space="preserve">, </w:t>
      </w:r>
      <w:r w:rsidR="006C7695" w:rsidRPr="00135E24">
        <w:rPr>
          <w:rFonts w:cstheme="minorHAnsi"/>
          <w:b/>
          <w:sz w:val="32"/>
          <w:szCs w:val="32"/>
          <w:lang w:val="es-CL"/>
        </w:rPr>
        <w:t>total</w:t>
      </w:r>
      <w:r w:rsidR="009E1611" w:rsidRPr="00135E24">
        <w:rPr>
          <w:rFonts w:cstheme="minorHAnsi"/>
          <w:b/>
          <w:sz w:val="32"/>
          <w:szCs w:val="32"/>
          <w:lang w:val="es-CL"/>
        </w:rPr>
        <w:t>izando</w:t>
      </w:r>
      <w:r w:rsidR="008F1173" w:rsidRPr="00135E24">
        <w:rPr>
          <w:rFonts w:cstheme="minorHAnsi"/>
          <w:b/>
          <w:sz w:val="32"/>
          <w:szCs w:val="32"/>
          <w:lang w:val="es-CL"/>
        </w:rPr>
        <w:t xml:space="preserve"> un paquete </w:t>
      </w:r>
      <w:r w:rsidR="00891557" w:rsidRPr="00135E24">
        <w:rPr>
          <w:rFonts w:cstheme="minorHAnsi"/>
          <w:b/>
          <w:sz w:val="32"/>
          <w:szCs w:val="32"/>
          <w:lang w:val="es-CL"/>
        </w:rPr>
        <w:t>de</w:t>
      </w:r>
      <w:r w:rsidR="006C7695" w:rsidRPr="00135E24">
        <w:rPr>
          <w:rFonts w:cstheme="minorHAnsi"/>
          <w:b/>
          <w:sz w:val="32"/>
          <w:szCs w:val="32"/>
          <w:lang w:val="es-CL"/>
        </w:rPr>
        <w:t xml:space="preserve"> US$ 5.</w:t>
      </w:r>
      <w:r w:rsidR="009E1611" w:rsidRPr="00135E24">
        <w:rPr>
          <w:rFonts w:cstheme="minorHAnsi"/>
          <w:b/>
          <w:sz w:val="32"/>
          <w:szCs w:val="32"/>
          <w:lang w:val="es-CL"/>
        </w:rPr>
        <w:t>500</w:t>
      </w:r>
      <w:r w:rsidR="006C7695" w:rsidRPr="00135E24">
        <w:rPr>
          <w:rFonts w:cstheme="minorHAnsi"/>
          <w:b/>
          <w:sz w:val="32"/>
          <w:szCs w:val="32"/>
          <w:lang w:val="es-CL"/>
        </w:rPr>
        <w:t xml:space="preserve"> millones.</w:t>
      </w:r>
      <w:r w:rsidR="006C7695" w:rsidRPr="00135E24">
        <w:rPr>
          <w:rFonts w:cstheme="minorHAnsi"/>
          <w:sz w:val="32"/>
          <w:szCs w:val="32"/>
          <w:lang w:val="es-CL"/>
        </w:rPr>
        <w:t xml:space="preserve"> </w:t>
      </w:r>
    </w:p>
    <w:p w:rsidR="004F3722" w:rsidRPr="00135E24" w:rsidRDefault="004F3722" w:rsidP="002A7B7D">
      <w:pPr>
        <w:pStyle w:val="Prrafodelista"/>
        <w:jc w:val="both"/>
        <w:rPr>
          <w:rFonts w:cstheme="minorHAnsi"/>
          <w:sz w:val="32"/>
          <w:szCs w:val="32"/>
          <w:lang w:val="es-CL"/>
        </w:rPr>
      </w:pPr>
      <w:r w:rsidRPr="00135E24">
        <w:rPr>
          <w:rFonts w:cstheme="minorHAnsi"/>
          <w:sz w:val="32"/>
          <w:szCs w:val="32"/>
          <w:lang w:val="es-CL"/>
        </w:rPr>
        <w:lastRenderedPageBreak/>
        <w:t xml:space="preserve">- Cifra de US$ 5.500 millones </w:t>
      </w:r>
      <w:r w:rsidR="006C7695" w:rsidRPr="00135E24">
        <w:rPr>
          <w:rFonts w:cstheme="minorHAnsi"/>
          <w:sz w:val="32"/>
          <w:szCs w:val="32"/>
          <w:lang w:val="es-CL"/>
        </w:rPr>
        <w:t xml:space="preserve">se distribuye en un </w:t>
      </w:r>
      <w:r w:rsidR="00253D13" w:rsidRPr="00135E24">
        <w:rPr>
          <w:rFonts w:cstheme="minorHAnsi"/>
          <w:sz w:val="32"/>
          <w:szCs w:val="32"/>
          <w:lang w:val="es-CL"/>
        </w:rPr>
        <w:t>mayor gasto público por</w:t>
      </w:r>
      <w:r w:rsidR="00891557" w:rsidRPr="00135E24">
        <w:rPr>
          <w:rFonts w:cstheme="minorHAnsi"/>
          <w:sz w:val="32"/>
          <w:szCs w:val="32"/>
          <w:lang w:val="es-CL"/>
        </w:rPr>
        <w:t xml:space="preserve"> </w:t>
      </w:r>
      <w:r w:rsidR="00253D13" w:rsidRPr="00135E24">
        <w:rPr>
          <w:rFonts w:cstheme="minorHAnsi"/>
          <w:sz w:val="32"/>
          <w:szCs w:val="32"/>
          <w:lang w:val="es-CL"/>
        </w:rPr>
        <w:t>US$</w:t>
      </w:r>
      <w:r w:rsidR="003F79C3" w:rsidRPr="00135E24">
        <w:rPr>
          <w:rFonts w:cstheme="minorHAnsi"/>
          <w:sz w:val="32"/>
          <w:szCs w:val="32"/>
          <w:lang w:val="es-CL"/>
        </w:rPr>
        <w:t xml:space="preserve"> 3.025</w:t>
      </w:r>
      <w:r w:rsidR="002A7B7D" w:rsidRPr="00135E24">
        <w:rPr>
          <w:rFonts w:cstheme="minorHAnsi"/>
          <w:sz w:val="32"/>
          <w:szCs w:val="32"/>
          <w:lang w:val="es-CL"/>
        </w:rPr>
        <w:t xml:space="preserve"> millones, medidas de apoyo a las </w:t>
      </w:r>
      <w:proofErr w:type="spellStart"/>
      <w:r w:rsidR="002A7B7D" w:rsidRPr="00135E24">
        <w:rPr>
          <w:rFonts w:cstheme="minorHAnsi"/>
          <w:sz w:val="32"/>
          <w:szCs w:val="32"/>
          <w:lang w:val="es-CL"/>
        </w:rPr>
        <w:t>Mipymes</w:t>
      </w:r>
      <w:proofErr w:type="spellEnd"/>
      <w:r w:rsidR="002A7B7D" w:rsidRPr="00135E24">
        <w:rPr>
          <w:rFonts w:cstheme="minorHAnsi"/>
          <w:sz w:val="32"/>
          <w:szCs w:val="32"/>
          <w:lang w:val="es-CL"/>
        </w:rPr>
        <w:t xml:space="preserve"> por US$ 1.9</w:t>
      </w:r>
      <w:r w:rsidR="00D160D5" w:rsidRPr="00135E24">
        <w:rPr>
          <w:rFonts w:cstheme="minorHAnsi"/>
          <w:sz w:val="32"/>
          <w:szCs w:val="32"/>
          <w:lang w:val="es-CL"/>
        </w:rPr>
        <w:t>5</w:t>
      </w:r>
      <w:r w:rsidR="002A7B7D" w:rsidRPr="00135E24">
        <w:rPr>
          <w:rFonts w:cstheme="minorHAnsi"/>
          <w:sz w:val="32"/>
          <w:szCs w:val="32"/>
          <w:lang w:val="es-CL"/>
        </w:rPr>
        <w:t xml:space="preserve">0 millones y otras </w:t>
      </w:r>
      <w:r w:rsidR="002A2B5A" w:rsidRPr="00135E24">
        <w:rPr>
          <w:rFonts w:cstheme="minorHAnsi"/>
          <w:sz w:val="32"/>
          <w:szCs w:val="32"/>
          <w:lang w:val="es-CL"/>
        </w:rPr>
        <w:t>iniciativas</w:t>
      </w:r>
      <w:r w:rsidR="002A7B7D" w:rsidRPr="00135E24">
        <w:rPr>
          <w:rFonts w:cstheme="minorHAnsi"/>
          <w:sz w:val="32"/>
          <w:szCs w:val="32"/>
          <w:lang w:val="es-CL"/>
        </w:rPr>
        <w:t xml:space="preserve"> por US$ 5</w:t>
      </w:r>
      <w:r w:rsidR="006C7695" w:rsidRPr="00135E24">
        <w:rPr>
          <w:rFonts w:cstheme="minorHAnsi"/>
          <w:sz w:val="32"/>
          <w:szCs w:val="32"/>
          <w:lang w:val="es-CL"/>
        </w:rPr>
        <w:t>2</w:t>
      </w:r>
      <w:r w:rsidR="002A7B7D" w:rsidRPr="00135E24">
        <w:rPr>
          <w:rFonts w:cstheme="minorHAnsi"/>
          <w:sz w:val="32"/>
          <w:szCs w:val="32"/>
          <w:lang w:val="es-CL"/>
        </w:rPr>
        <w:t>5 millones</w:t>
      </w:r>
      <w:r w:rsidR="002A7B7D" w:rsidRPr="00135E24">
        <w:rPr>
          <w:rStyle w:val="Refdenotaalpie"/>
          <w:rFonts w:cstheme="minorHAnsi"/>
          <w:sz w:val="32"/>
          <w:szCs w:val="32"/>
          <w:lang w:val="es-CL"/>
        </w:rPr>
        <w:footnoteReference w:id="1"/>
      </w:r>
      <w:r w:rsidR="002A7B7D" w:rsidRPr="00135E24">
        <w:rPr>
          <w:rFonts w:cstheme="minorHAnsi"/>
          <w:sz w:val="32"/>
          <w:szCs w:val="32"/>
          <w:lang w:val="es-CL"/>
        </w:rPr>
        <w:t xml:space="preserve">. </w:t>
      </w:r>
    </w:p>
    <w:p w:rsidR="008432CD" w:rsidRPr="00135E24" w:rsidRDefault="004F3722" w:rsidP="002A7B7D">
      <w:pPr>
        <w:pStyle w:val="Prrafodelista"/>
        <w:jc w:val="both"/>
        <w:rPr>
          <w:rFonts w:cstheme="minorHAnsi"/>
          <w:sz w:val="32"/>
          <w:szCs w:val="32"/>
          <w:lang w:val="es-CL"/>
        </w:rPr>
      </w:pPr>
      <w:r w:rsidRPr="00135E24">
        <w:rPr>
          <w:rFonts w:cstheme="minorHAnsi"/>
          <w:sz w:val="32"/>
          <w:szCs w:val="32"/>
          <w:lang w:val="es-CL"/>
        </w:rPr>
        <w:t xml:space="preserve">- </w:t>
      </w:r>
      <w:r w:rsidR="00891557" w:rsidRPr="00135E24">
        <w:rPr>
          <w:rFonts w:cstheme="minorHAnsi"/>
          <w:sz w:val="32"/>
          <w:szCs w:val="32"/>
          <w:lang w:val="es-CL"/>
        </w:rPr>
        <w:t>Todas e</w:t>
      </w:r>
      <w:r w:rsidR="00505A95" w:rsidRPr="00135E24">
        <w:rPr>
          <w:rFonts w:cstheme="minorHAnsi"/>
          <w:sz w:val="32"/>
          <w:szCs w:val="32"/>
          <w:lang w:val="es-CL"/>
        </w:rPr>
        <w:t xml:space="preserve">stas medidas son mayoritariamente de </w:t>
      </w:r>
      <w:proofErr w:type="gramStart"/>
      <w:r w:rsidR="00505A95" w:rsidRPr="00135E24">
        <w:rPr>
          <w:rFonts w:cstheme="minorHAnsi"/>
          <w:sz w:val="32"/>
          <w:szCs w:val="32"/>
          <w:lang w:val="es-CL"/>
        </w:rPr>
        <w:t>carácter transitorio y concentradas</w:t>
      </w:r>
      <w:proofErr w:type="gramEnd"/>
      <w:r w:rsidR="00505A95" w:rsidRPr="00135E24">
        <w:rPr>
          <w:rFonts w:cstheme="minorHAnsi"/>
          <w:sz w:val="32"/>
          <w:szCs w:val="32"/>
          <w:lang w:val="es-CL"/>
        </w:rPr>
        <w:t xml:space="preserve"> en apoyar la creación de empleos, de forma directa o indirecta vía inversión pública, así como el apoyo a las empresas de menor tamaño. </w:t>
      </w:r>
    </w:p>
    <w:p w:rsidR="00253D13" w:rsidRPr="00135E24" w:rsidRDefault="008432CD" w:rsidP="002A7B7D">
      <w:pPr>
        <w:pStyle w:val="Prrafodelista"/>
        <w:jc w:val="both"/>
        <w:rPr>
          <w:rFonts w:cstheme="minorHAnsi"/>
          <w:b/>
          <w:sz w:val="32"/>
          <w:szCs w:val="32"/>
          <w:lang w:val="es-CL"/>
        </w:rPr>
      </w:pPr>
      <w:r w:rsidRPr="00135E24">
        <w:rPr>
          <w:rFonts w:cstheme="minorHAnsi"/>
          <w:sz w:val="32"/>
          <w:szCs w:val="32"/>
          <w:lang w:val="es-CL"/>
        </w:rPr>
        <w:t xml:space="preserve">- </w:t>
      </w:r>
      <w:r w:rsidR="008F1173" w:rsidRPr="00135E24">
        <w:rPr>
          <w:rFonts w:cstheme="minorHAnsi"/>
          <w:b/>
          <w:sz w:val="32"/>
          <w:szCs w:val="32"/>
          <w:lang w:val="es-CL"/>
        </w:rPr>
        <w:t xml:space="preserve">Se estima que </w:t>
      </w:r>
      <w:r w:rsidR="00891557" w:rsidRPr="00135E24">
        <w:rPr>
          <w:rFonts w:cstheme="minorHAnsi"/>
          <w:b/>
          <w:sz w:val="32"/>
          <w:szCs w:val="32"/>
          <w:lang w:val="es-CL"/>
        </w:rPr>
        <w:t xml:space="preserve">esta agenda </w:t>
      </w:r>
      <w:r w:rsidR="007F5096" w:rsidRPr="00135E24">
        <w:rPr>
          <w:rFonts w:cstheme="minorHAnsi"/>
          <w:b/>
          <w:sz w:val="32"/>
          <w:szCs w:val="32"/>
          <w:lang w:val="es-CL"/>
        </w:rPr>
        <w:t>generará al</w:t>
      </w:r>
      <w:r w:rsidR="008F1173" w:rsidRPr="00135E24">
        <w:rPr>
          <w:rFonts w:cstheme="minorHAnsi"/>
          <w:b/>
          <w:sz w:val="32"/>
          <w:szCs w:val="32"/>
          <w:lang w:val="es-CL"/>
        </w:rPr>
        <w:t xml:space="preserve"> menos 100 mil nuevos empleos el próximo año. </w:t>
      </w:r>
    </w:p>
    <w:p w:rsidR="00581A96" w:rsidRPr="00135E24" w:rsidRDefault="00581A96" w:rsidP="002A7B7D">
      <w:pPr>
        <w:pStyle w:val="Prrafodelista"/>
        <w:jc w:val="both"/>
        <w:rPr>
          <w:rFonts w:cstheme="minorHAnsi"/>
          <w:b/>
          <w:sz w:val="32"/>
          <w:szCs w:val="32"/>
          <w:lang w:val="es-CL"/>
        </w:rPr>
      </w:pPr>
    </w:p>
    <w:p w:rsidR="00581A96" w:rsidRPr="00135E24" w:rsidRDefault="00581A96" w:rsidP="002A7B7D">
      <w:pPr>
        <w:pStyle w:val="Prrafodelista"/>
        <w:jc w:val="both"/>
        <w:rPr>
          <w:rFonts w:cstheme="minorHAnsi"/>
          <w:b/>
          <w:sz w:val="32"/>
          <w:szCs w:val="32"/>
          <w:lang w:val="es-CL"/>
        </w:rPr>
      </w:pPr>
    </w:p>
    <w:p w:rsidR="00581A96" w:rsidRPr="00135E24" w:rsidRDefault="00581A96" w:rsidP="00581A96">
      <w:pPr>
        <w:pStyle w:val="Prrafodelista"/>
        <w:numPr>
          <w:ilvl w:val="1"/>
          <w:numId w:val="6"/>
        </w:numPr>
        <w:jc w:val="both"/>
        <w:rPr>
          <w:rFonts w:cstheme="minorHAnsi"/>
          <w:b/>
          <w:sz w:val="32"/>
          <w:szCs w:val="32"/>
          <w:lang w:val="es-CL"/>
        </w:rPr>
      </w:pPr>
      <w:r w:rsidRPr="00135E24">
        <w:rPr>
          <w:rFonts w:cstheme="minorHAnsi"/>
          <w:b/>
          <w:sz w:val="32"/>
          <w:szCs w:val="32"/>
          <w:lang w:val="es-CL"/>
        </w:rPr>
        <w:t xml:space="preserve">Protección del empleo y de los ingresos familiares: </w:t>
      </w:r>
    </w:p>
    <w:p w:rsidR="00581A96" w:rsidRPr="00135E24" w:rsidRDefault="00581A96" w:rsidP="00581A96">
      <w:pPr>
        <w:pStyle w:val="Prrafodelista"/>
        <w:ind w:left="375"/>
        <w:jc w:val="both"/>
        <w:rPr>
          <w:rFonts w:cstheme="minorHAnsi"/>
          <w:b/>
          <w:sz w:val="32"/>
          <w:szCs w:val="32"/>
          <w:lang w:val="es-CL"/>
        </w:rPr>
      </w:pPr>
    </w:p>
    <w:p w:rsidR="00581A96" w:rsidRPr="00135E24" w:rsidRDefault="00581A96" w:rsidP="00581A96">
      <w:pPr>
        <w:pStyle w:val="Prrafodelista"/>
        <w:numPr>
          <w:ilvl w:val="0"/>
          <w:numId w:val="4"/>
        </w:numPr>
        <w:jc w:val="both"/>
        <w:rPr>
          <w:rFonts w:cstheme="minorHAnsi"/>
          <w:sz w:val="32"/>
          <w:szCs w:val="32"/>
          <w:lang w:val="es-CL"/>
        </w:rPr>
      </w:pPr>
      <w:r w:rsidRPr="00135E24">
        <w:rPr>
          <w:rFonts w:cstheme="minorHAnsi"/>
          <w:sz w:val="32"/>
          <w:szCs w:val="32"/>
          <w:u w:val="single"/>
          <w:lang w:val="es-CL"/>
        </w:rPr>
        <w:t>Protección del empleo:</w:t>
      </w:r>
      <w:r w:rsidRPr="00135E24">
        <w:rPr>
          <w:rFonts w:cstheme="minorHAnsi"/>
          <w:sz w:val="32"/>
          <w:szCs w:val="32"/>
          <w:lang w:val="es-CL"/>
        </w:rPr>
        <w:t xml:space="preserve"> </w:t>
      </w:r>
      <w:r w:rsidR="00BB464B" w:rsidRPr="00135E24">
        <w:rPr>
          <w:rFonts w:cstheme="minorHAnsi"/>
          <w:sz w:val="32"/>
          <w:szCs w:val="32"/>
          <w:lang w:val="es-CL"/>
        </w:rPr>
        <w:t xml:space="preserve">en el caso de </w:t>
      </w:r>
      <w:r w:rsidRPr="00135E24">
        <w:rPr>
          <w:rFonts w:cstheme="minorHAnsi"/>
          <w:sz w:val="32"/>
          <w:szCs w:val="32"/>
          <w:lang w:val="es-CL"/>
        </w:rPr>
        <w:t>las empresas que acrediten que su actividad o faena ha sido afectada por la crisis, los empleadores y los trabajadores dependientes afiliados al Seguro de Cesantía podrán pactar jornadas reducidas, en cuyo caso, los trabajadores podrán obtener un complemento desde el seguro de cesantía. Se enviará proyecto de ley.</w:t>
      </w:r>
    </w:p>
    <w:p w:rsidR="00581A96" w:rsidRPr="00135E24" w:rsidRDefault="00581A96" w:rsidP="00581A96">
      <w:pPr>
        <w:pStyle w:val="Prrafodelista"/>
        <w:numPr>
          <w:ilvl w:val="0"/>
          <w:numId w:val="4"/>
        </w:numPr>
        <w:jc w:val="both"/>
        <w:rPr>
          <w:rFonts w:cstheme="minorHAnsi"/>
          <w:sz w:val="32"/>
          <w:szCs w:val="32"/>
          <w:lang w:val="es-CL"/>
        </w:rPr>
      </w:pPr>
      <w:r w:rsidRPr="00135E24">
        <w:rPr>
          <w:rFonts w:cstheme="minorHAnsi"/>
          <w:sz w:val="32"/>
          <w:szCs w:val="32"/>
          <w:u w:val="single"/>
          <w:lang w:val="es-CL"/>
        </w:rPr>
        <w:t>Fortalecimiento transitorio del seguro de cesantía</w:t>
      </w:r>
      <w:r w:rsidRPr="00135E24">
        <w:rPr>
          <w:rFonts w:cstheme="minorHAnsi"/>
          <w:sz w:val="32"/>
          <w:szCs w:val="32"/>
          <w:lang w:val="es-CL"/>
        </w:rPr>
        <w:t xml:space="preserve">: </w:t>
      </w:r>
    </w:p>
    <w:p w:rsidR="00581A96" w:rsidRPr="00135E24" w:rsidRDefault="00581A96" w:rsidP="00581A96">
      <w:pPr>
        <w:pStyle w:val="Prrafodelista"/>
        <w:numPr>
          <w:ilvl w:val="1"/>
          <w:numId w:val="4"/>
        </w:numPr>
        <w:jc w:val="both"/>
        <w:rPr>
          <w:rFonts w:cstheme="minorHAnsi"/>
          <w:sz w:val="32"/>
          <w:szCs w:val="32"/>
          <w:lang w:val="es-CL"/>
        </w:rPr>
      </w:pPr>
      <w:r w:rsidRPr="00135E24">
        <w:rPr>
          <w:rFonts w:cstheme="minorHAnsi"/>
          <w:sz w:val="32"/>
          <w:szCs w:val="32"/>
          <w:lang w:val="es-CL"/>
        </w:rPr>
        <w:t xml:space="preserve">a) Aumentar las tasas de reemplazo de los primeros tres giros para el contrato indefinido y de los primeros dos giros para el contrato a plazo fijo en 10 puntos porcentuales. </w:t>
      </w:r>
    </w:p>
    <w:p w:rsidR="00581A96" w:rsidRPr="00135E24" w:rsidRDefault="00581A96" w:rsidP="00581A96">
      <w:pPr>
        <w:pStyle w:val="Prrafodelista"/>
        <w:numPr>
          <w:ilvl w:val="1"/>
          <w:numId w:val="4"/>
        </w:numPr>
        <w:jc w:val="both"/>
        <w:rPr>
          <w:rFonts w:cstheme="minorHAnsi"/>
          <w:sz w:val="32"/>
          <w:szCs w:val="32"/>
          <w:lang w:val="es-CL"/>
        </w:rPr>
      </w:pPr>
      <w:r w:rsidRPr="00135E24">
        <w:rPr>
          <w:rFonts w:cstheme="minorHAnsi"/>
          <w:sz w:val="32"/>
          <w:szCs w:val="32"/>
          <w:lang w:val="es-CL"/>
        </w:rPr>
        <w:t>b) Por un año, los dos giros adicionales señalados en el artículo 25 de la ley N°19.728, se realizarán sin que sea necesario considerar el requisito de alto desempleo establecido en el inciso tercero del citado artículo.</w:t>
      </w:r>
    </w:p>
    <w:p w:rsidR="00581A96" w:rsidRPr="00135E24" w:rsidRDefault="00581A96" w:rsidP="00581A96">
      <w:pPr>
        <w:pStyle w:val="Prrafodelista"/>
        <w:numPr>
          <w:ilvl w:val="1"/>
          <w:numId w:val="4"/>
        </w:numPr>
        <w:jc w:val="both"/>
        <w:rPr>
          <w:rFonts w:cstheme="minorHAnsi"/>
          <w:sz w:val="32"/>
          <w:szCs w:val="32"/>
          <w:lang w:val="es-CL"/>
        </w:rPr>
      </w:pPr>
      <w:r w:rsidRPr="00135E24">
        <w:rPr>
          <w:rFonts w:cstheme="minorHAnsi"/>
          <w:sz w:val="32"/>
          <w:szCs w:val="32"/>
          <w:lang w:val="es-CL"/>
        </w:rPr>
        <w:t xml:space="preserve">c) Para la cuenta individual de cesantía se propone disminuir el mínimo de 12 a 10 cotizaciones continuas o discontinuas para el trabajador con contrato indefinido; </w:t>
      </w:r>
      <w:r w:rsidRPr="00135E24">
        <w:rPr>
          <w:rFonts w:cstheme="minorHAnsi"/>
          <w:sz w:val="32"/>
          <w:szCs w:val="32"/>
          <w:lang w:val="es-CL"/>
        </w:rPr>
        <w:lastRenderedPageBreak/>
        <w:t xml:space="preserve">para el caso del trabajador con contrato a plazo fijo o por obra, trabajo o servicio determinado, disminuir el mínimo de 6 a 5 cotizaciones continuas o discontinuas; ambos casos desde la afiliación al seguro o desde la fecha en que se devengó el último giro a que hubieren tenido derecho conforme a la ley. </w:t>
      </w:r>
    </w:p>
    <w:p w:rsidR="00581A96" w:rsidRPr="00135E24" w:rsidRDefault="00581A96" w:rsidP="00581A96">
      <w:pPr>
        <w:pStyle w:val="Prrafodelista"/>
        <w:numPr>
          <w:ilvl w:val="1"/>
          <w:numId w:val="4"/>
        </w:numPr>
        <w:jc w:val="both"/>
        <w:rPr>
          <w:rFonts w:cstheme="minorHAnsi"/>
          <w:sz w:val="32"/>
          <w:szCs w:val="32"/>
          <w:lang w:val="es-CL"/>
        </w:rPr>
      </w:pPr>
      <w:r w:rsidRPr="00135E24">
        <w:rPr>
          <w:rFonts w:cstheme="minorHAnsi"/>
          <w:sz w:val="32"/>
          <w:szCs w:val="32"/>
          <w:lang w:val="es-CL"/>
        </w:rPr>
        <w:t>d) Para el fondo solidario de cesantía se propone disminuir el requisito de 12 a 10 cotizaciones mensuales en el FCS desde su afiliación o desde que se devengó el último giro a que hubieren tenido derecho, en los últimos 24 meses anteriores contados al mes del término del contrato. Se enviará proyecto de ley.</w:t>
      </w:r>
    </w:p>
    <w:p w:rsidR="00581A96" w:rsidRPr="00135E24" w:rsidRDefault="00581A96" w:rsidP="00581A96">
      <w:pPr>
        <w:pStyle w:val="Prrafodelista"/>
        <w:ind w:left="2160"/>
        <w:jc w:val="both"/>
        <w:rPr>
          <w:rFonts w:cstheme="minorHAnsi"/>
          <w:sz w:val="32"/>
          <w:szCs w:val="32"/>
          <w:lang w:val="es-CL"/>
        </w:rPr>
      </w:pPr>
    </w:p>
    <w:p w:rsidR="00581A96" w:rsidRPr="00135E24" w:rsidRDefault="00581A96" w:rsidP="00581A96">
      <w:pPr>
        <w:pStyle w:val="Prrafodelista"/>
        <w:numPr>
          <w:ilvl w:val="0"/>
          <w:numId w:val="4"/>
        </w:numPr>
        <w:jc w:val="both"/>
        <w:rPr>
          <w:rFonts w:cstheme="minorHAnsi"/>
          <w:sz w:val="32"/>
          <w:szCs w:val="32"/>
          <w:lang w:val="es-CL"/>
        </w:rPr>
      </w:pPr>
      <w:r w:rsidRPr="00135E24">
        <w:rPr>
          <w:rFonts w:cstheme="minorHAnsi"/>
          <w:sz w:val="32"/>
          <w:szCs w:val="32"/>
          <w:u w:val="single"/>
          <w:lang w:val="es-CL"/>
        </w:rPr>
        <w:t>Aceleración transición del componente solidario de pensiones</w:t>
      </w:r>
      <w:r w:rsidRPr="00135E24">
        <w:rPr>
          <w:rFonts w:cstheme="minorHAnsi"/>
          <w:sz w:val="32"/>
          <w:szCs w:val="32"/>
          <w:lang w:val="es-CL"/>
        </w:rPr>
        <w:t xml:space="preserve">: Se destinarán recursos públicos para acelerar la transición del componente solidario de pensiones, una vez aprobada la ley. Costo anual US$ 400 millones por dos años. </w:t>
      </w:r>
    </w:p>
    <w:p w:rsidR="00581A96" w:rsidRPr="00135E24" w:rsidRDefault="00581A96" w:rsidP="00581A96">
      <w:pPr>
        <w:ind w:firstLine="708"/>
        <w:jc w:val="both"/>
        <w:rPr>
          <w:rFonts w:cstheme="minorHAnsi"/>
          <w:sz w:val="32"/>
          <w:szCs w:val="32"/>
          <w:u w:val="single"/>
          <w:lang w:val="es-CL"/>
        </w:rPr>
      </w:pPr>
    </w:p>
    <w:p w:rsidR="00581A96" w:rsidRPr="00135E24" w:rsidRDefault="00581A96" w:rsidP="00581A96">
      <w:pPr>
        <w:pStyle w:val="Prrafodelista"/>
        <w:numPr>
          <w:ilvl w:val="1"/>
          <w:numId w:val="6"/>
        </w:numPr>
        <w:jc w:val="both"/>
        <w:rPr>
          <w:rFonts w:cstheme="minorHAnsi"/>
          <w:b/>
          <w:sz w:val="32"/>
          <w:szCs w:val="32"/>
          <w:lang w:val="es-CL"/>
        </w:rPr>
      </w:pPr>
      <w:r w:rsidRPr="00135E24">
        <w:rPr>
          <w:rFonts w:cstheme="minorHAnsi"/>
          <w:b/>
          <w:sz w:val="32"/>
          <w:szCs w:val="32"/>
          <w:lang w:val="es-CL"/>
        </w:rPr>
        <w:t>Mayor inversión pública: reconstrucción y reactivación económica</w:t>
      </w:r>
    </w:p>
    <w:p w:rsidR="00581A96" w:rsidRPr="00135E24" w:rsidRDefault="00581A96" w:rsidP="00581A96">
      <w:pPr>
        <w:pStyle w:val="Prrafodelista"/>
        <w:ind w:left="1440"/>
        <w:jc w:val="both"/>
        <w:rPr>
          <w:rFonts w:cstheme="minorHAnsi"/>
          <w:sz w:val="32"/>
          <w:szCs w:val="32"/>
          <w:lang w:val="es-CL"/>
        </w:rPr>
      </w:pPr>
    </w:p>
    <w:p w:rsidR="00581A96" w:rsidRPr="00135E24" w:rsidRDefault="00581A96" w:rsidP="00581A96">
      <w:pPr>
        <w:pStyle w:val="Prrafodelista"/>
        <w:numPr>
          <w:ilvl w:val="0"/>
          <w:numId w:val="3"/>
        </w:numPr>
        <w:jc w:val="both"/>
        <w:rPr>
          <w:rFonts w:cstheme="minorHAnsi"/>
          <w:sz w:val="32"/>
          <w:szCs w:val="32"/>
          <w:lang w:val="es-CL"/>
        </w:rPr>
      </w:pPr>
      <w:r w:rsidRPr="00135E24">
        <w:rPr>
          <w:rFonts w:cstheme="minorHAnsi"/>
          <w:sz w:val="32"/>
          <w:szCs w:val="32"/>
          <w:lang w:val="es-CL"/>
        </w:rPr>
        <w:t>Reconstrucción excluyendo Metro</w:t>
      </w:r>
      <w:r w:rsidRPr="00135E24">
        <w:rPr>
          <w:rStyle w:val="Refdenotaalpie"/>
          <w:rFonts w:cstheme="minorHAnsi"/>
          <w:sz w:val="32"/>
          <w:szCs w:val="32"/>
          <w:lang w:val="es-CL"/>
        </w:rPr>
        <w:footnoteReference w:id="2"/>
      </w:r>
      <w:r w:rsidRPr="00135E24">
        <w:rPr>
          <w:rFonts w:cstheme="minorHAnsi"/>
          <w:sz w:val="32"/>
          <w:szCs w:val="32"/>
          <w:lang w:val="es-CL"/>
        </w:rPr>
        <w:t xml:space="preserve">: US$ </w:t>
      </w:r>
      <w:r w:rsidR="00294669" w:rsidRPr="00294669">
        <w:rPr>
          <w:rFonts w:cstheme="minorHAnsi"/>
          <w:sz w:val="32"/>
          <w:szCs w:val="32"/>
          <w:lang w:val="es-CL"/>
        </w:rPr>
        <w:t>921</w:t>
      </w:r>
      <w:r w:rsidRPr="00294669">
        <w:rPr>
          <w:rFonts w:cstheme="minorHAnsi"/>
          <w:sz w:val="32"/>
          <w:szCs w:val="32"/>
          <w:lang w:val="es-CL"/>
        </w:rPr>
        <w:t xml:space="preserve"> millones</w:t>
      </w:r>
      <w:r w:rsidRPr="00135E24">
        <w:rPr>
          <w:rFonts w:cstheme="minorHAnsi"/>
          <w:sz w:val="32"/>
          <w:szCs w:val="32"/>
          <w:lang w:val="es-CL"/>
        </w:rPr>
        <w:t xml:space="preserve"> </w:t>
      </w:r>
    </w:p>
    <w:p w:rsidR="00581A96" w:rsidRPr="00135E24" w:rsidRDefault="00581A96" w:rsidP="00581A96">
      <w:pPr>
        <w:pStyle w:val="Prrafodelista"/>
        <w:numPr>
          <w:ilvl w:val="0"/>
          <w:numId w:val="3"/>
        </w:numPr>
        <w:jc w:val="both"/>
        <w:rPr>
          <w:rFonts w:cstheme="minorHAnsi"/>
          <w:sz w:val="32"/>
          <w:szCs w:val="32"/>
          <w:lang w:val="es-CL"/>
        </w:rPr>
      </w:pPr>
      <w:r w:rsidRPr="00135E24">
        <w:rPr>
          <w:rFonts w:cstheme="minorHAnsi"/>
          <w:sz w:val="32"/>
          <w:szCs w:val="32"/>
          <w:lang w:val="es-CL"/>
        </w:rPr>
        <w:t>Proyectos de inversión en regiones: US$ 480 millones</w:t>
      </w:r>
    </w:p>
    <w:p w:rsidR="00581A96" w:rsidRPr="00135E24" w:rsidRDefault="00581A96" w:rsidP="00581A96">
      <w:pPr>
        <w:pStyle w:val="Prrafodelista"/>
        <w:numPr>
          <w:ilvl w:val="0"/>
          <w:numId w:val="3"/>
        </w:numPr>
        <w:jc w:val="both"/>
        <w:rPr>
          <w:rFonts w:cstheme="minorHAnsi"/>
          <w:sz w:val="32"/>
          <w:szCs w:val="32"/>
          <w:lang w:val="es-CL"/>
        </w:rPr>
      </w:pPr>
      <w:r w:rsidRPr="00135E24">
        <w:rPr>
          <w:rFonts w:cstheme="minorHAnsi"/>
          <w:sz w:val="32"/>
          <w:szCs w:val="32"/>
          <w:lang w:val="es-CL"/>
        </w:rPr>
        <w:t>Construcción de vivienda, subsidios y mejora de barrios: US$ 350 millones</w:t>
      </w:r>
    </w:p>
    <w:p w:rsidR="00581A96" w:rsidRPr="00135E24" w:rsidRDefault="00581A96" w:rsidP="00581A96">
      <w:pPr>
        <w:pStyle w:val="Prrafodelista"/>
        <w:numPr>
          <w:ilvl w:val="0"/>
          <w:numId w:val="3"/>
        </w:numPr>
        <w:jc w:val="both"/>
        <w:rPr>
          <w:rFonts w:cstheme="minorHAnsi"/>
          <w:sz w:val="32"/>
          <w:szCs w:val="32"/>
          <w:lang w:val="es-CL"/>
        </w:rPr>
      </w:pPr>
      <w:r w:rsidRPr="00135E24">
        <w:rPr>
          <w:rFonts w:cstheme="minorHAnsi"/>
          <w:sz w:val="32"/>
          <w:szCs w:val="32"/>
          <w:lang w:val="es-CL"/>
        </w:rPr>
        <w:t>Adelanto de inversión en equipamiento local: US$ 218 millones</w:t>
      </w:r>
    </w:p>
    <w:p w:rsidR="00581A96" w:rsidRPr="00135E24" w:rsidRDefault="00581A96" w:rsidP="00581A96">
      <w:pPr>
        <w:pStyle w:val="Prrafodelista"/>
        <w:numPr>
          <w:ilvl w:val="0"/>
          <w:numId w:val="3"/>
        </w:numPr>
        <w:jc w:val="both"/>
        <w:rPr>
          <w:rFonts w:cstheme="minorHAnsi"/>
          <w:sz w:val="32"/>
          <w:szCs w:val="32"/>
          <w:lang w:val="es-CL"/>
        </w:rPr>
      </w:pPr>
      <w:r w:rsidRPr="00135E24">
        <w:rPr>
          <w:rFonts w:cstheme="minorHAnsi"/>
          <w:sz w:val="32"/>
          <w:szCs w:val="32"/>
          <w:lang w:val="es-CL"/>
        </w:rPr>
        <w:t>Infraestructura para ferias libres a nivel nacional: US$ 20 millones</w:t>
      </w:r>
    </w:p>
    <w:p w:rsidR="00581A96" w:rsidRPr="00135E24" w:rsidRDefault="00581A96" w:rsidP="00581A96">
      <w:pPr>
        <w:pStyle w:val="Prrafodelista"/>
        <w:numPr>
          <w:ilvl w:val="0"/>
          <w:numId w:val="3"/>
        </w:numPr>
        <w:jc w:val="both"/>
        <w:rPr>
          <w:rFonts w:cstheme="minorHAnsi"/>
          <w:sz w:val="32"/>
          <w:szCs w:val="32"/>
          <w:lang w:val="es-CL"/>
        </w:rPr>
      </w:pPr>
      <w:r w:rsidRPr="00135E24">
        <w:rPr>
          <w:rFonts w:cstheme="minorHAnsi"/>
          <w:sz w:val="32"/>
          <w:szCs w:val="32"/>
          <w:lang w:val="es-CL"/>
        </w:rPr>
        <w:t xml:space="preserve">Tren Santiago-Melipilla, con un costo total de US$ 1.500 millones en cinco años y US$ 200 millones por año en los próximos dos años </w:t>
      </w:r>
    </w:p>
    <w:p w:rsidR="00581A96" w:rsidRPr="00135E24" w:rsidRDefault="00581A96" w:rsidP="00581A96">
      <w:pPr>
        <w:pStyle w:val="Prrafodelista"/>
        <w:numPr>
          <w:ilvl w:val="0"/>
          <w:numId w:val="3"/>
        </w:numPr>
        <w:jc w:val="both"/>
        <w:rPr>
          <w:rFonts w:cstheme="minorHAnsi"/>
          <w:sz w:val="32"/>
          <w:szCs w:val="32"/>
          <w:lang w:val="es-CL"/>
        </w:rPr>
      </w:pPr>
      <w:r w:rsidRPr="00135E24">
        <w:rPr>
          <w:rFonts w:cstheme="minorHAnsi"/>
          <w:sz w:val="32"/>
          <w:szCs w:val="32"/>
          <w:lang w:val="es-CL"/>
        </w:rPr>
        <w:lastRenderedPageBreak/>
        <w:t xml:space="preserve">Obras de Agua Potable por US$ 200 millones </w:t>
      </w:r>
    </w:p>
    <w:p w:rsidR="00581A96" w:rsidRPr="00135E24" w:rsidRDefault="00581A96" w:rsidP="00581A96">
      <w:pPr>
        <w:pStyle w:val="Prrafodelista"/>
        <w:numPr>
          <w:ilvl w:val="0"/>
          <w:numId w:val="3"/>
        </w:numPr>
        <w:jc w:val="both"/>
        <w:rPr>
          <w:rFonts w:cstheme="minorHAnsi"/>
          <w:sz w:val="32"/>
          <w:szCs w:val="32"/>
          <w:lang w:val="es-CL"/>
        </w:rPr>
      </w:pPr>
      <w:r w:rsidRPr="00135E24">
        <w:rPr>
          <w:rFonts w:cstheme="minorHAnsi"/>
          <w:sz w:val="32"/>
          <w:szCs w:val="32"/>
          <w:lang w:val="es-CL"/>
        </w:rPr>
        <w:t xml:space="preserve">Fondo Apoyo Educación Pública para equipamiento e infraestructura (US$ 46 millones) </w:t>
      </w:r>
    </w:p>
    <w:p w:rsidR="00581A96" w:rsidRPr="00135E24" w:rsidRDefault="00581A96" w:rsidP="00581A96">
      <w:pPr>
        <w:pStyle w:val="Prrafodelista"/>
        <w:numPr>
          <w:ilvl w:val="0"/>
          <w:numId w:val="3"/>
        </w:numPr>
        <w:jc w:val="both"/>
        <w:rPr>
          <w:rFonts w:cstheme="minorHAnsi"/>
          <w:sz w:val="32"/>
          <w:szCs w:val="32"/>
          <w:lang w:val="es-CL"/>
        </w:rPr>
      </w:pPr>
      <w:r w:rsidRPr="00135E24">
        <w:rPr>
          <w:rFonts w:cstheme="minorHAnsi"/>
          <w:sz w:val="32"/>
          <w:szCs w:val="32"/>
          <w:lang w:val="es-CL"/>
        </w:rPr>
        <w:t xml:space="preserve">Aporte al Fondo Común Municipal por US$ 50 millones </w:t>
      </w:r>
    </w:p>
    <w:p w:rsidR="00581A96" w:rsidRPr="00135E24" w:rsidRDefault="00581A96" w:rsidP="00581A96">
      <w:pPr>
        <w:pStyle w:val="Prrafodelista"/>
        <w:numPr>
          <w:ilvl w:val="0"/>
          <w:numId w:val="3"/>
        </w:numPr>
        <w:jc w:val="both"/>
        <w:rPr>
          <w:rFonts w:cstheme="minorHAnsi"/>
          <w:sz w:val="32"/>
          <w:szCs w:val="32"/>
          <w:lang w:val="es-CL"/>
        </w:rPr>
      </w:pPr>
      <w:r w:rsidRPr="00135E24">
        <w:rPr>
          <w:rFonts w:cstheme="minorHAnsi"/>
          <w:sz w:val="32"/>
          <w:szCs w:val="32"/>
          <w:lang w:val="es-CL"/>
        </w:rPr>
        <w:t>Incentivo a donaciones para infraestructura pública por hasta US$ 75 millones</w:t>
      </w:r>
    </w:p>
    <w:p w:rsidR="00581A96" w:rsidRPr="00135E24" w:rsidRDefault="00581A96" w:rsidP="00581A96">
      <w:pPr>
        <w:pStyle w:val="Prrafodelista"/>
        <w:numPr>
          <w:ilvl w:val="0"/>
          <w:numId w:val="3"/>
        </w:numPr>
        <w:jc w:val="both"/>
        <w:rPr>
          <w:rFonts w:cstheme="minorHAnsi"/>
          <w:sz w:val="32"/>
          <w:szCs w:val="32"/>
          <w:lang w:val="es-CL"/>
        </w:rPr>
      </w:pPr>
      <w:r w:rsidRPr="00135E24">
        <w:rPr>
          <w:rFonts w:cstheme="minorHAnsi"/>
          <w:sz w:val="32"/>
          <w:szCs w:val="32"/>
          <w:lang w:val="es-CL"/>
        </w:rPr>
        <w:t>Fondo concursable de apoyo a la inversión en municipios US$ 100 millones</w:t>
      </w:r>
    </w:p>
    <w:p w:rsidR="00581A96" w:rsidRPr="00135E24" w:rsidRDefault="00581A96" w:rsidP="00581A96">
      <w:pPr>
        <w:pStyle w:val="Prrafodelista"/>
        <w:numPr>
          <w:ilvl w:val="0"/>
          <w:numId w:val="3"/>
        </w:numPr>
        <w:jc w:val="both"/>
        <w:rPr>
          <w:rFonts w:cstheme="minorHAnsi"/>
          <w:sz w:val="32"/>
          <w:szCs w:val="32"/>
          <w:lang w:val="es-CL"/>
        </w:rPr>
      </w:pPr>
      <w:r w:rsidRPr="00135E24">
        <w:rPr>
          <w:rFonts w:cstheme="minorHAnsi"/>
          <w:sz w:val="32"/>
          <w:szCs w:val="32"/>
          <w:lang w:val="es-CL"/>
        </w:rPr>
        <w:t xml:space="preserve">Mejora de infraestructura de jardines infantiles por US$ 65 millones </w:t>
      </w:r>
    </w:p>
    <w:p w:rsidR="00581A96" w:rsidRPr="00135E24" w:rsidRDefault="00581A96" w:rsidP="002A7B7D">
      <w:pPr>
        <w:pStyle w:val="Prrafodelista"/>
        <w:jc w:val="both"/>
        <w:rPr>
          <w:rFonts w:cstheme="minorHAnsi"/>
          <w:b/>
          <w:sz w:val="32"/>
          <w:szCs w:val="32"/>
          <w:lang w:val="es-CL"/>
        </w:rPr>
      </w:pPr>
    </w:p>
    <w:p w:rsidR="00253D13" w:rsidRPr="00135E24" w:rsidRDefault="00253D13" w:rsidP="00BA5180">
      <w:pPr>
        <w:pStyle w:val="Prrafodelista"/>
        <w:rPr>
          <w:rFonts w:cstheme="minorHAnsi"/>
          <w:sz w:val="32"/>
          <w:szCs w:val="32"/>
          <w:lang w:val="es-CL"/>
        </w:rPr>
      </w:pPr>
    </w:p>
    <w:p w:rsidR="00BA5180" w:rsidRPr="00135E24" w:rsidRDefault="00BA5180" w:rsidP="00581A96">
      <w:pPr>
        <w:pStyle w:val="Prrafodelista"/>
        <w:numPr>
          <w:ilvl w:val="1"/>
          <w:numId w:val="6"/>
        </w:numPr>
        <w:jc w:val="both"/>
        <w:rPr>
          <w:rFonts w:cstheme="minorHAnsi"/>
          <w:b/>
          <w:sz w:val="32"/>
          <w:szCs w:val="32"/>
          <w:lang w:val="es-CL"/>
        </w:rPr>
      </w:pPr>
      <w:r w:rsidRPr="00135E24">
        <w:rPr>
          <w:rFonts w:cstheme="minorHAnsi"/>
          <w:b/>
          <w:sz w:val="32"/>
          <w:szCs w:val="32"/>
          <w:lang w:val="es-CL"/>
        </w:rPr>
        <w:t>Apo</w:t>
      </w:r>
      <w:r w:rsidR="008C5392" w:rsidRPr="00135E24">
        <w:rPr>
          <w:rFonts w:cstheme="minorHAnsi"/>
          <w:b/>
          <w:sz w:val="32"/>
          <w:szCs w:val="32"/>
          <w:lang w:val="es-CL"/>
        </w:rPr>
        <w:t xml:space="preserve">yo a las </w:t>
      </w:r>
      <w:proofErr w:type="spellStart"/>
      <w:r w:rsidR="002A7B7D" w:rsidRPr="00135E24">
        <w:rPr>
          <w:rFonts w:cstheme="minorHAnsi"/>
          <w:b/>
          <w:sz w:val="32"/>
          <w:szCs w:val="32"/>
          <w:lang w:val="es-CL"/>
        </w:rPr>
        <w:t>Mi</w:t>
      </w:r>
      <w:r w:rsidR="008C5392" w:rsidRPr="00135E24">
        <w:rPr>
          <w:rFonts w:cstheme="minorHAnsi"/>
          <w:b/>
          <w:sz w:val="32"/>
          <w:szCs w:val="32"/>
          <w:lang w:val="es-CL"/>
        </w:rPr>
        <w:t>Pymes</w:t>
      </w:r>
      <w:proofErr w:type="spellEnd"/>
    </w:p>
    <w:p w:rsidR="00581A96" w:rsidRPr="00135E24" w:rsidRDefault="00581A96" w:rsidP="00581A96">
      <w:pPr>
        <w:pStyle w:val="Prrafodelista"/>
        <w:ind w:left="375"/>
        <w:jc w:val="both"/>
        <w:rPr>
          <w:rFonts w:cstheme="minorHAnsi"/>
          <w:b/>
          <w:sz w:val="32"/>
          <w:szCs w:val="32"/>
          <w:lang w:val="es-CL"/>
        </w:rPr>
      </w:pPr>
    </w:p>
    <w:p w:rsidR="008C5392" w:rsidRPr="00135E24" w:rsidRDefault="008C5392" w:rsidP="008C5392">
      <w:pPr>
        <w:pStyle w:val="Prrafodelista"/>
        <w:numPr>
          <w:ilvl w:val="0"/>
          <w:numId w:val="2"/>
        </w:numPr>
        <w:jc w:val="both"/>
        <w:rPr>
          <w:rFonts w:cstheme="minorHAnsi"/>
          <w:sz w:val="32"/>
          <w:szCs w:val="32"/>
          <w:lang w:val="es-CL"/>
        </w:rPr>
      </w:pPr>
      <w:r w:rsidRPr="00135E24">
        <w:rPr>
          <w:rFonts w:cstheme="minorHAnsi"/>
          <w:sz w:val="32"/>
          <w:szCs w:val="32"/>
          <w:u w:val="single"/>
          <w:lang w:val="es-CL"/>
        </w:rPr>
        <w:t>Devolución anticipada de impuesto a la renta</w:t>
      </w:r>
      <w:r w:rsidRPr="00135E24">
        <w:rPr>
          <w:rFonts w:cstheme="minorHAnsi"/>
          <w:sz w:val="32"/>
          <w:szCs w:val="32"/>
          <w:lang w:val="es-CL"/>
        </w:rPr>
        <w:t xml:space="preserve">: </w:t>
      </w:r>
      <w:r w:rsidR="005C04CB" w:rsidRPr="00135E24">
        <w:rPr>
          <w:rFonts w:cstheme="minorHAnsi"/>
          <w:sz w:val="32"/>
          <w:szCs w:val="32"/>
          <w:lang w:val="es-CL"/>
        </w:rPr>
        <w:t xml:space="preserve">para las </w:t>
      </w:r>
      <w:proofErr w:type="spellStart"/>
      <w:r w:rsidR="005C04CB" w:rsidRPr="00135E24">
        <w:rPr>
          <w:rFonts w:cstheme="minorHAnsi"/>
          <w:sz w:val="32"/>
          <w:szCs w:val="32"/>
          <w:lang w:val="es-CL"/>
        </w:rPr>
        <w:t>MiPymes</w:t>
      </w:r>
      <w:proofErr w:type="spellEnd"/>
      <w:r w:rsidR="005C04CB" w:rsidRPr="00135E24">
        <w:rPr>
          <w:rFonts w:cstheme="minorHAnsi"/>
          <w:sz w:val="32"/>
          <w:szCs w:val="32"/>
          <w:lang w:val="es-CL"/>
        </w:rPr>
        <w:t xml:space="preserve"> que experimentaron una caída de sus ventas en octubre</w:t>
      </w:r>
      <w:r w:rsidR="00C40B25" w:rsidRPr="00135E24">
        <w:rPr>
          <w:rFonts w:cstheme="minorHAnsi"/>
          <w:sz w:val="32"/>
          <w:szCs w:val="32"/>
          <w:lang w:val="es-CL"/>
        </w:rPr>
        <w:t xml:space="preserve"> respecto del promedio de los últimos doce meses</w:t>
      </w:r>
      <w:r w:rsidR="005C04CB" w:rsidRPr="00135E24">
        <w:rPr>
          <w:rFonts w:cstheme="minorHAnsi"/>
          <w:sz w:val="32"/>
          <w:szCs w:val="32"/>
          <w:lang w:val="es-CL"/>
        </w:rPr>
        <w:t xml:space="preserve">, se contempla </w:t>
      </w:r>
      <w:r w:rsidR="006D0D59" w:rsidRPr="00135E24">
        <w:rPr>
          <w:rFonts w:cstheme="minorHAnsi"/>
          <w:sz w:val="32"/>
          <w:szCs w:val="32"/>
          <w:lang w:val="es-CL"/>
        </w:rPr>
        <w:t>devolver anticipadamente</w:t>
      </w:r>
      <w:r w:rsidR="005C04CB" w:rsidRPr="00135E24">
        <w:rPr>
          <w:rFonts w:cstheme="minorHAnsi"/>
          <w:sz w:val="32"/>
          <w:szCs w:val="32"/>
          <w:lang w:val="es-CL"/>
        </w:rPr>
        <w:t xml:space="preserve"> </w:t>
      </w:r>
      <w:r w:rsidR="00C40B25" w:rsidRPr="00135E24">
        <w:rPr>
          <w:rFonts w:cstheme="minorHAnsi"/>
          <w:sz w:val="32"/>
          <w:szCs w:val="32"/>
          <w:lang w:val="es-CL"/>
        </w:rPr>
        <w:t xml:space="preserve">entre un 20% y un 75% </w:t>
      </w:r>
      <w:r w:rsidR="001C2D47" w:rsidRPr="00135E24">
        <w:rPr>
          <w:rFonts w:cstheme="minorHAnsi"/>
          <w:sz w:val="32"/>
          <w:szCs w:val="32"/>
          <w:lang w:val="es-CL"/>
        </w:rPr>
        <w:t xml:space="preserve">del promedio </w:t>
      </w:r>
      <w:r w:rsidR="007F5096" w:rsidRPr="00135E24">
        <w:rPr>
          <w:rFonts w:cstheme="minorHAnsi"/>
          <w:sz w:val="32"/>
          <w:szCs w:val="32"/>
          <w:lang w:val="es-CL"/>
        </w:rPr>
        <w:t xml:space="preserve">simple </w:t>
      </w:r>
      <w:r w:rsidR="001C2D47" w:rsidRPr="00135E24">
        <w:rPr>
          <w:rFonts w:cstheme="minorHAnsi"/>
          <w:sz w:val="32"/>
          <w:szCs w:val="32"/>
          <w:lang w:val="es-CL"/>
        </w:rPr>
        <w:t>entre</w:t>
      </w:r>
      <w:r w:rsidR="007F5096" w:rsidRPr="00135E24">
        <w:rPr>
          <w:rFonts w:cstheme="minorHAnsi"/>
          <w:sz w:val="32"/>
          <w:szCs w:val="32"/>
          <w:lang w:val="es-CL"/>
        </w:rPr>
        <w:t>:</w:t>
      </w:r>
      <w:r w:rsidR="001C2D47" w:rsidRPr="00135E24">
        <w:rPr>
          <w:rFonts w:cstheme="minorHAnsi"/>
          <w:sz w:val="32"/>
          <w:szCs w:val="32"/>
          <w:lang w:val="es-CL"/>
        </w:rPr>
        <w:t xml:space="preserve"> los PPM pagados </w:t>
      </w:r>
      <w:r w:rsidR="007F5096" w:rsidRPr="00135E24">
        <w:rPr>
          <w:rFonts w:cstheme="minorHAnsi"/>
          <w:sz w:val="32"/>
          <w:szCs w:val="32"/>
          <w:lang w:val="es-CL"/>
        </w:rPr>
        <w:t xml:space="preserve">hasta septiembre de </w:t>
      </w:r>
      <w:r w:rsidR="001C2D47" w:rsidRPr="00135E24">
        <w:rPr>
          <w:rFonts w:cstheme="minorHAnsi"/>
          <w:sz w:val="32"/>
          <w:szCs w:val="32"/>
          <w:lang w:val="es-CL"/>
        </w:rPr>
        <w:t>este año y las devoluciones recibidas en los últimos dos años</w:t>
      </w:r>
      <w:r w:rsidR="00C40B25" w:rsidRPr="00135E24">
        <w:rPr>
          <w:rFonts w:cstheme="minorHAnsi"/>
          <w:sz w:val="32"/>
          <w:szCs w:val="32"/>
          <w:lang w:val="es-CL"/>
        </w:rPr>
        <w:t xml:space="preserve">. </w:t>
      </w:r>
      <w:r w:rsidR="008F1173" w:rsidRPr="00135E24">
        <w:rPr>
          <w:rFonts w:cstheme="minorHAnsi"/>
          <w:sz w:val="32"/>
          <w:szCs w:val="32"/>
          <w:lang w:val="es-CL"/>
        </w:rPr>
        <w:t>Esta medida implica liberar recu</w:t>
      </w:r>
      <w:r w:rsidR="007E35F7" w:rsidRPr="00135E24">
        <w:rPr>
          <w:rFonts w:cstheme="minorHAnsi"/>
          <w:sz w:val="32"/>
          <w:szCs w:val="32"/>
          <w:lang w:val="es-CL"/>
        </w:rPr>
        <w:t xml:space="preserve">rsos por hasta US$ 536 millones y beneficiará a más de 500 mil </w:t>
      </w:r>
      <w:proofErr w:type="spellStart"/>
      <w:r w:rsidR="007E35F7" w:rsidRPr="00135E24">
        <w:rPr>
          <w:rFonts w:cstheme="minorHAnsi"/>
          <w:sz w:val="32"/>
          <w:szCs w:val="32"/>
          <w:lang w:val="es-CL"/>
        </w:rPr>
        <w:t>MiPymes</w:t>
      </w:r>
      <w:proofErr w:type="spellEnd"/>
      <w:r w:rsidR="007E35F7" w:rsidRPr="00135E24">
        <w:rPr>
          <w:rFonts w:cstheme="minorHAnsi"/>
          <w:sz w:val="32"/>
          <w:szCs w:val="32"/>
          <w:lang w:val="es-CL"/>
        </w:rPr>
        <w:t xml:space="preserve">. </w:t>
      </w:r>
      <w:r w:rsidR="000F2EB0" w:rsidRPr="00135E24">
        <w:rPr>
          <w:rFonts w:cstheme="minorHAnsi"/>
          <w:sz w:val="32"/>
          <w:szCs w:val="32"/>
          <w:lang w:val="es-CL"/>
        </w:rPr>
        <w:t xml:space="preserve">  </w:t>
      </w:r>
    </w:p>
    <w:p w:rsidR="007E35F7" w:rsidRPr="00135E24" w:rsidRDefault="00564257" w:rsidP="007E35F7">
      <w:pPr>
        <w:pStyle w:val="Prrafodelista"/>
        <w:numPr>
          <w:ilvl w:val="0"/>
          <w:numId w:val="2"/>
        </w:numPr>
        <w:jc w:val="both"/>
        <w:rPr>
          <w:rFonts w:cstheme="minorHAnsi"/>
          <w:sz w:val="32"/>
          <w:szCs w:val="32"/>
          <w:lang w:val="es-CL"/>
        </w:rPr>
      </w:pPr>
      <w:r w:rsidRPr="00135E24">
        <w:rPr>
          <w:rFonts w:cstheme="minorHAnsi"/>
          <w:sz w:val="32"/>
          <w:szCs w:val="32"/>
          <w:u w:val="single"/>
          <w:lang w:val="es-CL"/>
        </w:rPr>
        <w:t>Facilidades para el pago del IVA</w:t>
      </w:r>
      <w:r w:rsidRPr="00135E24">
        <w:rPr>
          <w:rFonts w:cstheme="minorHAnsi"/>
          <w:sz w:val="32"/>
          <w:szCs w:val="32"/>
          <w:lang w:val="es-CL"/>
        </w:rPr>
        <w:t xml:space="preserve">: </w:t>
      </w:r>
      <w:r w:rsidR="00C40B25" w:rsidRPr="00135E24">
        <w:rPr>
          <w:rFonts w:cstheme="minorHAnsi"/>
          <w:sz w:val="32"/>
          <w:szCs w:val="32"/>
          <w:lang w:val="es-CL"/>
        </w:rPr>
        <w:t xml:space="preserve">Para el mismo universo de </w:t>
      </w:r>
      <w:proofErr w:type="spellStart"/>
      <w:r w:rsidR="00C40B25" w:rsidRPr="00135E24">
        <w:rPr>
          <w:rFonts w:cstheme="minorHAnsi"/>
          <w:sz w:val="32"/>
          <w:szCs w:val="32"/>
          <w:lang w:val="es-CL"/>
        </w:rPr>
        <w:t>MiPymes</w:t>
      </w:r>
      <w:proofErr w:type="spellEnd"/>
      <w:r w:rsidR="00C40B25" w:rsidRPr="00135E24">
        <w:rPr>
          <w:rFonts w:cstheme="minorHAnsi"/>
          <w:sz w:val="32"/>
          <w:szCs w:val="32"/>
          <w:lang w:val="es-CL"/>
        </w:rPr>
        <w:t xml:space="preserve"> señalado en el punto anterior, se contempla </w:t>
      </w:r>
      <w:r w:rsidR="000F2EB0" w:rsidRPr="00135E24">
        <w:rPr>
          <w:rFonts w:cstheme="minorHAnsi"/>
          <w:sz w:val="32"/>
          <w:szCs w:val="32"/>
          <w:lang w:val="es-CL"/>
        </w:rPr>
        <w:t>dar facilidades para el pago del IVA. En concreto, se considera el pago en 12 cuotas</w:t>
      </w:r>
      <w:r w:rsidR="001C2D47" w:rsidRPr="00135E24">
        <w:rPr>
          <w:rFonts w:cstheme="minorHAnsi"/>
          <w:sz w:val="32"/>
          <w:szCs w:val="32"/>
          <w:lang w:val="es-CL"/>
        </w:rPr>
        <w:t xml:space="preserve">, con tasa de interés real cero y </w:t>
      </w:r>
      <w:r w:rsidR="000F2EB0" w:rsidRPr="00135E24">
        <w:rPr>
          <w:rFonts w:cstheme="minorHAnsi"/>
          <w:sz w:val="32"/>
          <w:szCs w:val="32"/>
          <w:lang w:val="es-CL"/>
        </w:rPr>
        <w:t xml:space="preserve">a partir de febrero del próximo año, del IVA correspondiente a los meses de octubre, noviembre y diciembre. </w:t>
      </w:r>
      <w:r w:rsidR="004D05B3" w:rsidRPr="00135E24">
        <w:rPr>
          <w:rFonts w:cstheme="minorHAnsi"/>
          <w:sz w:val="32"/>
          <w:szCs w:val="32"/>
          <w:lang w:val="es-CL"/>
        </w:rPr>
        <w:t>Esta medida implica liberar recurs</w:t>
      </w:r>
      <w:r w:rsidR="007E35F7" w:rsidRPr="00135E24">
        <w:rPr>
          <w:rFonts w:cstheme="minorHAnsi"/>
          <w:sz w:val="32"/>
          <w:szCs w:val="32"/>
          <w:lang w:val="es-CL"/>
        </w:rPr>
        <w:t>os por hasta US$ 564 millones</w:t>
      </w:r>
      <w:r w:rsidR="00135E24" w:rsidRPr="00135E24">
        <w:rPr>
          <w:rFonts w:cstheme="minorHAnsi"/>
          <w:sz w:val="32"/>
          <w:szCs w:val="32"/>
          <w:lang w:val="es-CL"/>
        </w:rPr>
        <w:t xml:space="preserve">. </w:t>
      </w:r>
    </w:p>
    <w:p w:rsidR="00135E24" w:rsidRPr="00135E24" w:rsidRDefault="00135E24" w:rsidP="00135E24">
      <w:pPr>
        <w:pStyle w:val="Prrafodelista"/>
        <w:ind w:left="1440"/>
        <w:jc w:val="both"/>
        <w:rPr>
          <w:rFonts w:cstheme="minorHAnsi"/>
          <w:sz w:val="32"/>
          <w:szCs w:val="32"/>
          <w:lang w:val="es-CL"/>
        </w:rPr>
      </w:pPr>
    </w:p>
    <w:p w:rsidR="00980396" w:rsidRPr="00135E24" w:rsidRDefault="00980396" w:rsidP="00980396">
      <w:pPr>
        <w:pStyle w:val="Prrafodelista"/>
        <w:numPr>
          <w:ilvl w:val="0"/>
          <w:numId w:val="2"/>
        </w:numPr>
        <w:jc w:val="both"/>
        <w:rPr>
          <w:rFonts w:cstheme="minorHAnsi"/>
          <w:sz w:val="32"/>
          <w:szCs w:val="32"/>
          <w:lang w:val="es-CL"/>
        </w:rPr>
      </w:pPr>
      <w:r w:rsidRPr="00135E24">
        <w:rPr>
          <w:rFonts w:cstheme="minorHAnsi"/>
          <w:sz w:val="32"/>
          <w:szCs w:val="32"/>
          <w:u w:val="single"/>
          <w:lang w:val="es-CL"/>
        </w:rPr>
        <w:t xml:space="preserve">Régimen especial de donaciones para </w:t>
      </w:r>
      <w:proofErr w:type="spellStart"/>
      <w:r w:rsidR="00185FF4" w:rsidRPr="00135E24">
        <w:rPr>
          <w:rFonts w:cstheme="minorHAnsi"/>
          <w:sz w:val="32"/>
          <w:szCs w:val="32"/>
          <w:u w:val="single"/>
          <w:lang w:val="es-CL"/>
        </w:rPr>
        <w:t>MiPymes</w:t>
      </w:r>
      <w:proofErr w:type="spellEnd"/>
      <w:r w:rsidRPr="00135E24">
        <w:rPr>
          <w:rFonts w:cstheme="minorHAnsi"/>
          <w:sz w:val="32"/>
          <w:szCs w:val="32"/>
          <w:lang w:val="es-CL"/>
        </w:rPr>
        <w:t>: por un período de 18 meses se creará un régimen espe</w:t>
      </w:r>
      <w:r w:rsidR="007F5096" w:rsidRPr="00135E24">
        <w:rPr>
          <w:rFonts w:cstheme="minorHAnsi"/>
          <w:sz w:val="32"/>
          <w:szCs w:val="32"/>
          <w:lang w:val="es-CL"/>
        </w:rPr>
        <w:t xml:space="preserve">cial de donaciones que </w:t>
      </w:r>
      <w:proofErr w:type="spellStart"/>
      <w:r w:rsidR="007F5096" w:rsidRPr="00135E24">
        <w:rPr>
          <w:rFonts w:cstheme="minorHAnsi"/>
          <w:sz w:val="32"/>
          <w:szCs w:val="32"/>
          <w:lang w:val="es-CL"/>
        </w:rPr>
        <w:lastRenderedPageBreak/>
        <w:t>favorerá</w:t>
      </w:r>
      <w:proofErr w:type="spellEnd"/>
      <w:r w:rsidRPr="00135E24">
        <w:rPr>
          <w:rFonts w:cstheme="minorHAnsi"/>
          <w:sz w:val="32"/>
          <w:szCs w:val="32"/>
          <w:lang w:val="es-CL"/>
        </w:rPr>
        <w:t xml:space="preserve"> a las </w:t>
      </w:r>
      <w:proofErr w:type="spellStart"/>
      <w:r w:rsidRPr="00135E24">
        <w:rPr>
          <w:rFonts w:cstheme="minorHAnsi"/>
          <w:sz w:val="32"/>
          <w:szCs w:val="32"/>
          <w:lang w:val="es-CL"/>
        </w:rPr>
        <w:t>Mipymes</w:t>
      </w:r>
      <w:proofErr w:type="spellEnd"/>
      <w:r w:rsidRPr="00135E24">
        <w:rPr>
          <w:rFonts w:cstheme="minorHAnsi"/>
          <w:sz w:val="32"/>
          <w:szCs w:val="32"/>
          <w:lang w:val="es-CL"/>
        </w:rPr>
        <w:t xml:space="preserve"> que sufrieron pérdidas materiales o bajas significativas en su productividad o ventas. Estas donaciones deberán destinarse </w:t>
      </w:r>
      <w:r w:rsidR="007F5096" w:rsidRPr="00135E24">
        <w:rPr>
          <w:rFonts w:cstheme="minorHAnsi"/>
          <w:sz w:val="32"/>
          <w:szCs w:val="32"/>
          <w:lang w:val="es-CL"/>
        </w:rPr>
        <w:t>a</w:t>
      </w:r>
      <w:r w:rsidRPr="00135E24">
        <w:rPr>
          <w:rFonts w:cstheme="minorHAnsi"/>
          <w:sz w:val="32"/>
          <w:szCs w:val="32"/>
          <w:lang w:val="es-CL"/>
        </w:rPr>
        <w:t xml:space="preserve"> financiar la puesta en marcha o la sostenibilidad de las operaciones de las </w:t>
      </w:r>
      <w:proofErr w:type="spellStart"/>
      <w:r w:rsidRPr="00135E24">
        <w:rPr>
          <w:rFonts w:cstheme="minorHAnsi"/>
          <w:sz w:val="32"/>
          <w:szCs w:val="32"/>
          <w:lang w:val="es-CL"/>
        </w:rPr>
        <w:t>Mipymes</w:t>
      </w:r>
      <w:proofErr w:type="spellEnd"/>
      <w:r w:rsidRPr="00135E24">
        <w:rPr>
          <w:rFonts w:cstheme="minorHAnsi"/>
          <w:sz w:val="32"/>
          <w:szCs w:val="32"/>
          <w:lang w:val="es-CL"/>
        </w:rPr>
        <w:t xml:space="preserve">. Para incentivar la realización de estas donaciones a </w:t>
      </w:r>
      <w:proofErr w:type="spellStart"/>
      <w:r w:rsidRPr="00135E24">
        <w:rPr>
          <w:rFonts w:cstheme="minorHAnsi"/>
          <w:sz w:val="32"/>
          <w:szCs w:val="32"/>
          <w:lang w:val="es-CL"/>
        </w:rPr>
        <w:t>Mipymes</w:t>
      </w:r>
      <w:proofErr w:type="spellEnd"/>
      <w:r w:rsidRPr="00135E24">
        <w:rPr>
          <w:rFonts w:cstheme="minorHAnsi"/>
          <w:sz w:val="32"/>
          <w:szCs w:val="32"/>
          <w:lang w:val="es-CL"/>
        </w:rPr>
        <w:t xml:space="preserve"> se otorgarán los siguientes incentivos: </w:t>
      </w:r>
    </w:p>
    <w:p w:rsidR="00980396" w:rsidRPr="00135E24" w:rsidRDefault="00980396" w:rsidP="00980396">
      <w:pPr>
        <w:pStyle w:val="Prrafodelista"/>
        <w:numPr>
          <w:ilvl w:val="0"/>
          <w:numId w:val="5"/>
        </w:numPr>
        <w:jc w:val="both"/>
        <w:rPr>
          <w:rFonts w:cstheme="minorHAnsi"/>
          <w:sz w:val="32"/>
          <w:szCs w:val="32"/>
          <w:lang w:val="es-CL"/>
        </w:rPr>
      </w:pPr>
      <w:r w:rsidRPr="00135E24">
        <w:rPr>
          <w:rFonts w:cstheme="minorHAnsi"/>
          <w:sz w:val="32"/>
          <w:szCs w:val="32"/>
          <w:lang w:val="es-CL"/>
        </w:rPr>
        <w:t>Estas donaciones estarán exentas del impuesto a las donaciones y de cualquier otro impuesto.</w:t>
      </w:r>
    </w:p>
    <w:p w:rsidR="00980396" w:rsidRPr="00135E24" w:rsidRDefault="00980396" w:rsidP="00980396">
      <w:pPr>
        <w:pStyle w:val="Prrafodelista"/>
        <w:numPr>
          <w:ilvl w:val="0"/>
          <w:numId w:val="5"/>
        </w:numPr>
        <w:jc w:val="both"/>
        <w:rPr>
          <w:rFonts w:cstheme="minorHAnsi"/>
          <w:sz w:val="32"/>
          <w:szCs w:val="32"/>
          <w:lang w:val="es-CL"/>
        </w:rPr>
      </w:pPr>
      <w:r w:rsidRPr="00135E24">
        <w:rPr>
          <w:rFonts w:cstheme="minorHAnsi"/>
          <w:sz w:val="32"/>
          <w:szCs w:val="32"/>
          <w:lang w:val="es-CL"/>
        </w:rPr>
        <w:t>Estarán liberadas de la realización del trámite judicial de insinuación.</w:t>
      </w:r>
    </w:p>
    <w:p w:rsidR="00980396" w:rsidRPr="00135E24" w:rsidRDefault="00980396" w:rsidP="00980396">
      <w:pPr>
        <w:pStyle w:val="Prrafodelista"/>
        <w:numPr>
          <w:ilvl w:val="0"/>
          <w:numId w:val="5"/>
        </w:numPr>
        <w:jc w:val="both"/>
        <w:rPr>
          <w:rFonts w:cstheme="minorHAnsi"/>
          <w:sz w:val="32"/>
          <w:szCs w:val="32"/>
          <w:lang w:val="es-CL"/>
        </w:rPr>
      </w:pPr>
      <w:r w:rsidRPr="00135E24">
        <w:rPr>
          <w:rFonts w:cstheme="minorHAnsi"/>
          <w:sz w:val="32"/>
          <w:szCs w:val="32"/>
          <w:lang w:val="es-CL"/>
        </w:rPr>
        <w:t>El Donante podrá deducir como gasto tributario el monto de la donación que efectúe.</w:t>
      </w:r>
    </w:p>
    <w:p w:rsidR="008F1173" w:rsidRPr="00135E24" w:rsidRDefault="00980396" w:rsidP="00980396">
      <w:pPr>
        <w:pStyle w:val="Prrafodelista"/>
        <w:numPr>
          <w:ilvl w:val="0"/>
          <w:numId w:val="2"/>
        </w:numPr>
        <w:jc w:val="both"/>
        <w:rPr>
          <w:rFonts w:cstheme="minorHAnsi"/>
          <w:sz w:val="32"/>
          <w:szCs w:val="32"/>
          <w:lang w:val="es-CL"/>
        </w:rPr>
      </w:pPr>
      <w:r w:rsidRPr="00135E24">
        <w:rPr>
          <w:rFonts w:cstheme="minorHAnsi"/>
          <w:sz w:val="32"/>
          <w:szCs w:val="32"/>
          <w:lang w:val="es-CL"/>
        </w:rPr>
        <w:t xml:space="preserve">Por lo tanto, se establecen incentivos potentes para atraer aportes de la sociedad civil y canalizarlos a través de donaciones que vayan en directo apoyo de las </w:t>
      </w:r>
      <w:proofErr w:type="spellStart"/>
      <w:r w:rsidRPr="00135E24">
        <w:rPr>
          <w:rFonts w:cstheme="minorHAnsi"/>
          <w:sz w:val="32"/>
          <w:szCs w:val="32"/>
          <w:lang w:val="es-CL"/>
        </w:rPr>
        <w:t>Mipymes</w:t>
      </w:r>
      <w:proofErr w:type="spellEnd"/>
      <w:r w:rsidRPr="00135E24">
        <w:rPr>
          <w:rFonts w:cstheme="minorHAnsi"/>
          <w:sz w:val="32"/>
          <w:szCs w:val="32"/>
          <w:lang w:val="es-CL"/>
        </w:rPr>
        <w:t>.</w:t>
      </w:r>
    </w:p>
    <w:p w:rsidR="00980396" w:rsidRPr="00135E24" w:rsidRDefault="00980396" w:rsidP="008F1173">
      <w:pPr>
        <w:pStyle w:val="Prrafodelista"/>
        <w:ind w:left="1440"/>
        <w:jc w:val="both"/>
        <w:rPr>
          <w:rFonts w:cstheme="minorHAnsi"/>
          <w:sz w:val="32"/>
          <w:szCs w:val="32"/>
          <w:lang w:val="es-CL"/>
        </w:rPr>
      </w:pPr>
      <w:r w:rsidRPr="00135E24">
        <w:rPr>
          <w:rFonts w:cstheme="minorHAnsi"/>
          <w:sz w:val="32"/>
          <w:szCs w:val="32"/>
          <w:lang w:val="es-CL"/>
        </w:rPr>
        <w:t xml:space="preserve"> </w:t>
      </w:r>
    </w:p>
    <w:p w:rsidR="008F1173" w:rsidRPr="00135E24" w:rsidRDefault="008F1173" w:rsidP="00980396">
      <w:pPr>
        <w:pStyle w:val="Prrafodelista"/>
        <w:numPr>
          <w:ilvl w:val="0"/>
          <w:numId w:val="2"/>
        </w:numPr>
        <w:jc w:val="both"/>
        <w:rPr>
          <w:rFonts w:cstheme="minorHAnsi"/>
          <w:sz w:val="32"/>
          <w:szCs w:val="32"/>
          <w:lang w:val="es-CL"/>
        </w:rPr>
      </w:pPr>
      <w:r w:rsidRPr="00135E24">
        <w:rPr>
          <w:rFonts w:cstheme="minorHAnsi"/>
          <w:b/>
          <w:sz w:val="32"/>
          <w:szCs w:val="32"/>
          <w:lang w:val="es-CL"/>
        </w:rPr>
        <w:t>Esta semana se ingresará un proyecto de ley al C</w:t>
      </w:r>
      <w:r w:rsidR="00B57DC6" w:rsidRPr="00135E24">
        <w:rPr>
          <w:rFonts w:cstheme="minorHAnsi"/>
          <w:b/>
          <w:sz w:val="32"/>
          <w:szCs w:val="32"/>
          <w:lang w:val="es-CL"/>
        </w:rPr>
        <w:t xml:space="preserve">ongreso con discusión inmediata que permitirá la materialización de estas tres medidas. </w:t>
      </w:r>
    </w:p>
    <w:p w:rsidR="00980396" w:rsidRPr="00135E24" w:rsidRDefault="00980396" w:rsidP="00980396">
      <w:pPr>
        <w:pStyle w:val="Prrafodelista"/>
        <w:ind w:left="1440"/>
        <w:jc w:val="both"/>
        <w:rPr>
          <w:rFonts w:cstheme="minorHAnsi"/>
          <w:sz w:val="32"/>
          <w:szCs w:val="32"/>
          <w:lang w:val="es-CL"/>
        </w:rPr>
      </w:pPr>
    </w:p>
    <w:p w:rsidR="004D05B3" w:rsidRPr="00135E24" w:rsidRDefault="00DF3E66" w:rsidP="00ED47B9">
      <w:pPr>
        <w:pStyle w:val="Prrafodelista"/>
        <w:numPr>
          <w:ilvl w:val="0"/>
          <w:numId w:val="2"/>
        </w:numPr>
        <w:jc w:val="both"/>
        <w:rPr>
          <w:rFonts w:cstheme="minorHAnsi"/>
          <w:sz w:val="32"/>
          <w:szCs w:val="32"/>
          <w:lang w:val="es-CL"/>
        </w:rPr>
      </w:pPr>
      <w:r w:rsidRPr="00135E24">
        <w:rPr>
          <w:rFonts w:cstheme="minorHAnsi"/>
          <w:sz w:val="32"/>
          <w:szCs w:val="32"/>
          <w:u w:val="single"/>
          <w:lang w:val="es-CL"/>
        </w:rPr>
        <w:t xml:space="preserve">Capitalización de Banco Estado, </w:t>
      </w:r>
      <w:proofErr w:type="spellStart"/>
      <w:r w:rsidRPr="00135E24">
        <w:rPr>
          <w:rFonts w:cstheme="minorHAnsi"/>
          <w:sz w:val="32"/>
          <w:szCs w:val="32"/>
          <w:u w:val="single"/>
          <w:lang w:val="es-CL"/>
        </w:rPr>
        <w:t>Fogain</w:t>
      </w:r>
      <w:proofErr w:type="spellEnd"/>
      <w:r w:rsidRPr="00135E24">
        <w:rPr>
          <w:rFonts w:cstheme="minorHAnsi"/>
          <w:sz w:val="32"/>
          <w:szCs w:val="32"/>
          <w:u w:val="single"/>
          <w:lang w:val="es-CL"/>
        </w:rPr>
        <w:t xml:space="preserve"> y </w:t>
      </w:r>
      <w:proofErr w:type="spellStart"/>
      <w:r w:rsidRPr="00135E24">
        <w:rPr>
          <w:rFonts w:cstheme="minorHAnsi"/>
          <w:sz w:val="32"/>
          <w:szCs w:val="32"/>
          <w:u w:val="single"/>
          <w:lang w:val="es-CL"/>
        </w:rPr>
        <w:t>Fogape</w:t>
      </w:r>
      <w:proofErr w:type="spellEnd"/>
      <w:r w:rsidR="00271C97" w:rsidRPr="00135E24">
        <w:rPr>
          <w:rStyle w:val="Refdenotaalpie"/>
          <w:rFonts w:cstheme="minorHAnsi"/>
          <w:sz w:val="32"/>
          <w:szCs w:val="32"/>
          <w:lang w:val="es-CL"/>
        </w:rPr>
        <w:footnoteReference w:id="3"/>
      </w:r>
      <w:r w:rsidRPr="00135E24">
        <w:rPr>
          <w:rFonts w:cstheme="minorHAnsi"/>
          <w:sz w:val="32"/>
          <w:szCs w:val="32"/>
          <w:lang w:val="es-CL"/>
        </w:rPr>
        <w:t>: en total se contemplan recursos por US$ 800 millones para facilitar el acceso al crédito de las empresas de menor tamaño. A la</w:t>
      </w:r>
      <w:r w:rsidR="00F90DD8" w:rsidRPr="00135E24">
        <w:rPr>
          <w:rFonts w:cstheme="minorHAnsi"/>
          <w:sz w:val="32"/>
          <w:szCs w:val="32"/>
          <w:lang w:val="es-CL"/>
        </w:rPr>
        <w:t xml:space="preserve"> aprobada</w:t>
      </w:r>
      <w:r w:rsidRPr="00135E24">
        <w:rPr>
          <w:rFonts w:cstheme="minorHAnsi"/>
          <w:sz w:val="32"/>
          <w:szCs w:val="32"/>
          <w:lang w:val="es-CL"/>
        </w:rPr>
        <w:t xml:space="preserve"> capitalización de Banco Estado por US$ 500</w:t>
      </w:r>
      <w:r w:rsidR="00271C97" w:rsidRPr="00135E24">
        <w:rPr>
          <w:rFonts w:cstheme="minorHAnsi"/>
          <w:sz w:val="32"/>
          <w:szCs w:val="32"/>
          <w:lang w:val="es-CL"/>
        </w:rPr>
        <w:t xml:space="preserve"> </w:t>
      </w:r>
      <w:r w:rsidR="001D4AFE" w:rsidRPr="00135E24">
        <w:rPr>
          <w:rFonts w:cstheme="minorHAnsi"/>
          <w:sz w:val="32"/>
          <w:szCs w:val="32"/>
          <w:lang w:val="es-CL"/>
        </w:rPr>
        <w:t xml:space="preserve">millones </w:t>
      </w:r>
      <w:r w:rsidR="00F90DD8" w:rsidRPr="00135E24">
        <w:rPr>
          <w:rFonts w:cstheme="minorHAnsi"/>
          <w:sz w:val="32"/>
          <w:szCs w:val="32"/>
          <w:lang w:val="es-CL"/>
        </w:rPr>
        <w:t>y los</w:t>
      </w:r>
      <w:r w:rsidRPr="00135E24">
        <w:rPr>
          <w:rFonts w:cstheme="minorHAnsi"/>
          <w:sz w:val="32"/>
          <w:szCs w:val="32"/>
          <w:lang w:val="es-CL"/>
        </w:rPr>
        <w:t xml:space="preserve"> US$ 200 millones</w:t>
      </w:r>
      <w:r w:rsidR="00611B8F" w:rsidRPr="00135E24">
        <w:rPr>
          <w:rFonts w:cstheme="minorHAnsi"/>
          <w:sz w:val="32"/>
          <w:szCs w:val="32"/>
          <w:lang w:val="es-CL"/>
        </w:rPr>
        <w:t xml:space="preserve"> de capitalización para </w:t>
      </w:r>
      <w:proofErr w:type="spellStart"/>
      <w:r w:rsidR="00611B8F" w:rsidRPr="00135E24">
        <w:rPr>
          <w:rFonts w:cstheme="minorHAnsi"/>
          <w:sz w:val="32"/>
          <w:szCs w:val="32"/>
          <w:lang w:val="es-CL"/>
        </w:rPr>
        <w:t>Fogain</w:t>
      </w:r>
      <w:proofErr w:type="spellEnd"/>
      <w:r w:rsidR="00F90DD8" w:rsidRPr="00135E24">
        <w:rPr>
          <w:rFonts w:cstheme="minorHAnsi"/>
          <w:sz w:val="32"/>
          <w:szCs w:val="32"/>
          <w:lang w:val="es-CL"/>
        </w:rPr>
        <w:t xml:space="preserve">, se suman </w:t>
      </w:r>
      <w:r w:rsidRPr="00135E24">
        <w:rPr>
          <w:rFonts w:cstheme="minorHAnsi"/>
          <w:sz w:val="32"/>
          <w:szCs w:val="32"/>
          <w:lang w:val="es-CL"/>
        </w:rPr>
        <w:t xml:space="preserve">US$ 100 millones </w:t>
      </w:r>
      <w:r w:rsidR="00F90DD8" w:rsidRPr="00135E24">
        <w:rPr>
          <w:rFonts w:cstheme="minorHAnsi"/>
          <w:sz w:val="32"/>
          <w:szCs w:val="32"/>
          <w:lang w:val="es-CL"/>
        </w:rPr>
        <w:t xml:space="preserve">de capitalización </w:t>
      </w:r>
      <w:r w:rsidRPr="00135E24">
        <w:rPr>
          <w:rFonts w:cstheme="minorHAnsi"/>
          <w:sz w:val="32"/>
          <w:szCs w:val="32"/>
          <w:lang w:val="es-CL"/>
        </w:rPr>
        <w:t xml:space="preserve">para </w:t>
      </w:r>
      <w:proofErr w:type="spellStart"/>
      <w:r w:rsidRPr="00135E24">
        <w:rPr>
          <w:rFonts w:cstheme="minorHAnsi"/>
          <w:sz w:val="32"/>
          <w:szCs w:val="32"/>
          <w:lang w:val="es-CL"/>
        </w:rPr>
        <w:t>Fogape</w:t>
      </w:r>
      <w:proofErr w:type="spellEnd"/>
      <w:r w:rsidRPr="00135E24">
        <w:rPr>
          <w:rFonts w:cstheme="minorHAnsi"/>
          <w:sz w:val="32"/>
          <w:szCs w:val="32"/>
          <w:lang w:val="es-CL"/>
        </w:rPr>
        <w:t xml:space="preserve">. </w:t>
      </w:r>
      <w:r w:rsidR="00BB6C54" w:rsidRPr="00135E24">
        <w:rPr>
          <w:rFonts w:cstheme="minorHAnsi"/>
          <w:sz w:val="32"/>
          <w:szCs w:val="32"/>
          <w:lang w:val="es-CL"/>
        </w:rPr>
        <w:t xml:space="preserve">La entrega de recursos a </w:t>
      </w:r>
      <w:proofErr w:type="spellStart"/>
      <w:r w:rsidRPr="00135E24">
        <w:rPr>
          <w:rFonts w:cstheme="minorHAnsi"/>
          <w:sz w:val="32"/>
          <w:szCs w:val="32"/>
          <w:lang w:val="es-CL"/>
        </w:rPr>
        <w:t>Fogape</w:t>
      </w:r>
      <w:proofErr w:type="spellEnd"/>
      <w:r w:rsidRPr="00135E24">
        <w:rPr>
          <w:rFonts w:cstheme="minorHAnsi"/>
          <w:sz w:val="32"/>
          <w:szCs w:val="32"/>
          <w:lang w:val="es-CL"/>
        </w:rPr>
        <w:t xml:space="preserve"> se materializar</w:t>
      </w:r>
      <w:r w:rsidR="00BB6C54" w:rsidRPr="00135E24">
        <w:rPr>
          <w:rFonts w:cstheme="minorHAnsi"/>
          <w:sz w:val="32"/>
          <w:szCs w:val="32"/>
          <w:lang w:val="es-CL"/>
        </w:rPr>
        <w:t>á</w:t>
      </w:r>
      <w:r w:rsidRPr="00135E24">
        <w:rPr>
          <w:rFonts w:cstheme="minorHAnsi"/>
          <w:sz w:val="32"/>
          <w:szCs w:val="32"/>
          <w:lang w:val="es-CL"/>
        </w:rPr>
        <w:t xml:space="preserve"> tras la aprobación de un proyecto de ley que será enviado</w:t>
      </w:r>
      <w:r w:rsidR="008F1173" w:rsidRPr="00135E24">
        <w:rPr>
          <w:rFonts w:cstheme="minorHAnsi"/>
          <w:sz w:val="32"/>
          <w:szCs w:val="32"/>
          <w:lang w:val="es-CL"/>
        </w:rPr>
        <w:t xml:space="preserve"> esta semana</w:t>
      </w:r>
      <w:r w:rsidRPr="00135E24">
        <w:rPr>
          <w:rFonts w:cstheme="minorHAnsi"/>
          <w:sz w:val="32"/>
          <w:szCs w:val="32"/>
          <w:lang w:val="es-CL"/>
        </w:rPr>
        <w:t xml:space="preserve"> al Congreso</w:t>
      </w:r>
      <w:r w:rsidR="008F1173" w:rsidRPr="00135E24">
        <w:rPr>
          <w:rFonts w:cstheme="minorHAnsi"/>
          <w:sz w:val="32"/>
          <w:szCs w:val="32"/>
          <w:lang w:val="es-CL"/>
        </w:rPr>
        <w:t xml:space="preserve"> con discusión inmediata</w:t>
      </w:r>
      <w:r w:rsidRPr="00135E24">
        <w:rPr>
          <w:rFonts w:cstheme="minorHAnsi"/>
          <w:sz w:val="32"/>
          <w:szCs w:val="32"/>
          <w:lang w:val="es-CL"/>
        </w:rPr>
        <w:t xml:space="preserve"> </w:t>
      </w:r>
      <w:r w:rsidR="008F1173" w:rsidRPr="00135E24">
        <w:rPr>
          <w:rFonts w:cstheme="minorHAnsi"/>
          <w:sz w:val="32"/>
          <w:szCs w:val="32"/>
          <w:lang w:val="es-CL"/>
        </w:rPr>
        <w:t>permitiendo</w:t>
      </w:r>
      <w:r w:rsidRPr="00135E24">
        <w:rPr>
          <w:rFonts w:cstheme="minorHAnsi"/>
          <w:sz w:val="32"/>
          <w:szCs w:val="32"/>
          <w:lang w:val="es-CL"/>
        </w:rPr>
        <w:t xml:space="preserve"> apalancar US$ 1.500 millones </w:t>
      </w:r>
      <w:r w:rsidR="00BB6C54" w:rsidRPr="00135E24">
        <w:rPr>
          <w:rFonts w:cstheme="minorHAnsi"/>
          <w:sz w:val="32"/>
          <w:szCs w:val="32"/>
          <w:lang w:val="es-CL"/>
        </w:rPr>
        <w:t xml:space="preserve">en colocaciones. En total estas tres medidas permitirán que las </w:t>
      </w:r>
      <w:r w:rsidR="00BB6C54" w:rsidRPr="00135E24">
        <w:rPr>
          <w:rFonts w:cstheme="minorHAnsi"/>
          <w:sz w:val="32"/>
          <w:szCs w:val="32"/>
          <w:lang w:val="es-CL"/>
        </w:rPr>
        <w:lastRenderedPageBreak/>
        <w:t>emp</w:t>
      </w:r>
      <w:r w:rsidR="00847A6F" w:rsidRPr="00135E24">
        <w:rPr>
          <w:rFonts w:cstheme="minorHAnsi"/>
          <w:sz w:val="32"/>
          <w:szCs w:val="32"/>
          <w:lang w:val="es-CL"/>
        </w:rPr>
        <w:t>resas de menor tamaño accedan a créditos por cerca de US$ 9.000 millones.</w:t>
      </w:r>
    </w:p>
    <w:p w:rsidR="00FA65EF" w:rsidRPr="00135E24" w:rsidRDefault="00FA65EF" w:rsidP="00FA65EF">
      <w:pPr>
        <w:pStyle w:val="Prrafodelista"/>
        <w:rPr>
          <w:rFonts w:cstheme="minorHAnsi"/>
          <w:sz w:val="32"/>
          <w:szCs w:val="32"/>
          <w:lang w:val="es-CL"/>
        </w:rPr>
      </w:pPr>
    </w:p>
    <w:p w:rsidR="00D160D5" w:rsidRPr="00135E24" w:rsidRDefault="00D160D5" w:rsidP="00D160D5">
      <w:pPr>
        <w:pStyle w:val="Prrafodelista"/>
        <w:numPr>
          <w:ilvl w:val="0"/>
          <w:numId w:val="2"/>
        </w:numPr>
        <w:jc w:val="both"/>
        <w:rPr>
          <w:rFonts w:cstheme="minorHAnsi"/>
          <w:sz w:val="32"/>
          <w:szCs w:val="32"/>
          <w:lang w:val="es-CL"/>
        </w:rPr>
      </w:pPr>
      <w:r w:rsidRPr="00135E24">
        <w:rPr>
          <w:rFonts w:cstheme="minorHAnsi"/>
          <w:sz w:val="32"/>
          <w:szCs w:val="32"/>
          <w:u w:val="single"/>
          <w:lang w:val="es-CL"/>
        </w:rPr>
        <w:t xml:space="preserve">Apoyo al emprendimiento y el turismo </w:t>
      </w:r>
      <w:r w:rsidR="00035517" w:rsidRPr="00135E24">
        <w:rPr>
          <w:rFonts w:cstheme="minorHAnsi"/>
          <w:sz w:val="32"/>
          <w:szCs w:val="32"/>
          <w:u w:val="single"/>
          <w:lang w:val="es-CL"/>
        </w:rPr>
        <w:t>vía SERCOTEC</w:t>
      </w:r>
      <w:r w:rsidRPr="00135E24">
        <w:rPr>
          <w:rFonts w:cstheme="minorHAnsi"/>
          <w:sz w:val="32"/>
          <w:szCs w:val="32"/>
          <w:u w:val="single"/>
          <w:lang w:val="es-CL"/>
        </w:rPr>
        <w:t>.</w:t>
      </w:r>
      <w:r w:rsidR="000A75C3" w:rsidRPr="00135E24">
        <w:rPr>
          <w:rFonts w:cstheme="minorHAnsi"/>
          <w:sz w:val="32"/>
          <w:szCs w:val="32"/>
          <w:lang w:val="es-CL"/>
        </w:rPr>
        <w:t xml:space="preserve"> </w:t>
      </w:r>
      <w:r w:rsidR="0015093C" w:rsidRPr="00135E24">
        <w:rPr>
          <w:rFonts w:cstheme="minorHAnsi"/>
          <w:sz w:val="32"/>
          <w:szCs w:val="32"/>
          <w:lang w:val="es-CL"/>
        </w:rPr>
        <w:t xml:space="preserve">Se destinarán US$ 50 millones para que </w:t>
      </w:r>
      <w:r w:rsidR="000A75C3" w:rsidRPr="00135E24">
        <w:rPr>
          <w:rFonts w:cstheme="minorHAnsi"/>
          <w:sz w:val="32"/>
          <w:szCs w:val="32"/>
          <w:lang w:val="es-CL"/>
        </w:rPr>
        <w:t>SERCOTEC entreg</w:t>
      </w:r>
      <w:r w:rsidR="0015093C" w:rsidRPr="00135E24">
        <w:rPr>
          <w:rFonts w:cstheme="minorHAnsi"/>
          <w:sz w:val="32"/>
          <w:szCs w:val="32"/>
          <w:lang w:val="es-CL"/>
        </w:rPr>
        <w:t>uen</w:t>
      </w:r>
      <w:r w:rsidR="000A75C3" w:rsidRPr="00135E24">
        <w:rPr>
          <w:rFonts w:cstheme="minorHAnsi"/>
          <w:sz w:val="32"/>
          <w:szCs w:val="32"/>
          <w:lang w:val="es-CL"/>
        </w:rPr>
        <w:t xml:space="preserve"> un subsidio a </w:t>
      </w:r>
      <w:r w:rsidR="0015093C" w:rsidRPr="00135E24">
        <w:rPr>
          <w:rFonts w:cstheme="minorHAnsi"/>
          <w:sz w:val="32"/>
          <w:szCs w:val="32"/>
          <w:lang w:val="es-CL"/>
        </w:rPr>
        <w:t xml:space="preserve">las </w:t>
      </w:r>
      <w:proofErr w:type="spellStart"/>
      <w:r w:rsidR="0015093C" w:rsidRPr="00135E24">
        <w:rPr>
          <w:rFonts w:cstheme="minorHAnsi"/>
          <w:sz w:val="32"/>
          <w:szCs w:val="32"/>
          <w:lang w:val="es-CL"/>
        </w:rPr>
        <w:t>MiPymes</w:t>
      </w:r>
      <w:proofErr w:type="spellEnd"/>
      <w:r w:rsidR="0015093C" w:rsidRPr="00135E24">
        <w:rPr>
          <w:rFonts w:cstheme="minorHAnsi"/>
          <w:sz w:val="32"/>
          <w:szCs w:val="32"/>
          <w:lang w:val="es-CL"/>
        </w:rPr>
        <w:t xml:space="preserve"> afectadas por los eventos ocurridos a partir del 18 de octubre. C</w:t>
      </w:r>
      <w:r w:rsidR="000A75C3" w:rsidRPr="00135E24">
        <w:rPr>
          <w:rFonts w:cstheme="minorHAnsi"/>
          <w:sz w:val="32"/>
          <w:szCs w:val="32"/>
          <w:lang w:val="es-CL"/>
        </w:rPr>
        <w:t xml:space="preserve">ada beneficiario </w:t>
      </w:r>
      <w:r w:rsidR="0015093C" w:rsidRPr="00135E24">
        <w:rPr>
          <w:rFonts w:cstheme="minorHAnsi"/>
          <w:sz w:val="32"/>
          <w:szCs w:val="32"/>
          <w:lang w:val="es-CL"/>
        </w:rPr>
        <w:t>recibirá</w:t>
      </w:r>
      <w:r w:rsidR="000A75C3" w:rsidRPr="00135E24">
        <w:rPr>
          <w:rFonts w:cstheme="minorHAnsi"/>
          <w:sz w:val="32"/>
          <w:szCs w:val="32"/>
          <w:lang w:val="es-CL"/>
        </w:rPr>
        <w:t xml:space="preserve"> un monto máximo de $4 millones, el cual será calculado a partir de los requerimientos necesarios para reiniciar el proceso de ventas, ya sea para la adquisición de activos fijos, reposición de infraestructura y/o capital de trabajo. </w:t>
      </w:r>
      <w:r w:rsidR="008E0656" w:rsidRPr="00135E24">
        <w:rPr>
          <w:rFonts w:cstheme="minorHAnsi"/>
          <w:sz w:val="32"/>
          <w:szCs w:val="32"/>
          <w:lang w:val="es-CL"/>
        </w:rPr>
        <w:t xml:space="preserve">Esta medida beneficiará a 20.000 </w:t>
      </w:r>
      <w:proofErr w:type="spellStart"/>
      <w:r w:rsidR="008E0656" w:rsidRPr="00135E24">
        <w:rPr>
          <w:rFonts w:cstheme="minorHAnsi"/>
          <w:sz w:val="32"/>
          <w:szCs w:val="32"/>
          <w:lang w:val="es-CL"/>
        </w:rPr>
        <w:t>MiPymes</w:t>
      </w:r>
      <w:proofErr w:type="spellEnd"/>
      <w:r w:rsidR="008E0656" w:rsidRPr="00135E24">
        <w:rPr>
          <w:rFonts w:cstheme="minorHAnsi"/>
          <w:sz w:val="32"/>
          <w:szCs w:val="32"/>
          <w:lang w:val="es-CL"/>
        </w:rPr>
        <w:t xml:space="preserve"> considerando un subsidio promedio de $2 millones. </w:t>
      </w:r>
    </w:p>
    <w:p w:rsidR="002257A8" w:rsidRPr="00135E24" w:rsidRDefault="002257A8" w:rsidP="002257A8">
      <w:pPr>
        <w:pStyle w:val="Prrafodelista"/>
        <w:rPr>
          <w:rFonts w:cstheme="minorHAnsi"/>
          <w:sz w:val="32"/>
          <w:szCs w:val="32"/>
          <w:lang w:val="es-CL"/>
        </w:rPr>
      </w:pPr>
    </w:p>
    <w:p w:rsidR="00612E0B" w:rsidRPr="00135E24" w:rsidRDefault="002257A8" w:rsidP="00F54A14">
      <w:pPr>
        <w:pStyle w:val="Prrafodelista"/>
        <w:numPr>
          <w:ilvl w:val="0"/>
          <w:numId w:val="2"/>
        </w:numPr>
        <w:jc w:val="both"/>
        <w:rPr>
          <w:rFonts w:cstheme="minorHAnsi"/>
          <w:sz w:val="32"/>
          <w:szCs w:val="32"/>
          <w:lang w:val="es-CL"/>
        </w:rPr>
      </w:pPr>
      <w:r w:rsidRPr="00135E24">
        <w:rPr>
          <w:rFonts w:cstheme="minorHAnsi"/>
          <w:sz w:val="32"/>
          <w:szCs w:val="32"/>
          <w:u w:val="single"/>
          <w:lang w:val="es-CL"/>
        </w:rPr>
        <w:t>Pronto pago a proveedores del Estado.</w:t>
      </w:r>
      <w:r w:rsidRPr="00135E24">
        <w:rPr>
          <w:rFonts w:cstheme="minorHAnsi"/>
          <w:sz w:val="32"/>
          <w:szCs w:val="32"/>
          <w:lang w:val="es-CL"/>
        </w:rPr>
        <w:t xml:space="preserve"> Se han integrado distintas plataformas del Gobierno Central, con el propósito de establecer </w:t>
      </w:r>
      <w:r w:rsidR="002B2B3F" w:rsidRPr="00135E24">
        <w:rPr>
          <w:rFonts w:cstheme="minorHAnsi"/>
          <w:sz w:val="32"/>
          <w:szCs w:val="32"/>
          <w:lang w:val="es-CL"/>
        </w:rPr>
        <w:t>un sistema de pago centralizado basado en los documentos tributarios electrónicos emitidos por diversas instituciones al Gobierno</w:t>
      </w:r>
      <w:r w:rsidR="00DB1A5B" w:rsidRPr="00135E24">
        <w:rPr>
          <w:rFonts w:cstheme="minorHAnsi"/>
          <w:sz w:val="32"/>
          <w:szCs w:val="32"/>
          <w:lang w:val="es-CL"/>
        </w:rPr>
        <w:t xml:space="preserve">, </w:t>
      </w:r>
      <w:r w:rsidR="002B2B3F" w:rsidRPr="00135E24">
        <w:rPr>
          <w:rFonts w:cstheme="minorHAnsi"/>
          <w:sz w:val="32"/>
          <w:szCs w:val="32"/>
          <w:lang w:val="es-CL"/>
        </w:rPr>
        <w:t xml:space="preserve">que reduzca significativamente la multiplicidad de cuentas corrientes subsidiarias de la Cuenta Única Fiscal (CUF). Con esto, se buscará que el proceso de compra y pago del Estado sea íntegramente digital y, lo principal, pagar oportunamente las facturas que las instituciones reciben de sus proveedores. El plan piloto de esta iniciativa está en desarrollo y se pronostica implementar completamente durante el año 2020. </w:t>
      </w:r>
    </w:p>
    <w:p w:rsidR="002B2B3F" w:rsidRPr="00135E24" w:rsidRDefault="002B2B3F" w:rsidP="002B2B3F">
      <w:pPr>
        <w:pStyle w:val="Prrafodelista"/>
        <w:rPr>
          <w:rFonts w:cstheme="minorHAnsi"/>
          <w:sz w:val="32"/>
          <w:szCs w:val="32"/>
          <w:lang w:val="es-CL"/>
        </w:rPr>
      </w:pPr>
    </w:p>
    <w:p w:rsidR="00884A9E" w:rsidRPr="00135E24" w:rsidRDefault="006E0CCF" w:rsidP="00BA5180">
      <w:pPr>
        <w:pStyle w:val="Prrafodelista"/>
        <w:numPr>
          <w:ilvl w:val="0"/>
          <w:numId w:val="1"/>
        </w:numPr>
        <w:jc w:val="both"/>
        <w:rPr>
          <w:rFonts w:cstheme="minorHAnsi"/>
          <w:sz w:val="32"/>
          <w:szCs w:val="32"/>
          <w:u w:val="single"/>
          <w:lang w:val="es-CL"/>
        </w:rPr>
      </w:pPr>
      <w:r w:rsidRPr="00135E24">
        <w:rPr>
          <w:rFonts w:cstheme="minorHAnsi"/>
          <w:sz w:val="32"/>
          <w:szCs w:val="32"/>
          <w:u w:val="single"/>
          <w:lang w:val="es-CL"/>
        </w:rPr>
        <w:t xml:space="preserve">Nuevo </w:t>
      </w:r>
      <w:r w:rsidR="00BA5180" w:rsidRPr="00135E24">
        <w:rPr>
          <w:rFonts w:cstheme="minorHAnsi"/>
          <w:sz w:val="32"/>
          <w:szCs w:val="32"/>
          <w:u w:val="single"/>
          <w:lang w:val="es-CL"/>
        </w:rPr>
        <w:t>Escenario fiscal</w:t>
      </w:r>
      <w:r w:rsidR="00404580" w:rsidRPr="00135E24">
        <w:rPr>
          <w:rFonts w:cstheme="minorHAnsi"/>
          <w:sz w:val="32"/>
          <w:szCs w:val="32"/>
          <w:u w:val="single"/>
          <w:lang w:val="es-CL"/>
        </w:rPr>
        <w:t>:</w:t>
      </w:r>
      <w:r w:rsidR="00547573" w:rsidRPr="00135E24">
        <w:rPr>
          <w:rFonts w:cstheme="minorHAnsi"/>
          <w:sz w:val="32"/>
          <w:szCs w:val="32"/>
          <w:lang w:val="es-CL"/>
        </w:rPr>
        <w:t xml:space="preserve"> </w:t>
      </w:r>
    </w:p>
    <w:p w:rsidR="00884A9E" w:rsidRPr="00135E24" w:rsidRDefault="00884A9E" w:rsidP="00884A9E">
      <w:pPr>
        <w:pStyle w:val="Prrafodelista"/>
        <w:jc w:val="both"/>
        <w:rPr>
          <w:rFonts w:cstheme="minorHAnsi"/>
          <w:sz w:val="32"/>
          <w:szCs w:val="32"/>
          <w:lang w:val="es-CL"/>
        </w:rPr>
      </w:pPr>
    </w:p>
    <w:p w:rsidR="00402822" w:rsidRPr="00135E24" w:rsidRDefault="00884A9E" w:rsidP="00884A9E">
      <w:pPr>
        <w:pStyle w:val="Prrafodelista"/>
        <w:jc w:val="both"/>
        <w:rPr>
          <w:rFonts w:cstheme="minorHAnsi"/>
          <w:sz w:val="32"/>
          <w:szCs w:val="32"/>
          <w:u w:val="single"/>
          <w:lang w:val="es-CL"/>
        </w:rPr>
      </w:pPr>
      <w:r w:rsidRPr="00135E24">
        <w:rPr>
          <w:rFonts w:cstheme="minorHAnsi"/>
          <w:sz w:val="32"/>
          <w:szCs w:val="32"/>
          <w:lang w:val="es-CL"/>
        </w:rPr>
        <w:t xml:space="preserve">Sin perjuicio de los esfuerzos que se harán por mejorar la eficiencia del gasto público y reasignar cuando se identifiquen los espacios para hacerlo, el nuevo escenario económico y el financiamiento de </w:t>
      </w:r>
      <w:r w:rsidRPr="00135E24">
        <w:rPr>
          <w:rFonts w:cstheme="minorHAnsi"/>
          <w:sz w:val="32"/>
          <w:szCs w:val="32"/>
          <w:lang w:val="es-CL"/>
        </w:rPr>
        <w:lastRenderedPageBreak/>
        <w:t xml:space="preserve">esta agenda hace necesario modificar </w:t>
      </w:r>
      <w:r w:rsidR="0031579A" w:rsidRPr="00135E24">
        <w:rPr>
          <w:rFonts w:cstheme="minorHAnsi"/>
          <w:sz w:val="32"/>
          <w:szCs w:val="32"/>
          <w:lang w:val="es-CL"/>
        </w:rPr>
        <w:t xml:space="preserve">el compromiso de convergencia de balance estructural vigente, el cual contemplaba ir reduciendo el déficit estructural a razón de 0,2% del PIB por año, hasta llegar a 1% del PIB en 2022. </w:t>
      </w:r>
    </w:p>
    <w:p w:rsidR="00402822" w:rsidRPr="00135E24" w:rsidRDefault="00402822" w:rsidP="00402822">
      <w:pPr>
        <w:pStyle w:val="Prrafodelista"/>
        <w:jc w:val="both"/>
        <w:rPr>
          <w:rFonts w:cstheme="minorHAnsi"/>
          <w:sz w:val="32"/>
          <w:szCs w:val="32"/>
          <w:u w:val="single"/>
          <w:lang w:val="es-CL"/>
        </w:rPr>
      </w:pPr>
    </w:p>
    <w:p w:rsidR="00BA5180" w:rsidRPr="00135E24" w:rsidRDefault="0031579A" w:rsidP="00402822">
      <w:pPr>
        <w:pStyle w:val="Prrafodelista"/>
        <w:jc w:val="both"/>
        <w:rPr>
          <w:rFonts w:cstheme="minorHAnsi"/>
          <w:sz w:val="32"/>
          <w:szCs w:val="32"/>
          <w:u w:val="single"/>
          <w:lang w:val="es-CL"/>
        </w:rPr>
      </w:pPr>
      <w:r w:rsidRPr="00135E24">
        <w:rPr>
          <w:rFonts w:cstheme="minorHAnsi"/>
          <w:sz w:val="32"/>
          <w:szCs w:val="32"/>
          <w:lang w:val="es-CL"/>
        </w:rPr>
        <w:t xml:space="preserve">Para el próximo año, la meta será un déficit </w:t>
      </w:r>
      <w:r w:rsidR="00A24483" w:rsidRPr="00135E24">
        <w:rPr>
          <w:rFonts w:cstheme="minorHAnsi"/>
          <w:sz w:val="32"/>
          <w:szCs w:val="32"/>
          <w:lang w:val="es-CL"/>
        </w:rPr>
        <w:t xml:space="preserve">estructural </w:t>
      </w:r>
      <w:r w:rsidRPr="00135E24">
        <w:rPr>
          <w:rFonts w:cstheme="minorHAnsi"/>
          <w:sz w:val="32"/>
          <w:szCs w:val="32"/>
          <w:lang w:val="es-CL"/>
        </w:rPr>
        <w:t xml:space="preserve">de 3% del PIB, el cual se reducirá a razón de 0,5% del PIB </w:t>
      </w:r>
      <w:r w:rsidR="00A24483" w:rsidRPr="00135E24">
        <w:rPr>
          <w:rFonts w:cstheme="minorHAnsi"/>
          <w:sz w:val="32"/>
          <w:szCs w:val="32"/>
          <w:lang w:val="es-CL"/>
        </w:rPr>
        <w:t xml:space="preserve">por año, llegando a 2% del PIB en 2022. Es decir, aumenta transitoriamente el déficit estructural, para dar espacio a esta agenda, pero, </w:t>
      </w:r>
      <w:r w:rsidR="00913A57" w:rsidRPr="00135E24">
        <w:rPr>
          <w:rFonts w:cstheme="minorHAnsi"/>
          <w:sz w:val="32"/>
          <w:szCs w:val="32"/>
          <w:lang w:val="es-CL"/>
        </w:rPr>
        <w:t>posteriormente</w:t>
      </w:r>
      <w:r w:rsidR="00AD6799" w:rsidRPr="00135E24">
        <w:rPr>
          <w:rFonts w:cstheme="minorHAnsi"/>
          <w:sz w:val="32"/>
          <w:szCs w:val="32"/>
          <w:lang w:val="es-CL"/>
        </w:rPr>
        <w:t>, se retoma gradualmente la</w:t>
      </w:r>
      <w:r w:rsidR="00A24483" w:rsidRPr="00135E24">
        <w:rPr>
          <w:rFonts w:cstheme="minorHAnsi"/>
          <w:sz w:val="32"/>
          <w:szCs w:val="32"/>
          <w:lang w:val="es-CL"/>
        </w:rPr>
        <w:t xml:space="preserve"> convergencia hacia el balance</w:t>
      </w:r>
      <w:r w:rsidR="00AD6799" w:rsidRPr="00135E24">
        <w:rPr>
          <w:rFonts w:cstheme="minorHAnsi"/>
          <w:sz w:val="32"/>
          <w:szCs w:val="32"/>
          <w:lang w:val="es-CL"/>
        </w:rPr>
        <w:t xml:space="preserve"> estructural</w:t>
      </w:r>
      <w:r w:rsidR="00A24483" w:rsidRPr="00135E24">
        <w:rPr>
          <w:rFonts w:cstheme="minorHAnsi"/>
          <w:sz w:val="32"/>
          <w:szCs w:val="32"/>
          <w:lang w:val="es-CL"/>
        </w:rPr>
        <w:t xml:space="preserve">. </w:t>
      </w:r>
      <w:r w:rsidRPr="00135E24">
        <w:rPr>
          <w:rFonts w:cstheme="minorHAnsi"/>
          <w:sz w:val="32"/>
          <w:szCs w:val="32"/>
          <w:lang w:val="es-CL"/>
        </w:rPr>
        <w:t xml:space="preserve"> </w:t>
      </w:r>
    </w:p>
    <w:p w:rsidR="00C14007" w:rsidRPr="00135E24" w:rsidRDefault="00C14007" w:rsidP="00C14007">
      <w:pPr>
        <w:pStyle w:val="Prrafodelista"/>
        <w:jc w:val="both"/>
        <w:rPr>
          <w:rFonts w:cstheme="minorHAnsi"/>
          <w:sz w:val="32"/>
          <w:szCs w:val="32"/>
          <w:u w:val="single"/>
          <w:lang w:val="es-CL"/>
        </w:rPr>
      </w:pPr>
    </w:p>
    <w:p w:rsidR="00C14007" w:rsidRPr="00135E24" w:rsidRDefault="00AA03F0" w:rsidP="00C14007">
      <w:pPr>
        <w:pStyle w:val="Prrafodelista"/>
        <w:jc w:val="both"/>
        <w:rPr>
          <w:rFonts w:cstheme="minorHAnsi"/>
          <w:sz w:val="32"/>
          <w:szCs w:val="32"/>
          <w:lang w:val="es-CL"/>
        </w:rPr>
      </w:pPr>
      <w:r w:rsidRPr="00135E24">
        <w:rPr>
          <w:rFonts w:cstheme="minorHAnsi"/>
          <w:sz w:val="32"/>
          <w:szCs w:val="32"/>
          <w:lang w:val="es-CL"/>
        </w:rPr>
        <w:t xml:space="preserve">En este escenario, el gasto público crecerá 9,8% </w:t>
      </w:r>
      <w:r w:rsidR="00F1486C" w:rsidRPr="00135E24">
        <w:rPr>
          <w:rFonts w:cstheme="minorHAnsi"/>
          <w:sz w:val="32"/>
          <w:szCs w:val="32"/>
          <w:lang w:val="es-CL"/>
        </w:rPr>
        <w:t>real en 2020</w:t>
      </w:r>
      <w:r w:rsidR="00A632AD" w:rsidRPr="00135E24">
        <w:rPr>
          <w:rFonts w:cstheme="minorHAnsi"/>
          <w:sz w:val="32"/>
          <w:szCs w:val="32"/>
          <w:lang w:val="es-CL"/>
        </w:rPr>
        <w:t xml:space="preserve"> comparado con la Ley</w:t>
      </w:r>
      <w:r w:rsidR="00AD6799" w:rsidRPr="00135E24">
        <w:rPr>
          <w:rFonts w:cstheme="minorHAnsi"/>
          <w:sz w:val="32"/>
          <w:szCs w:val="32"/>
          <w:lang w:val="es-CL"/>
        </w:rPr>
        <w:t xml:space="preserve"> de Presupuesto</w:t>
      </w:r>
      <w:r w:rsidR="00A632AD" w:rsidRPr="00135E24">
        <w:rPr>
          <w:rFonts w:cstheme="minorHAnsi"/>
          <w:sz w:val="32"/>
          <w:szCs w:val="32"/>
          <w:lang w:val="es-CL"/>
        </w:rPr>
        <w:t xml:space="preserve"> del año 2019</w:t>
      </w:r>
      <w:r w:rsidRPr="00135E24">
        <w:rPr>
          <w:rFonts w:cstheme="minorHAnsi"/>
          <w:sz w:val="32"/>
          <w:szCs w:val="32"/>
          <w:lang w:val="es-CL"/>
        </w:rPr>
        <w:t xml:space="preserve">. </w:t>
      </w:r>
      <w:r w:rsidR="00DE58DD" w:rsidRPr="00135E24">
        <w:rPr>
          <w:rFonts w:cstheme="minorHAnsi"/>
          <w:sz w:val="32"/>
          <w:szCs w:val="32"/>
          <w:lang w:val="es-CL"/>
        </w:rPr>
        <w:t xml:space="preserve">De materializarse este incremento del gasto público, sería el mayor </w:t>
      </w:r>
      <w:r w:rsidR="00AD6799" w:rsidRPr="00135E24">
        <w:rPr>
          <w:rFonts w:cstheme="minorHAnsi"/>
          <w:sz w:val="32"/>
          <w:szCs w:val="32"/>
          <w:lang w:val="es-CL"/>
        </w:rPr>
        <w:t xml:space="preserve">incremento </w:t>
      </w:r>
      <w:r w:rsidR="00DE58DD" w:rsidRPr="00135E24">
        <w:rPr>
          <w:rFonts w:cstheme="minorHAnsi"/>
          <w:sz w:val="32"/>
          <w:szCs w:val="32"/>
          <w:lang w:val="es-CL"/>
        </w:rPr>
        <w:t xml:space="preserve">desde el año 2009. Por su parte, el déficit fiscal </w:t>
      </w:r>
      <w:r w:rsidR="00F1486C" w:rsidRPr="00135E24">
        <w:rPr>
          <w:rFonts w:cstheme="minorHAnsi"/>
          <w:sz w:val="32"/>
          <w:szCs w:val="32"/>
          <w:lang w:val="es-CL"/>
        </w:rPr>
        <w:t>se elevará hasta 4,4% del PIB el pr</w:t>
      </w:r>
      <w:r w:rsidR="00EA35B0" w:rsidRPr="00135E24">
        <w:rPr>
          <w:rFonts w:cstheme="minorHAnsi"/>
          <w:sz w:val="32"/>
          <w:szCs w:val="32"/>
          <w:lang w:val="es-CL"/>
        </w:rPr>
        <w:t xml:space="preserve">óximo año, </w:t>
      </w:r>
      <w:r w:rsidR="00A335C4" w:rsidRPr="00135E24">
        <w:rPr>
          <w:rFonts w:cstheme="minorHAnsi"/>
          <w:sz w:val="32"/>
          <w:szCs w:val="32"/>
          <w:lang w:val="es-CL"/>
        </w:rPr>
        <w:t>cifra similar al déficit registrado en 2009 (</w:t>
      </w:r>
      <w:r w:rsidR="00EA35B0" w:rsidRPr="00135E24">
        <w:rPr>
          <w:rFonts w:cstheme="minorHAnsi"/>
          <w:sz w:val="32"/>
          <w:szCs w:val="32"/>
          <w:lang w:val="es-CL"/>
        </w:rPr>
        <w:t>4,3% del PIB</w:t>
      </w:r>
      <w:r w:rsidR="00A335C4" w:rsidRPr="00135E24">
        <w:rPr>
          <w:rFonts w:cstheme="minorHAnsi"/>
          <w:sz w:val="32"/>
          <w:szCs w:val="32"/>
          <w:lang w:val="es-CL"/>
        </w:rPr>
        <w:t>)</w:t>
      </w:r>
      <w:r w:rsidR="00EA35B0" w:rsidRPr="00135E24">
        <w:rPr>
          <w:rFonts w:cstheme="minorHAnsi"/>
          <w:sz w:val="32"/>
          <w:szCs w:val="32"/>
          <w:lang w:val="es-CL"/>
        </w:rPr>
        <w:t xml:space="preserve">. </w:t>
      </w:r>
    </w:p>
    <w:p w:rsidR="00B95FD7" w:rsidRPr="00135E24" w:rsidRDefault="00B95FD7" w:rsidP="00C14007">
      <w:pPr>
        <w:pStyle w:val="Prrafodelista"/>
        <w:jc w:val="both"/>
        <w:rPr>
          <w:rFonts w:cstheme="minorHAnsi"/>
          <w:sz w:val="32"/>
          <w:szCs w:val="32"/>
          <w:lang w:val="es-CL"/>
        </w:rPr>
      </w:pPr>
    </w:p>
    <w:p w:rsidR="00937942" w:rsidRPr="00135E24" w:rsidRDefault="00937942" w:rsidP="00C14007">
      <w:pPr>
        <w:pStyle w:val="Prrafodelista"/>
        <w:jc w:val="both"/>
        <w:rPr>
          <w:rFonts w:cstheme="minorHAnsi"/>
          <w:sz w:val="32"/>
          <w:szCs w:val="32"/>
          <w:lang w:val="es-CL"/>
        </w:rPr>
      </w:pPr>
    </w:p>
    <w:p w:rsidR="00884A9E" w:rsidRPr="00135E24" w:rsidRDefault="006E0CCF" w:rsidP="006E0CCF">
      <w:pPr>
        <w:pStyle w:val="Prrafodelista"/>
        <w:numPr>
          <w:ilvl w:val="0"/>
          <w:numId w:val="1"/>
        </w:numPr>
        <w:jc w:val="both"/>
        <w:rPr>
          <w:rFonts w:cstheme="minorHAnsi"/>
          <w:sz w:val="32"/>
          <w:szCs w:val="32"/>
          <w:lang w:val="es-CL"/>
        </w:rPr>
      </w:pPr>
      <w:r w:rsidRPr="00135E24">
        <w:rPr>
          <w:rFonts w:cstheme="minorHAnsi"/>
          <w:sz w:val="32"/>
          <w:szCs w:val="32"/>
          <w:u w:val="single"/>
          <w:lang w:val="es-CL"/>
        </w:rPr>
        <w:t>Financiamiento:</w:t>
      </w:r>
      <w:r w:rsidRPr="00135E24">
        <w:rPr>
          <w:rFonts w:cstheme="minorHAnsi"/>
          <w:sz w:val="32"/>
          <w:szCs w:val="32"/>
          <w:lang w:val="es-CL"/>
        </w:rPr>
        <w:t xml:space="preserve"> </w:t>
      </w:r>
    </w:p>
    <w:p w:rsidR="00884A9E" w:rsidRPr="00135E24" w:rsidRDefault="00884A9E" w:rsidP="00884A9E">
      <w:pPr>
        <w:pStyle w:val="Prrafodelista"/>
        <w:jc w:val="both"/>
        <w:rPr>
          <w:rFonts w:cstheme="minorHAnsi"/>
          <w:sz w:val="32"/>
          <w:szCs w:val="32"/>
          <w:lang w:val="es-CL"/>
        </w:rPr>
      </w:pPr>
    </w:p>
    <w:p w:rsidR="006E0CCF" w:rsidRPr="00135E24" w:rsidRDefault="00884A9E" w:rsidP="00884A9E">
      <w:pPr>
        <w:pStyle w:val="Prrafodelista"/>
        <w:jc w:val="both"/>
        <w:rPr>
          <w:rFonts w:cstheme="minorHAnsi"/>
          <w:sz w:val="32"/>
          <w:szCs w:val="32"/>
          <w:lang w:val="es-CL"/>
        </w:rPr>
      </w:pPr>
      <w:r w:rsidRPr="00135E24">
        <w:rPr>
          <w:rFonts w:cstheme="minorHAnsi"/>
          <w:sz w:val="32"/>
          <w:szCs w:val="32"/>
          <w:lang w:val="es-CL"/>
        </w:rPr>
        <w:t>C</w:t>
      </w:r>
      <w:r w:rsidR="006606ED" w:rsidRPr="00135E24">
        <w:rPr>
          <w:rFonts w:cstheme="minorHAnsi"/>
          <w:sz w:val="32"/>
          <w:szCs w:val="32"/>
          <w:lang w:val="es-CL"/>
        </w:rPr>
        <w:t xml:space="preserve">onsiderando el mayor déficit fiscal previsto y otros compromisos del </w:t>
      </w:r>
      <w:r w:rsidR="00913A57" w:rsidRPr="00135E24">
        <w:rPr>
          <w:rFonts w:cstheme="minorHAnsi"/>
          <w:sz w:val="32"/>
          <w:szCs w:val="32"/>
          <w:lang w:val="es-CL"/>
        </w:rPr>
        <w:t>gobierno</w:t>
      </w:r>
      <w:r w:rsidR="006606ED" w:rsidRPr="00135E24">
        <w:rPr>
          <w:rFonts w:cstheme="minorHAnsi"/>
          <w:sz w:val="32"/>
          <w:szCs w:val="32"/>
          <w:lang w:val="es-CL"/>
        </w:rPr>
        <w:t xml:space="preserve">, </w:t>
      </w:r>
      <w:r w:rsidR="006E0CCF" w:rsidRPr="00135E24">
        <w:rPr>
          <w:rFonts w:cstheme="minorHAnsi"/>
          <w:sz w:val="32"/>
          <w:szCs w:val="32"/>
          <w:lang w:val="es-CL"/>
        </w:rPr>
        <w:t xml:space="preserve">las necesidades de financiamiento para el próximo año se estiman en US$ 16.576 millones. </w:t>
      </w:r>
      <w:r w:rsidR="00241872" w:rsidRPr="00135E24">
        <w:rPr>
          <w:rFonts w:cstheme="minorHAnsi"/>
          <w:sz w:val="32"/>
          <w:szCs w:val="32"/>
          <w:lang w:val="es-CL"/>
        </w:rPr>
        <w:t>E</w:t>
      </w:r>
      <w:r w:rsidR="006E0CCF" w:rsidRPr="00135E24">
        <w:rPr>
          <w:rFonts w:cstheme="minorHAnsi"/>
          <w:sz w:val="32"/>
          <w:szCs w:val="32"/>
          <w:lang w:val="es-CL"/>
        </w:rPr>
        <w:t>n la Ley de Presupuestos se aprobó un</w:t>
      </w:r>
      <w:r w:rsidR="00404580" w:rsidRPr="00135E24">
        <w:rPr>
          <w:rFonts w:cstheme="minorHAnsi"/>
          <w:sz w:val="32"/>
          <w:szCs w:val="32"/>
          <w:lang w:val="es-CL"/>
        </w:rPr>
        <w:t>a autorización de</w:t>
      </w:r>
      <w:r w:rsidR="006E0CCF" w:rsidRPr="00135E24">
        <w:rPr>
          <w:rFonts w:cstheme="minorHAnsi"/>
          <w:sz w:val="32"/>
          <w:szCs w:val="32"/>
          <w:lang w:val="es-CL"/>
        </w:rPr>
        <w:t xml:space="preserve"> endeudamiento de hasta U$ 9.000 millones, </w:t>
      </w:r>
      <w:r w:rsidR="00241872" w:rsidRPr="00135E24">
        <w:rPr>
          <w:rFonts w:cstheme="minorHAnsi"/>
          <w:sz w:val="32"/>
          <w:szCs w:val="32"/>
          <w:lang w:val="es-CL"/>
        </w:rPr>
        <w:t xml:space="preserve">de manera que </w:t>
      </w:r>
      <w:r w:rsidR="006E0CCF" w:rsidRPr="00135E24">
        <w:rPr>
          <w:rFonts w:cstheme="minorHAnsi"/>
          <w:sz w:val="32"/>
          <w:szCs w:val="32"/>
          <w:lang w:val="es-CL"/>
        </w:rPr>
        <w:t xml:space="preserve">los restantes US$ 7.576 millones </w:t>
      </w:r>
      <w:r w:rsidR="00241872" w:rsidRPr="00135E24">
        <w:rPr>
          <w:rFonts w:cstheme="minorHAnsi"/>
          <w:sz w:val="32"/>
          <w:szCs w:val="32"/>
          <w:lang w:val="es-CL"/>
        </w:rPr>
        <w:t>provendrán</w:t>
      </w:r>
      <w:r w:rsidR="006606ED" w:rsidRPr="00135E24">
        <w:rPr>
          <w:rFonts w:cstheme="minorHAnsi"/>
          <w:sz w:val="32"/>
          <w:szCs w:val="32"/>
          <w:lang w:val="es-CL"/>
        </w:rPr>
        <w:t xml:space="preserve"> de los activos del gobierno, es decir, ahorros</w:t>
      </w:r>
      <w:r w:rsidR="00404580" w:rsidRPr="00135E24">
        <w:rPr>
          <w:rFonts w:cstheme="minorHAnsi"/>
          <w:sz w:val="32"/>
          <w:szCs w:val="32"/>
          <w:lang w:val="es-CL"/>
        </w:rPr>
        <w:t xml:space="preserve"> acumulados en años anteriores</w:t>
      </w:r>
      <w:r w:rsidR="008A218D" w:rsidRPr="00135E24">
        <w:rPr>
          <w:rFonts w:cstheme="minorHAnsi"/>
          <w:sz w:val="32"/>
          <w:szCs w:val="32"/>
          <w:lang w:val="es-CL"/>
        </w:rPr>
        <w:t xml:space="preserve">, los que están </w:t>
      </w:r>
      <w:r w:rsidR="000E56B4" w:rsidRPr="00135E24">
        <w:rPr>
          <w:rFonts w:cstheme="minorHAnsi"/>
          <w:sz w:val="32"/>
          <w:szCs w:val="32"/>
          <w:lang w:val="es-CL"/>
        </w:rPr>
        <w:t xml:space="preserve">mayoritariamente </w:t>
      </w:r>
      <w:r w:rsidR="008A218D" w:rsidRPr="00135E24">
        <w:rPr>
          <w:rFonts w:cstheme="minorHAnsi"/>
          <w:sz w:val="32"/>
          <w:szCs w:val="32"/>
          <w:lang w:val="es-CL"/>
        </w:rPr>
        <w:t>denominados en moneda extranjera</w:t>
      </w:r>
      <w:r w:rsidR="00404580" w:rsidRPr="00135E24">
        <w:rPr>
          <w:rFonts w:cstheme="minorHAnsi"/>
          <w:sz w:val="32"/>
          <w:szCs w:val="32"/>
          <w:lang w:val="es-CL"/>
        </w:rPr>
        <w:t xml:space="preserve">. </w:t>
      </w:r>
    </w:p>
    <w:p w:rsidR="008A218D" w:rsidRPr="00135E24" w:rsidRDefault="008A218D" w:rsidP="008A218D">
      <w:pPr>
        <w:pStyle w:val="Prrafodelista"/>
        <w:jc w:val="both"/>
        <w:rPr>
          <w:rFonts w:cstheme="minorHAnsi"/>
          <w:sz w:val="32"/>
          <w:szCs w:val="32"/>
          <w:u w:val="single"/>
          <w:lang w:val="es-CL"/>
        </w:rPr>
      </w:pPr>
    </w:p>
    <w:p w:rsidR="000403A5" w:rsidRPr="00135E24" w:rsidRDefault="00241872" w:rsidP="000403A5">
      <w:pPr>
        <w:pStyle w:val="Prrafodelista"/>
        <w:jc w:val="both"/>
        <w:rPr>
          <w:rFonts w:cstheme="minorHAnsi"/>
          <w:sz w:val="32"/>
          <w:szCs w:val="32"/>
          <w:lang w:val="es-CL"/>
        </w:rPr>
      </w:pPr>
      <w:r w:rsidRPr="00135E24">
        <w:rPr>
          <w:rFonts w:cstheme="minorHAnsi"/>
          <w:sz w:val="32"/>
          <w:szCs w:val="32"/>
          <w:lang w:val="es-CL"/>
        </w:rPr>
        <w:t>A su vez, a</w:t>
      </w:r>
      <w:r w:rsidR="008A218D" w:rsidRPr="00135E24">
        <w:rPr>
          <w:rFonts w:cstheme="minorHAnsi"/>
          <w:sz w:val="32"/>
          <w:szCs w:val="32"/>
          <w:lang w:val="es-CL"/>
        </w:rPr>
        <w:t xml:space="preserve">tendiendo a las condiciones financieras, tanto locales como internacionales, la emisión de deuda del próximo año </w:t>
      </w:r>
      <w:r w:rsidR="008A218D" w:rsidRPr="00135E24">
        <w:rPr>
          <w:rFonts w:cstheme="minorHAnsi"/>
          <w:sz w:val="32"/>
          <w:szCs w:val="32"/>
          <w:lang w:val="es-CL"/>
        </w:rPr>
        <w:lastRenderedPageBreak/>
        <w:t xml:space="preserve">considerará una mayor participación de moneda extranjera, respecto </w:t>
      </w:r>
      <w:r w:rsidRPr="00135E24">
        <w:rPr>
          <w:rFonts w:cstheme="minorHAnsi"/>
          <w:sz w:val="32"/>
          <w:szCs w:val="32"/>
          <w:lang w:val="es-CL"/>
        </w:rPr>
        <w:t>de</w:t>
      </w:r>
      <w:r w:rsidR="008A218D" w:rsidRPr="00135E24">
        <w:rPr>
          <w:rFonts w:cstheme="minorHAnsi"/>
          <w:sz w:val="32"/>
          <w:szCs w:val="32"/>
          <w:lang w:val="es-CL"/>
        </w:rPr>
        <w:t xml:space="preserve"> los últimos años. </w:t>
      </w:r>
      <w:r w:rsidRPr="00135E24">
        <w:rPr>
          <w:rFonts w:cstheme="minorHAnsi"/>
          <w:sz w:val="32"/>
          <w:szCs w:val="32"/>
          <w:lang w:val="es-CL"/>
        </w:rPr>
        <w:t>En efecto</w:t>
      </w:r>
      <w:r w:rsidR="000E56B4" w:rsidRPr="00135E24">
        <w:rPr>
          <w:rFonts w:cstheme="minorHAnsi"/>
          <w:sz w:val="32"/>
          <w:szCs w:val="32"/>
          <w:lang w:val="es-CL"/>
        </w:rPr>
        <w:t>,</w:t>
      </w:r>
      <w:r w:rsidR="0023154F" w:rsidRPr="00135E24">
        <w:rPr>
          <w:rFonts w:cstheme="minorHAnsi"/>
          <w:sz w:val="32"/>
          <w:szCs w:val="32"/>
          <w:lang w:val="es-CL"/>
        </w:rPr>
        <w:t xml:space="preserve"> 40% de la deuda que emita el gobierno el próximo año, equivalente a</w:t>
      </w:r>
      <w:r w:rsidR="00D26060" w:rsidRPr="00135E24">
        <w:rPr>
          <w:rFonts w:cstheme="minorHAnsi"/>
          <w:sz w:val="32"/>
          <w:szCs w:val="32"/>
          <w:lang w:val="es-CL"/>
        </w:rPr>
        <w:t>proximadamente a</w:t>
      </w:r>
      <w:r w:rsidR="0023154F" w:rsidRPr="00135E24">
        <w:rPr>
          <w:rFonts w:cstheme="minorHAnsi"/>
          <w:sz w:val="32"/>
          <w:szCs w:val="32"/>
          <w:lang w:val="es-CL"/>
        </w:rPr>
        <w:t xml:space="preserve"> US$ 3.</w:t>
      </w:r>
      <w:r w:rsidR="009A78AD" w:rsidRPr="00135E24">
        <w:rPr>
          <w:rFonts w:cstheme="minorHAnsi"/>
          <w:sz w:val="32"/>
          <w:szCs w:val="32"/>
          <w:lang w:val="es-CL"/>
        </w:rPr>
        <w:t>5</w:t>
      </w:r>
      <w:r w:rsidR="0023154F" w:rsidRPr="00135E24">
        <w:rPr>
          <w:rFonts w:cstheme="minorHAnsi"/>
          <w:sz w:val="32"/>
          <w:szCs w:val="32"/>
          <w:lang w:val="es-CL"/>
        </w:rPr>
        <w:t>00 millones será en moneda extranjera y el 60% restante, en</w:t>
      </w:r>
      <w:r w:rsidRPr="00135E24">
        <w:rPr>
          <w:rFonts w:cstheme="minorHAnsi"/>
          <w:sz w:val="32"/>
          <w:szCs w:val="32"/>
          <w:lang w:val="es-CL"/>
        </w:rPr>
        <w:t xml:space="preserve"> moneda local (pesos y UF). </w:t>
      </w:r>
    </w:p>
    <w:p w:rsidR="000403A5" w:rsidRPr="00135E24" w:rsidRDefault="000403A5" w:rsidP="000403A5">
      <w:pPr>
        <w:pStyle w:val="Prrafodelista"/>
        <w:jc w:val="both"/>
        <w:rPr>
          <w:rFonts w:cstheme="minorHAnsi"/>
          <w:sz w:val="32"/>
          <w:szCs w:val="32"/>
          <w:lang w:val="es-CL"/>
        </w:rPr>
      </w:pPr>
    </w:p>
    <w:p w:rsidR="00D26060" w:rsidRPr="00135E24" w:rsidRDefault="00241872" w:rsidP="000403A5">
      <w:pPr>
        <w:pStyle w:val="Prrafodelista"/>
        <w:jc w:val="both"/>
        <w:rPr>
          <w:rFonts w:cstheme="minorHAnsi"/>
          <w:sz w:val="32"/>
          <w:szCs w:val="32"/>
          <w:lang w:val="es-CL"/>
        </w:rPr>
      </w:pPr>
      <w:r w:rsidRPr="00135E24">
        <w:rPr>
          <w:rFonts w:cstheme="minorHAnsi"/>
          <w:sz w:val="32"/>
          <w:szCs w:val="32"/>
          <w:lang w:val="es-CL"/>
        </w:rPr>
        <w:t>Con esto, más de US$ 11 mil millones del financiamiento necesario para el próximo año</w:t>
      </w:r>
      <w:r w:rsidR="001753DD" w:rsidRPr="00135E24">
        <w:rPr>
          <w:rFonts w:cstheme="minorHAnsi"/>
          <w:sz w:val="32"/>
          <w:szCs w:val="32"/>
          <w:lang w:val="es-CL"/>
        </w:rPr>
        <w:t>,</w:t>
      </w:r>
      <w:r w:rsidRPr="00135E24">
        <w:rPr>
          <w:rFonts w:cstheme="minorHAnsi"/>
          <w:sz w:val="32"/>
          <w:szCs w:val="32"/>
          <w:lang w:val="es-CL"/>
        </w:rPr>
        <w:t xml:space="preserve"> corresponderá a</w:t>
      </w:r>
      <w:r w:rsidR="001753DD" w:rsidRPr="00135E24">
        <w:rPr>
          <w:rFonts w:cstheme="minorHAnsi"/>
          <w:sz w:val="32"/>
          <w:szCs w:val="32"/>
          <w:lang w:val="es-CL"/>
        </w:rPr>
        <w:t>l</w:t>
      </w:r>
      <w:r w:rsidRPr="00135E24">
        <w:rPr>
          <w:rFonts w:cstheme="minorHAnsi"/>
          <w:sz w:val="32"/>
          <w:szCs w:val="32"/>
          <w:lang w:val="es-CL"/>
        </w:rPr>
        <w:t xml:space="preserve"> uso de activos </w:t>
      </w:r>
      <w:r w:rsidR="000403A5" w:rsidRPr="00135E24">
        <w:rPr>
          <w:rFonts w:cstheme="minorHAnsi"/>
          <w:sz w:val="32"/>
          <w:szCs w:val="32"/>
          <w:lang w:val="es-CL"/>
        </w:rPr>
        <w:t xml:space="preserve">en moneda extranjera </w:t>
      </w:r>
      <w:r w:rsidRPr="00135E24">
        <w:rPr>
          <w:rFonts w:cstheme="minorHAnsi"/>
          <w:sz w:val="32"/>
          <w:szCs w:val="32"/>
          <w:lang w:val="es-CL"/>
        </w:rPr>
        <w:t xml:space="preserve">o emisión de deuda en moneda extranjera. </w:t>
      </w:r>
    </w:p>
    <w:p w:rsidR="00D26060" w:rsidRPr="00135E24" w:rsidRDefault="00D26060" w:rsidP="00D26060">
      <w:pPr>
        <w:pStyle w:val="Prrafodelista"/>
        <w:jc w:val="both"/>
        <w:rPr>
          <w:rFonts w:cstheme="minorHAnsi"/>
          <w:sz w:val="32"/>
          <w:szCs w:val="32"/>
          <w:lang w:val="es-CL"/>
        </w:rPr>
      </w:pPr>
    </w:p>
    <w:p w:rsidR="00D26060" w:rsidRPr="00135E24" w:rsidRDefault="000A013E" w:rsidP="00D26060">
      <w:pPr>
        <w:pStyle w:val="Prrafodelista"/>
        <w:jc w:val="both"/>
        <w:rPr>
          <w:rFonts w:cstheme="minorHAnsi"/>
          <w:sz w:val="32"/>
          <w:szCs w:val="32"/>
          <w:lang w:val="es-CL"/>
        </w:rPr>
      </w:pPr>
      <w:r w:rsidRPr="00135E24">
        <w:rPr>
          <w:rFonts w:cstheme="minorHAnsi"/>
          <w:sz w:val="32"/>
          <w:szCs w:val="32"/>
          <w:lang w:val="es-CL"/>
        </w:rPr>
        <w:t>C</w:t>
      </w:r>
      <w:r w:rsidR="00D26060" w:rsidRPr="00135E24">
        <w:rPr>
          <w:rFonts w:cstheme="minorHAnsi"/>
          <w:sz w:val="32"/>
          <w:szCs w:val="32"/>
          <w:lang w:val="es-CL"/>
        </w:rPr>
        <w:t xml:space="preserve">onsiderando una combinación de deuda y activos como fuente de financiamiento para los próximos años y, dado un compromiso de convergencia hacia el balance estructural, es posible </w:t>
      </w:r>
      <w:r w:rsidRPr="00135E24">
        <w:rPr>
          <w:rFonts w:cstheme="minorHAnsi"/>
          <w:sz w:val="32"/>
          <w:szCs w:val="32"/>
          <w:lang w:val="es-CL"/>
        </w:rPr>
        <w:t>proyectar</w:t>
      </w:r>
      <w:r w:rsidR="00D26060" w:rsidRPr="00135E24">
        <w:rPr>
          <w:rFonts w:cstheme="minorHAnsi"/>
          <w:sz w:val="32"/>
          <w:szCs w:val="32"/>
          <w:lang w:val="es-CL"/>
        </w:rPr>
        <w:t xml:space="preserve"> que la deuda pública bruta como porcentaje del PIB se estabilizará en torno a 38% hacia fines del horizonte de proyección, el año 2024. </w:t>
      </w:r>
    </w:p>
    <w:p w:rsidR="00B56481" w:rsidRPr="00135E24" w:rsidRDefault="00B56481" w:rsidP="00D26060">
      <w:pPr>
        <w:pStyle w:val="Prrafodelista"/>
        <w:jc w:val="both"/>
        <w:rPr>
          <w:rFonts w:cstheme="minorHAnsi"/>
          <w:sz w:val="32"/>
          <w:szCs w:val="32"/>
          <w:lang w:val="es-CL"/>
        </w:rPr>
      </w:pPr>
    </w:p>
    <w:p w:rsidR="00271C97" w:rsidRPr="00135E24" w:rsidRDefault="00D26060" w:rsidP="00CD1B9B">
      <w:pPr>
        <w:pStyle w:val="Prrafodelista"/>
        <w:jc w:val="both"/>
        <w:rPr>
          <w:rFonts w:cstheme="minorHAnsi"/>
          <w:sz w:val="32"/>
          <w:szCs w:val="32"/>
          <w:lang w:val="es-CL"/>
        </w:rPr>
      </w:pPr>
      <w:r w:rsidRPr="00135E24">
        <w:rPr>
          <w:rFonts w:cstheme="minorHAnsi"/>
          <w:sz w:val="32"/>
          <w:szCs w:val="32"/>
          <w:lang w:val="es-CL"/>
        </w:rPr>
        <w:t>De acuerdo con la institucionalidad vigente, en el Informe de Finanzas Públicas</w:t>
      </w:r>
      <w:r w:rsidR="000A013E" w:rsidRPr="00135E24">
        <w:rPr>
          <w:rFonts w:cstheme="minorHAnsi"/>
          <w:sz w:val="32"/>
          <w:szCs w:val="32"/>
          <w:lang w:val="es-CL"/>
        </w:rPr>
        <w:t xml:space="preserve"> del cuarto trimestre</w:t>
      </w:r>
      <w:r w:rsidRPr="00135E24">
        <w:rPr>
          <w:rFonts w:cstheme="minorHAnsi"/>
          <w:sz w:val="32"/>
          <w:szCs w:val="32"/>
          <w:lang w:val="es-CL"/>
        </w:rPr>
        <w:t xml:space="preserve"> se presentará una actualización de las proyecciones </w:t>
      </w:r>
      <w:r w:rsidR="000A013E" w:rsidRPr="00135E24">
        <w:rPr>
          <w:rFonts w:cstheme="minorHAnsi"/>
          <w:sz w:val="32"/>
          <w:szCs w:val="32"/>
          <w:lang w:val="es-CL"/>
        </w:rPr>
        <w:t xml:space="preserve">anuales </w:t>
      </w:r>
      <w:r w:rsidRPr="00135E24">
        <w:rPr>
          <w:rFonts w:cstheme="minorHAnsi"/>
          <w:sz w:val="32"/>
          <w:szCs w:val="32"/>
          <w:lang w:val="es-CL"/>
        </w:rPr>
        <w:t xml:space="preserve">de deuda </w:t>
      </w:r>
      <w:r w:rsidR="000A013E" w:rsidRPr="00135E24">
        <w:rPr>
          <w:rFonts w:cstheme="minorHAnsi"/>
          <w:sz w:val="32"/>
          <w:szCs w:val="32"/>
          <w:lang w:val="es-CL"/>
        </w:rPr>
        <w:t xml:space="preserve">pública </w:t>
      </w:r>
      <w:r w:rsidRPr="00135E24">
        <w:rPr>
          <w:rFonts w:cstheme="minorHAnsi"/>
          <w:sz w:val="32"/>
          <w:szCs w:val="32"/>
          <w:lang w:val="es-CL"/>
        </w:rPr>
        <w:t>que se generan con este nuevo escenario macroeconómico y fiscal, considerando las diversas fuentes de financiamiento disponibles.</w:t>
      </w:r>
    </w:p>
    <w:p w:rsidR="00271C97" w:rsidRPr="00135E24" w:rsidRDefault="00271C97" w:rsidP="00CD1B9B">
      <w:pPr>
        <w:pStyle w:val="Prrafodelista"/>
        <w:jc w:val="both"/>
        <w:rPr>
          <w:rFonts w:cstheme="minorHAnsi"/>
          <w:sz w:val="32"/>
          <w:szCs w:val="32"/>
          <w:lang w:val="es-CL"/>
        </w:rPr>
      </w:pPr>
    </w:p>
    <w:p w:rsidR="00271C97" w:rsidRPr="00135E24" w:rsidRDefault="00271C97" w:rsidP="00CD1B9B">
      <w:pPr>
        <w:pStyle w:val="Prrafodelista"/>
        <w:jc w:val="both"/>
        <w:rPr>
          <w:rFonts w:cstheme="minorHAnsi"/>
          <w:sz w:val="32"/>
          <w:szCs w:val="32"/>
          <w:lang w:val="es-CL"/>
        </w:rPr>
      </w:pPr>
    </w:p>
    <w:p w:rsidR="00581A96" w:rsidRPr="00135E24" w:rsidRDefault="00581A96">
      <w:pPr>
        <w:rPr>
          <w:rFonts w:cstheme="minorHAnsi"/>
          <w:b/>
          <w:sz w:val="32"/>
          <w:szCs w:val="32"/>
          <w:lang w:val="es-CL"/>
        </w:rPr>
      </w:pPr>
      <w:r w:rsidRPr="00135E24">
        <w:rPr>
          <w:rFonts w:cstheme="minorHAnsi"/>
          <w:b/>
          <w:sz w:val="32"/>
          <w:szCs w:val="32"/>
          <w:lang w:val="es-CL"/>
        </w:rPr>
        <w:br w:type="page"/>
      </w:r>
    </w:p>
    <w:p w:rsidR="00581A96" w:rsidRPr="00135E24" w:rsidRDefault="00581A96">
      <w:pPr>
        <w:rPr>
          <w:rFonts w:cstheme="minorHAnsi"/>
          <w:b/>
          <w:sz w:val="32"/>
          <w:szCs w:val="32"/>
          <w:lang w:val="es-CL"/>
        </w:rPr>
      </w:pPr>
    </w:p>
    <w:p w:rsidR="000A013E" w:rsidRPr="00135E24" w:rsidRDefault="000A013E">
      <w:pPr>
        <w:rPr>
          <w:rFonts w:cstheme="minorHAnsi"/>
          <w:sz w:val="32"/>
          <w:szCs w:val="32"/>
          <w:lang w:val="es-CL"/>
        </w:rPr>
      </w:pPr>
    </w:p>
    <w:p w:rsidR="00271C97" w:rsidRPr="00135E24" w:rsidRDefault="00271C97" w:rsidP="00271C97">
      <w:pPr>
        <w:pStyle w:val="Prrafodelista"/>
        <w:jc w:val="both"/>
        <w:rPr>
          <w:rFonts w:cstheme="minorHAnsi"/>
          <w:sz w:val="32"/>
          <w:szCs w:val="32"/>
        </w:rPr>
      </w:pPr>
    </w:p>
    <w:sectPr w:rsidR="00271C97" w:rsidRPr="00135E24" w:rsidSect="00BA5180">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CBC" w:rsidRDefault="00522CBC" w:rsidP="006E0CCF">
      <w:pPr>
        <w:spacing w:after="0" w:line="240" w:lineRule="auto"/>
      </w:pPr>
      <w:r>
        <w:separator/>
      </w:r>
    </w:p>
  </w:endnote>
  <w:endnote w:type="continuationSeparator" w:id="0">
    <w:p w:rsidR="00522CBC" w:rsidRDefault="00522CBC" w:rsidP="006E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646645"/>
      <w:docPartObj>
        <w:docPartGallery w:val="Page Numbers (Bottom of Page)"/>
        <w:docPartUnique/>
      </w:docPartObj>
    </w:sdtPr>
    <w:sdtEndPr/>
    <w:sdtContent>
      <w:p w:rsidR="006E0CCF" w:rsidRDefault="006E0CCF">
        <w:pPr>
          <w:pStyle w:val="Piedepgina"/>
          <w:jc w:val="center"/>
        </w:pPr>
        <w:r>
          <w:fldChar w:fldCharType="begin"/>
        </w:r>
        <w:r>
          <w:instrText>PAGE   \* MERGEFORMAT</w:instrText>
        </w:r>
        <w:r>
          <w:fldChar w:fldCharType="separate"/>
        </w:r>
        <w:r w:rsidR="0049012B">
          <w:rPr>
            <w:noProof/>
          </w:rPr>
          <w:t>1</w:t>
        </w:r>
        <w:r>
          <w:fldChar w:fldCharType="end"/>
        </w:r>
      </w:p>
    </w:sdtContent>
  </w:sdt>
  <w:p w:rsidR="006E0CCF" w:rsidRDefault="006E0C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CBC" w:rsidRDefault="00522CBC" w:rsidP="006E0CCF">
      <w:pPr>
        <w:spacing w:after="0" w:line="240" w:lineRule="auto"/>
      </w:pPr>
      <w:r>
        <w:separator/>
      </w:r>
    </w:p>
  </w:footnote>
  <w:footnote w:type="continuationSeparator" w:id="0">
    <w:p w:rsidR="00522CBC" w:rsidRDefault="00522CBC" w:rsidP="006E0CCF">
      <w:pPr>
        <w:spacing w:after="0" w:line="240" w:lineRule="auto"/>
      </w:pPr>
      <w:r>
        <w:continuationSeparator/>
      </w:r>
    </w:p>
  </w:footnote>
  <w:footnote w:id="1">
    <w:p w:rsidR="002A7B7D" w:rsidRPr="00BB607A" w:rsidRDefault="002A7B7D">
      <w:pPr>
        <w:pStyle w:val="Textonotapie"/>
        <w:rPr>
          <w:rFonts w:ascii="Times New Roman" w:hAnsi="Times New Roman" w:cs="Times New Roman"/>
          <w:lang w:val="es-CL"/>
        </w:rPr>
      </w:pPr>
      <w:r w:rsidRPr="00BB607A">
        <w:rPr>
          <w:rStyle w:val="Refdenotaalpie"/>
          <w:rFonts w:ascii="Times New Roman" w:hAnsi="Times New Roman" w:cs="Times New Roman"/>
        </w:rPr>
        <w:footnoteRef/>
      </w:r>
      <w:r w:rsidRPr="00BB607A">
        <w:rPr>
          <w:rFonts w:ascii="Times New Roman" w:hAnsi="Times New Roman" w:cs="Times New Roman"/>
        </w:rPr>
        <w:t xml:space="preserve"> </w:t>
      </w:r>
      <w:r w:rsidRPr="00BB607A">
        <w:rPr>
          <w:rFonts w:ascii="Times New Roman" w:hAnsi="Times New Roman" w:cs="Times New Roman"/>
          <w:lang w:val="es-CL"/>
        </w:rPr>
        <w:t>Estos US$ 5</w:t>
      </w:r>
      <w:r w:rsidR="00916308" w:rsidRPr="00BB607A">
        <w:rPr>
          <w:rFonts w:ascii="Times New Roman" w:hAnsi="Times New Roman" w:cs="Times New Roman"/>
          <w:lang w:val="es-CL"/>
        </w:rPr>
        <w:t>2</w:t>
      </w:r>
      <w:r w:rsidRPr="00BB607A">
        <w:rPr>
          <w:rFonts w:ascii="Times New Roman" w:hAnsi="Times New Roman" w:cs="Times New Roman"/>
          <w:lang w:val="es-CL"/>
        </w:rPr>
        <w:t xml:space="preserve">5 millones incluyen concesiones y la reconstrucción del Metro. </w:t>
      </w:r>
    </w:p>
  </w:footnote>
  <w:footnote w:id="2">
    <w:p w:rsidR="00581A96" w:rsidRPr="00C86E4F" w:rsidRDefault="00581A96" w:rsidP="00581A96">
      <w:pPr>
        <w:pStyle w:val="Textonotapie"/>
        <w:rPr>
          <w:lang w:val="es-MX"/>
        </w:rPr>
      </w:pPr>
      <w:r w:rsidRPr="00BB607A">
        <w:rPr>
          <w:rStyle w:val="Refdenotaalpie"/>
          <w:rFonts w:ascii="Times New Roman" w:hAnsi="Times New Roman" w:cs="Times New Roman"/>
        </w:rPr>
        <w:footnoteRef/>
      </w:r>
      <w:r w:rsidRPr="00BB607A">
        <w:rPr>
          <w:rFonts w:ascii="Times New Roman" w:hAnsi="Times New Roman" w:cs="Times New Roman"/>
        </w:rPr>
        <w:t xml:space="preserve"> </w:t>
      </w:r>
      <w:r w:rsidRPr="00BB607A">
        <w:rPr>
          <w:rFonts w:ascii="Times New Roman" w:hAnsi="Times New Roman" w:cs="Times New Roman"/>
          <w:lang w:val="es-MX"/>
        </w:rPr>
        <w:t>Reconstrucción de Metro considera US$ 380 millones aprobados en la ley de presupuesto.</w:t>
      </w:r>
    </w:p>
  </w:footnote>
  <w:footnote w:id="3">
    <w:p w:rsidR="00271C97" w:rsidRPr="00BB607A" w:rsidRDefault="00271C97">
      <w:pPr>
        <w:pStyle w:val="Textonotapie"/>
        <w:rPr>
          <w:rFonts w:ascii="Times New Roman" w:hAnsi="Times New Roman" w:cs="Times New Roman"/>
          <w:lang w:val="es-CL"/>
        </w:rPr>
      </w:pPr>
      <w:r w:rsidRPr="00BB607A">
        <w:rPr>
          <w:rStyle w:val="Refdenotaalpie"/>
          <w:rFonts w:ascii="Times New Roman" w:hAnsi="Times New Roman" w:cs="Times New Roman"/>
        </w:rPr>
        <w:footnoteRef/>
      </w:r>
      <w:r w:rsidRPr="00BB607A">
        <w:rPr>
          <w:rFonts w:ascii="Times New Roman" w:hAnsi="Times New Roman" w:cs="Times New Roman"/>
        </w:rPr>
        <w:t xml:space="preserve"> Más información sobre estos instrumentos en Anexo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EC" w:rsidRDefault="007205EC">
    <w:pPr>
      <w:pStyle w:val="Encabezado"/>
    </w:pPr>
    <w:r>
      <w:rPr>
        <w:b/>
        <w:bCs/>
        <w:noProof/>
        <w:color w:val="808080"/>
        <w:sz w:val="20"/>
        <w:szCs w:val="20"/>
        <w:lang w:eastAsia="es-ES"/>
      </w:rPr>
      <w:drawing>
        <wp:inline distT="0" distB="0" distL="0" distR="0" wp14:anchorId="49A29DE3" wp14:editId="7E8FE919">
          <wp:extent cx="771525" cy="701388"/>
          <wp:effectExtent l="0" t="0" r="0" b="3810"/>
          <wp:docPr id="7" name="Imagen 7" descr="cid:image001.jpg@01CF5045.B2E17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CF5045.B2E178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9691" cy="8360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E46C3"/>
    <w:multiLevelType w:val="hybridMultilevel"/>
    <w:tmpl w:val="FCA053F0"/>
    <w:lvl w:ilvl="0" w:tplc="0C0A0005">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239E0E98"/>
    <w:multiLevelType w:val="hybridMultilevel"/>
    <w:tmpl w:val="03786F4A"/>
    <w:lvl w:ilvl="0" w:tplc="0C0A001B">
      <w:start w:val="1"/>
      <w:numFmt w:val="lowerRoman"/>
      <w:lvlText w:val="%1."/>
      <w:lvlJc w:val="right"/>
      <w:pPr>
        <w:ind w:left="2484" w:hanging="360"/>
      </w:pPr>
      <w:rPr>
        <w:rFonts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2">
    <w:nsid w:val="39A77B98"/>
    <w:multiLevelType w:val="multilevel"/>
    <w:tmpl w:val="8C00494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CEE1EE5"/>
    <w:multiLevelType w:val="hybridMultilevel"/>
    <w:tmpl w:val="CD46984C"/>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64196667"/>
    <w:multiLevelType w:val="hybridMultilevel"/>
    <w:tmpl w:val="A9443A8A"/>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7B54278B"/>
    <w:multiLevelType w:val="hybridMultilevel"/>
    <w:tmpl w:val="EE8290C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82D"/>
    <w:rsid w:val="00011B08"/>
    <w:rsid w:val="0001682D"/>
    <w:rsid w:val="00035517"/>
    <w:rsid w:val="000358BA"/>
    <w:rsid w:val="000403A5"/>
    <w:rsid w:val="00041277"/>
    <w:rsid w:val="00083EE7"/>
    <w:rsid w:val="000A013E"/>
    <w:rsid w:val="000A428F"/>
    <w:rsid w:val="000A75C3"/>
    <w:rsid w:val="000B17B5"/>
    <w:rsid w:val="000E56B4"/>
    <w:rsid w:val="000F2EB0"/>
    <w:rsid w:val="00105478"/>
    <w:rsid w:val="00135E24"/>
    <w:rsid w:val="00146239"/>
    <w:rsid w:val="0015093C"/>
    <w:rsid w:val="00150A7B"/>
    <w:rsid w:val="00157310"/>
    <w:rsid w:val="00170035"/>
    <w:rsid w:val="001733A2"/>
    <w:rsid w:val="00174492"/>
    <w:rsid w:val="001753DD"/>
    <w:rsid w:val="00177798"/>
    <w:rsid w:val="00177882"/>
    <w:rsid w:val="00185FF4"/>
    <w:rsid w:val="001A6A98"/>
    <w:rsid w:val="001B1055"/>
    <w:rsid w:val="001B7379"/>
    <w:rsid w:val="001C2D47"/>
    <w:rsid w:val="001D35DD"/>
    <w:rsid w:val="001D4AFE"/>
    <w:rsid w:val="001E3789"/>
    <w:rsid w:val="002118EC"/>
    <w:rsid w:val="002257A8"/>
    <w:rsid w:val="0023154F"/>
    <w:rsid w:val="0023731E"/>
    <w:rsid w:val="00241872"/>
    <w:rsid w:val="00253D13"/>
    <w:rsid w:val="00271C97"/>
    <w:rsid w:val="0027248A"/>
    <w:rsid w:val="00283643"/>
    <w:rsid w:val="00294669"/>
    <w:rsid w:val="002950A9"/>
    <w:rsid w:val="002A2B5A"/>
    <w:rsid w:val="002A7B7D"/>
    <w:rsid w:val="002B2B3F"/>
    <w:rsid w:val="002B56E7"/>
    <w:rsid w:val="0030396A"/>
    <w:rsid w:val="00310B7E"/>
    <w:rsid w:val="0031579A"/>
    <w:rsid w:val="003352B8"/>
    <w:rsid w:val="003B669E"/>
    <w:rsid w:val="003C2A03"/>
    <w:rsid w:val="003C3C16"/>
    <w:rsid w:val="003C4E7C"/>
    <w:rsid w:val="003D107E"/>
    <w:rsid w:val="003D7F01"/>
    <w:rsid w:val="003F79C3"/>
    <w:rsid w:val="00402822"/>
    <w:rsid w:val="00404580"/>
    <w:rsid w:val="00435A88"/>
    <w:rsid w:val="004564F0"/>
    <w:rsid w:val="00467976"/>
    <w:rsid w:val="0049012B"/>
    <w:rsid w:val="004B31C4"/>
    <w:rsid w:val="004B3E34"/>
    <w:rsid w:val="004D05B3"/>
    <w:rsid w:val="004E7C05"/>
    <w:rsid w:val="004F3722"/>
    <w:rsid w:val="00503E50"/>
    <w:rsid w:val="00505A95"/>
    <w:rsid w:val="00506976"/>
    <w:rsid w:val="00522CBC"/>
    <w:rsid w:val="00547573"/>
    <w:rsid w:val="005540E7"/>
    <w:rsid w:val="00557EE4"/>
    <w:rsid w:val="00564257"/>
    <w:rsid w:val="00581A96"/>
    <w:rsid w:val="005924B9"/>
    <w:rsid w:val="005C04CB"/>
    <w:rsid w:val="005F1738"/>
    <w:rsid w:val="0060724B"/>
    <w:rsid w:val="00611B8F"/>
    <w:rsid w:val="00612E0B"/>
    <w:rsid w:val="00632E4A"/>
    <w:rsid w:val="006531AB"/>
    <w:rsid w:val="006606ED"/>
    <w:rsid w:val="00660A2E"/>
    <w:rsid w:val="00673901"/>
    <w:rsid w:val="0067684B"/>
    <w:rsid w:val="00684E65"/>
    <w:rsid w:val="006B313B"/>
    <w:rsid w:val="006B6AD4"/>
    <w:rsid w:val="006B7E2C"/>
    <w:rsid w:val="006C571D"/>
    <w:rsid w:val="006C7695"/>
    <w:rsid w:val="006D0D59"/>
    <w:rsid w:val="006D5DF0"/>
    <w:rsid w:val="006E0CCF"/>
    <w:rsid w:val="006E340A"/>
    <w:rsid w:val="006E37AF"/>
    <w:rsid w:val="007205EC"/>
    <w:rsid w:val="00747E21"/>
    <w:rsid w:val="0076087E"/>
    <w:rsid w:val="00767D92"/>
    <w:rsid w:val="007876B3"/>
    <w:rsid w:val="00797A27"/>
    <w:rsid w:val="007A3032"/>
    <w:rsid w:val="007E35F7"/>
    <w:rsid w:val="007F5096"/>
    <w:rsid w:val="00801E5E"/>
    <w:rsid w:val="00840BBC"/>
    <w:rsid w:val="008432CD"/>
    <w:rsid w:val="00847A6F"/>
    <w:rsid w:val="00857E54"/>
    <w:rsid w:val="00884A9E"/>
    <w:rsid w:val="00891557"/>
    <w:rsid w:val="008A218D"/>
    <w:rsid w:val="008C1608"/>
    <w:rsid w:val="008C5392"/>
    <w:rsid w:val="008C561F"/>
    <w:rsid w:val="008E0656"/>
    <w:rsid w:val="008E077B"/>
    <w:rsid w:val="008E5134"/>
    <w:rsid w:val="008F1173"/>
    <w:rsid w:val="008F367F"/>
    <w:rsid w:val="00900889"/>
    <w:rsid w:val="00913A57"/>
    <w:rsid w:val="00916308"/>
    <w:rsid w:val="00937942"/>
    <w:rsid w:val="00946586"/>
    <w:rsid w:val="00947B07"/>
    <w:rsid w:val="00980396"/>
    <w:rsid w:val="009A78AD"/>
    <w:rsid w:val="009A7BCA"/>
    <w:rsid w:val="009E1611"/>
    <w:rsid w:val="00A17F3D"/>
    <w:rsid w:val="00A22525"/>
    <w:rsid w:val="00A23337"/>
    <w:rsid w:val="00A24483"/>
    <w:rsid w:val="00A335C4"/>
    <w:rsid w:val="00A3651C"/>
    <w:rsid w:val="00A632AD"/>
    <w:rsid w:val="00A81B43"/>
    <w:rsid w:val="00A92B8D"/>
    <w:rsid w:val="00A960C2"/>
    <w:rsid w:val="00AA03F0"/>
    <w:rsid w:val="00AD6799"/>
    <w:rsid w:val="00AE0732"/>
    <w:rsid w:val="00B019DE"/>
    <w:rsid w:val="00B14A41"/>
    <w:rsid w:val="00B21A14"/>
    <w:rsid w:val="00B40731"/>
    <w:rsid w:val="00B54457"/>
    <w:rsid w:val="00B56481"/>
    <w:rsid w:val="00B57DC6"/>
    <w:rsid w:val="00B95FD7"/>
    <w:rsid w:val="00BA5180"/>
    <w:rsid w:val="00BA61AC"/>
    <w:rsid w:val="00BB464B"/>
    <w:rsid w:val="00BB607A"/>
    <w:rsid w:val="00BB6C54"/>
    <w:rsid w:val="00BE59A7"/>
    <w:rsid w:val="00BF0597"/>
    <w:rsid w:val="00BF2CE7"/>
    <w:rsid w:val="00C11D6D"/>
    <w:rsid w:val="00C14007"/>
    <w:rsid w:val="00C15089"/>
    <w:rsid w:val="00C2157D"/>
    <w:rsid w:val="00C30A59"/>
    <w:rsid w:val="00C40B25"/>
    <w:rsid w:val="00C76A02"/>
    <w:rsid w:val="00C84ED6"/>
    <w:rsid w:val="00C86E4F"/>
    <w:rsid w:val="00CA58AC"/>
    <w:rsid w:val="00CB60D0"/>
    <w:rsid w:val="00CC1A4C"/>
    <w:rsid w:val="00CC7420"/>
    <w:rsid w:val="00CD1B9B"/>
    <w:rsid w:val="00D03059"/>
    <w:rsid w:val="00D160D5"/>
    <w:rsid w:val="00D26060"/>
    <w:rsid w:val="00D95649"/>
    <w:rsid w:val="00DA25D7"/>
    <w:rsid w:val="00DB0640"/>
    <w:rsid w:val="00DB1A5B"/>
    <w:rsid w:val="00DD40F9"/>
    <w:rsid w:val="00DE58DD"/>
    <w:rsid w:val="00DF088B"/>
    <w:rsid w:val="00DF3E66"/>
    <w:rsid w:val="00E22965"/>
    <w:rsid w:val="00E67091"/>
    <w:rsid w:val="00EA35B0"/>
    <w:rsid w:val="00EC13A5"/>
    <w:rsid w:val="00EC5B36"/>
    <w:rsid w:val="00ED403E"/>
    <w:rsid w:val="00F1486C"/>
    <w:rsid w:val="00F249CC"/>
    <w:rsid w:val="00F46ABD"/>
    <w:rsid w:val="00F90DD8"/>
    <w:rsid w:val="00FA65EF"/>
    <w:rsid w:val="00FB0247"/>
    <w:rsid w:val="00FC2D0D"/>
    <w:rsid w:val="00FD40AD"/>
    <w:rsid w:val="00FD623F"/>
    <w:rsid w:val="00FE32AF"/>
    <w:rsid w:val="00FF4F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5180"/>
    <w:pPr>
      <w:ind w:left="720"/>
      <w:contextualSpacing/>
    </w:pPr>
  </w:style>
  <w:style w:type="paragraph" w:styleId="Encabezado">
    <w:name w:val="header"/>
    <w:basedOn w:val="Normal"/>
    <w:link w:val="EncabezadoCar"/>
    <w:uiPriority w:val="99"/>
    <w:unhideWhenUsed/>
    <w:rsid w:val="006E0C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0CCF"/>
  </w:style>
  <w:style w:type="paragraph" w:styleId="Piedepgina">
    <w:name w:val="footer"/>
    <w:basedOn w:val="Normal"/>
    <w:link w:val="PiedepginaCar"/>
    <w:uiPriority w:val="99"/>
    <w:unhideWhenUsed/>
    <w:rsid w:val="006E0C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0CCF"/>
  </w:style>
  <w:style w:type="paragraph" w:styleId="Textonotapie">
    <w:name w:val="footnote text"/>
    <w:basedOn w:val="Normal"/>
    <w:link w:val="TextonotapieCar"/>
    <w:uiPriority w:val="99"/>
    <w:semiHidden/>
    <w:unhideWhenUsed/>
    <w:rsid w:val="002A7B7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7B7D"/>
    <w:rPr>
      <w:sz w:val="20"/>
      <w:szCs w:val="20"/>
    </w:rPr>
  </w:style>
  <w:style w:type="character" w:styleId="Refdenotaalpie">
    <w:name w:val="footnote reference"/>
    <w:basedOn w:val="Fuentedeprrafopredeter"/>
    <w:uiPriority w:val="99"/>
    <w:semiHidden/>
    <w:unhideWhenUsed/>
    <w:rsid w:val="002A7B7D"/>
    <w:rPr>
      <w:vertAlign w:val="superscript"/>
    </w:rPr>
  </w:style>
  <w:style w:type="paragraph" w:styleId="Textodeglobo">
    <w:name w:val="Balloon Text"/>
    <w:basedOn w:val="Normal"/>
    <w:link w:val="TextodegloboCar"/>
    <w:uiPriority w:val="99"/>
    <w:semiHidden/>
    <w:unhideWhenUsed/>
    <w:rsid w:val="00B564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481"/>
    <w:rPr>
      <w:rFonts w:ascii="Segoe UI" w:hAnsi="Segoe UI" w:cs="Segoe UI"/>
      <w:sz w:val="18"/>
      <w:szCs w:val="18"/>
    </w:rPr>
  </w:style>
  <w:style w:type="character" w:styleId="Refdecomentario">
    <w:name w:val="annotation reference"/>
    <w:basedOn w:val="Fuentedeprrafopredeter"/>
    <w:uiPriority w:val="99"/>
    <w:semiHidden/>
    <w:unhideWhenUsed/>
    <w:rsid w:val="00083EE7"/>
    <w:rPr>
      <w:sz w:val="16"/>
      <w:szCs w:val="16"/>
    </w:rPr>
  </w:style>
  <w:style w:type="paragraph" w:styleId="Textocomentario">
    <w:name w:val="annotation text"/>
    <w:basedOn w:val="Normal"/>
    <w:link w:val="TextocomentarioCar"/>
    <w:uiPriority w:val="99"/>
    <w:semiHidden/>
    <w:unhideWhenUsed/>
    <w:rsid w:val="00083E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3EE7"/>
    <w:rPr>
      <w:sz w:val="20"/>
      <w:szCs w:val="20"/>
    </w:rPr>
  </w:style>
  <w:style w:type="paragraph" w:styleId="Asuntodelcomentario">
    <w:name w:val="annotation subject"/>
    <w:basedOn w:val="Textocomentario"/>
    <w:next w:val="Textocomentario"/>
    <w:link w:val="AsuntodelcomentarioCar"/>
    <w:uiPriority w:val="99"/>
    <w:semiHidden/>
    <w:unhideWhenUsed/>
    <w:rsid w:val="00083EE7"/>
    <w:rPr>
      <w:b/>
      <w:bCs/>
    </w:rPr>
  </w:style>
  <w:style w:type="character" w:customStyle="1" w:styleId="AsuntodelcomentarioCar">
    <w:name w:val="Asunto del comentario Car"/>
    <w:basedOn w:val="TextocomentarioCar"/>
    <w:link w:val="Asuntodelcomentario"/>
    <w:uiPriority w:val="99"/>
    <w:semiHidden/>
    <w:rsid w:val="00083EE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5180"/>
    <w:pPr>
      <w:ind w:left="720"/>
      <w:contextualSpacing/>
    </w:pPr>
  </w:style>
  <w:style w:type="paragraph" w:styleId="Encabezado">
    <w:name w:val="header"/>
    <w:basedOn w:val="Normal"/>
    <w:link w:val="EncabezadoCar"/>
    <w:uiPriority w:val="99"/>
    <w:unhideWhenUsed/>
    <w:rsid w:val="006E0C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0CCF"/>
  </w:style>
  <w:style w:type="paragraph" w:styleId="Piedepgina">
    <w:name w:val="footer"/>
    <w:basedOn w:val="Normal"/>
    <w:link w:val="PiedepginaCar"/>
    <w:uiPriority w:val="99"/>
    <w:unhideWhenUsed/>
    <w:rsid w:val="006E0C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0CCF"/>
  </w:style>
  <w:style w:type="paragraph" w:styleId="Textonotapie">
    <w:name w:val="footnote text"/>
    <w:basedOn w:val="Normal"/>
    <w:link w:val="TextonotapieCar"/>
    <w:uiPriority w:val="99"/>
    <w:semiHidden/>
    <w:unhideWhenUsed/>
    <w:rsid w:val="002A7B7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7B7D"/>
    <w:rPr>
      <w:sz w:val="20"/>
      <w:szCs w:val="20"/>
    </w:rPr>
  </w:style>
  <w:style w:type="character" w:styleId="Refdenotaalpie">
    <w:name w:val="footnote reference"/>
    <w:basedOn w:val="Fuentedeprrafopredeter"/>
    <w:uiPriority w:val="99"/>
    <w:semiHidden/>
    <w:unhideWhenUsed/>
    <w:rsid w:val="002A7B7D"/>
    <w:rPr>
      <w:vertAlign w:val="superscript"/>
    </w:rPr>
  </w:style>
  <w:style w:type="paragraph" w:styleId="Textodeglobo">
    <w:name w:val="Balloon Text"/>
    <w:basedOn w:val="Normal"/>
    <w:link w:val="TextodegloboCar"/>
    <w:uiPriority w:val="99"/>
    <w:semiHidden/>
    <w:unhideWhenUsed/>
    <w:rsid w:val="00B564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481"/>
    <w:rPr>
      <w:rFonts w:ascii="Segoe UI" w:hAnsi="Segoe UI" w:cs="Segoe UI"/>
      <w:sz w:val="18"/>
      <w:szCs w:val="18"/>
    </w:rPr>
  </w:style>
  <w:style w:type="character" w:styleId="Refdecomentario">
    <w:name w:val="annotation reference"/>
    <w:basedOn w:val="Fuentedeprrafopredeter"/>
    <w:uiPriority w:val="99"/>
    <w:semiHidden/>
    <w:unhideWhenUsed/>
    <w:rsid w:val="00083EE7"/>
    <w:rPr>
      <w:sz w:val="16"/>
      <w:szCs w:val="16"/>
    </w:rPr>
  </w:style>
  <w:style w:type="paragraph" w:styleId="Textocomentario">
    <w:name w:val="annotation text"/>
    <w:basedOn w:val="Normal"/>
    <w:link w:val="TextocomentarioCar"/>
    <w:uiPriority w:val="99"/>
    <w:semiHidden/>
    <w:unhideWhenUsed/>
    <w:rsid w:val="00083E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3EE7"/>
    <w:rPr>
      <w:sz w:val="20"/>
      <w:szCs w:val="20"/>
    </w:rPr>
  </w:style>
  <w:style w:type="paragraph" w:styleId="Asuntodelcomentario">
    <w:name w:val="annotation subject"/>
    <w:basedOn w:val="Textocomentario"/>
    <w:next w:val="Textocomentario"/>
    <w:link w:val="AsuntodelcomentarioCar"/>
    <w:uiPriority w:val="99"/>
    <w:semiHidden/>
    <w:unhideWhenUsed/>
    <w:rsid w:val="00083EE7"/>
    <w:rPr>
      <w:b/>
      <w:bCs/>
    </w:rPr>
  </w:style>
  <w:style w:type="character" w:customStyle="1" w:styleId="AsuntodelcomentarioCar">
    <w:name w:val="Asunto del comentario Car"/>
    <w:basedOn w:val="TextocomentarioCar"/>
    <w:link w:val="Asuntodelcomentario"/>
    <w:uiPriority w:val="99"/>
    <w:semiHidden/>
    <w:rsid w:val="00083E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BB94.53F586B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2F9E9-9E82-4E4D-9B0C-A8938A07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2003</Words>
  <Characters>11022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Hermann González</dc:creator>
  <cp:lastModifiedBy>Jaime</cp:lastModifiedBy>
  <cp:revision>2</cp:revision>
  <cp:lastPrinted>2019-12-02T00:17:00Z</cp:lastPrinted>
  <dcterms:created xsi:type="dcterms:W3CDTF">2019-12-03T18:41:00Z</dcterms:created>
  <dcterms:modified xsi:type="dcterms:W3CDTF">2019-12-03T18:41:00Z</dcterms:modified>
</cp:coreProperties>
</file>