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6C" w:rsidRPr="00EC7D6C" w:rsidRDefault="00EC7D6C" w:rsidP="00EC7D6C">
      <w:pPr>
        <w:shd w:val="clear" w:color="auto" w:fill="FFFFFF"/>
        <w:spacing w:after="420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spacing w:val="-2"/>
          <w:kern w:val="36"/>
          <w:sz w:val="60"/>
          <w:szCs w:val="6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pacing w:val="-2"/>
          <w:kern w:val="36"/>
          <w:sz w:val="60"/>
          <w:szCs w:val="60"/>
          <w:lang w:eastAsia="es-ES"/>
        </w:rPr>
        <w:t xml:space="preserve">FMI: </w:t>
      </w:r>
      <w:proofErr w:type="spellStart"/>
      <w:r w:rsidRPr="00EC7D6C">
        <w:rPr>
          <w:rFonts w:ascii="Arial" w:eastAsia="Times New Roman" w:hAnsi="Arial" w:cs="Arial"/>
          <w:b/>
          <w:bCs/>
          <w:color w:val="000000"/>
          <w:spacing w:val="-2"/>
          <w:kern w:val="36"/>
          <w:sz w:val="60"/>
          <w:szCs w:val="60"/>
          <w:lang w:eastAsia="es-ES"/>
        </w:rPr>
        <w:t>Cryptoassets</w:t>
      </w:r>
      <w:proofErr w:type="spellEnd"/>
      <w:r w:rsidRPr="00EC7D6C">
        <w:rPr>
          <w:rFonts w:ascii="Arial" w:eastAsia="Times New Roman" w:hAnsi="Arial" w:cs="Arial"/>
          <w:b/>
          <w:bCs/>
          <w:color w:val="000000"/>
          <w:spacing w:val="-2"/>
          <w:kern w:val="36"/>
          <w:sz w:val="60"/>
          <w:szCs w:val="60"/>
          <w:lang w:eastAsia="es-ES"/>
        </w:rPr>
        <w:t xml:space="preserve"> as </w:t>
      </w:r>
      <w:proofErr w:type="spellStart"/>
      <w:r w:rsidRPr="00EC7D6C">
        <w:rPr>
          <w:rFonts w:ascii="Arial" w:eastAsia="Times New Roman" w:hAnsi="Arial" w:cs="Arial"/>
          <w:b/>
          <w:bCs/>
          <w:color w:val="000000"/>
          <w:spacing w:val="-2"/>
          <w:kern w:val="36"/>
          <w:sz w:val="60"/>
          <w:szCs w:val="60"/>
          <w:lang w:eastAsia="es-ES"/>
        </w:rPr>
        <w:t>National</w:t>
      </w:r>
      <w:proofErr w:type="spellEnd"/>
      <w:r w:rsidRPr="00EC7D6C">
        <w:rPr>
          <w:rFonts w:ascii="Arial" w:eastAsia="Times New Roman" w:hAnsi="Arial" w:cs="Arial"/>
          <w:b/>
          <w:bCs/>
          <w:color w:val="000000"/>
          <w:spacing w:val="-2"/>
          <w:kern w:val="36"/>
          <w:sz w:val="60"/>
          <w:szCs w:val="60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b/>
          <w:bCs/>
          <w:color w:val="000000"/>
          <w:spacing w:val="-2"/>
          <w:kern w:val="36"/>
          <w:sz w:val="60"/>
          <w:szCs w:val="60"/>
          <w:lang w:eastAsia="es-ES"/>
        </w:rPr>
        <w:t>Currency</w:t>
      </w:r>
      <w:proofErr w:type="spellEnd"/>
      <w:r w:rsidRPr="00EC7D6C">
        <w:rPr>
          <w:rFonts w:ascii="Arial" w:eastAsia="Times New Roman" w:hAnsi="Arial" w:cs="Arial"/>
          <w:b/>
          <w:bCs/>
          <w:color w:val="000000"/>
          <w:spacing w:val="-2"/>
          <w:kern w:val="36"/>
          <w:sz w:val="60"/>
          <w:szCs w:val="60"/>
          <w:lang w:eastAsia="es-ES"/>
        </w:rPr>
        <w:t xml:space="preserve">? A </w:t>
      </w:r>
      <w:proofErr w:type="spellStart"/>
      <w:r w:rsidRPr="00EC7D6C">
        <w:rPr>
          <w:rFonts w:ascii="Arial" w:eastAsia="Times New Roman" w:hAnsi="Arial" w:cs="Arial"/>
          <w:b/>
          <w:bCs/>
          <w:color w:val="000000"/>
          <w:spacing w:val="-2"/>
          <w:kern w:val="36"/>
          <w:sz w:val="60"/>
          <w:szCs w:val="60"/>
          <w:lang w:eastAsia="es-ES"/>
        </w:rPr>
        <w:t>Step</w:t>
      </w:r>
      <w:proofErr w:type="spellEnd"/>
      <w:r w:rsidRPr="00EC7D6C">
        <w:rPr>
          <w:rFonts w:ascii="Arial" w:eastAsia="Times New Roman" w:hAnsi="Arial" w:cs="Arial"/>
          <w:b/>
          <w:bCs/>
          <w:color w:val="000000"/>
          <w:spacing w:val="-2"/>
          <w:kern w:val="36"/>
          <w:sz w:val="60"/>
          <w:szCs w:val="60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b/>
          <w:bCs/>
          <w:color w:val="000000"/>
          <w:spacing w:val="-2"/>
          <w:kern w:val="36"/>
          <w:sz w:val="60"/>
          <w:szCs w:val="60"/>
          <w:lang w:eastAsia="es-ES"/>
        </w:rPr>
        <w:t>Too</w:t>
      </w:r>
      <w:proofErr w:type="spellEnd"/>
      <w:r w:rsidRPr="00EC7D6C">
        <w:rPr>
          <w:rFonts w:ascii="Arial" w:eastAsia="Times New Roman" w:hAnsi="Arial" w:cs="Arial"/>
          <w:b/>
          <w:bCs/>
          <w:color w:val="000000"/>
          <w:spacing w:val="-2"/>
          <w:kern w:val="36"/>
          <w:sz w:val="60"/>
          <w:szCs w:val="60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b/>
          <w:bCs/>
          <w:color w:val="000000"/>
          <w:spacing w:val="-2"/>
          <w:kern w:val="36"/>
          <w:sz w:val="60"/>
          <w:szCs w:val="60"/>
          <w:lang w:eastAsia="es-ES"/>
        </w:rPr>
        <w:t>Far</w:t>
      </w:r>
      <w:proofErr w:type="spellEnd"/>
    </w:p>
    <w:p w:rsidR="00EC7D6C" w:rsidRPr="00EC7D6C" w:rsidRDefault="00EC7D6C" w:rsidP="00EC7D6C">
      <w:pPr>
        <w:pBdr>
          <w:bottom w:val="single" w:sz="12" w:space="0" w:color="FFFFFF"/>
        </w:pBdr>
        <w:shd w:val="clear" w:color="auto" w:fill="FFFFFF"/>
        <w:spacing w:before="319" w:after="150" w:line="240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33"/>
          <w:szCs w:val="33"/>
          <w:lang w:eastAsia="es-ES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es-ES"/>
        </w:rPr>
        <w:t>July</w:t>
      </w:r>
      <w:proofErr w:type="spellEnd"/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es-ES"/>
        </w:rPr>
        <w:t xml:space="preserve"> 26, 2021</w:t>
      </w:r>
    </w:p>
    <w:p w:rsidR="00EC7D6C" w:rsidRPr="00EC7D6C" w:rsidRDefault="00EC7D6C" w:rsidP="00EC7D6C">
      <w:pPr>
        <w:pBdr>
          <w:bottom w:val="single" w:sz="12" w:space="0" w:color="FFFFFF"/>
        </w:pBdr>
        <w:shd w:val="clear" w:color="auto" w:fill="FFFFFF"/>
        <w:spacing w:before="319" w:after="150" w:line="240" w:lineRule="auto"/>
        <w:jc w:val="both"/>
        <w:outlineLvl w:val="3"/>
        <w:rPr>
          <w:rFonts w:ascii="Arial" w:eastAsia="Times New Roman" w:hAnsi="Arial" w:cs="Arial"/>
          <w:b/>
          <w:bCs/>
          <w:color w:val="333333"/>
          <w:sz w:val="33"/>
          <w:szCs w:val="33"/>
          <w:lang w:eastAsia="es-ES"/>
        </w:rPr>
      </w:pPr>
      <w:proofErr w:type="spellStart"/>
      <w:r w:rsidRPr="00EC7D6C">
        <w:rPr>
          <w:rFonts w:ascii="Arial" w:eastAsia="Times New Roman" w:hAnsi="Arial" w:cs="Arial"/>
          <w:b/>
          <w:bCs/>
          <w:color w:val="333333"/>
          <w:sz w:val="33"/>
          <w:szCs w:val="33"/>
          <w:lang w:eastAsia="es-ES"/>
        </w:rPr>
        <w:t>About</w:t>
      </w:r>
      <w:proofErr w:type="spellEnd"/>
      <w:r w:rsidRPr="00EC7D6C">
        <w:rPr>
          <w:rFonts w:ascii="Arial" w:eastAsia="Times New Roman" w:hAnsi="Arial" w:cs="Arial"/>
          <w:b/>
          <w:bCs/>
          <w:color w:val="333333"/>
          <w:sz w:val="33"/>
          <w:szCs w:val="33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b/>
          <w:bCs/>
          <w:color w:val="333333"/>
          <w:sz w:val="33"/>
          <w:szCs w:val="33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b/>
          <w:bCs/>
          <w:color w:val="333333"/>
          <w:sz w:val="33"/>
          <w:szCs w:val="33"/>
          <w:lang w:eastAsia="es-ES"/>
        </w:rPr>
        <w:t xml:space="preserve"> Blog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IMFBlog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forum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views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International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Monetary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Fund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(IMF)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staff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officials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pressing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economic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policy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issues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day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views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expressed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are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those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author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(s) and do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necessarily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represent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views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IMF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Executive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Board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aps/>
          <w:color w:val="000000"/>
          <w:sz w:val="21"/>
          <w:szCs w:val="21"/>
          <w:lang w:eastAsia="es-ES"/>
        </w:rPr>
      </w:pPr>
      <w:r w:rsidRPr="00EC7D6C">
        <w:rPr>
          <w:rFonts w:ascii="Arial" w:eastAsia="Times New Roman" w:hAnsi="Arial" w:cs="Arial"/>
          <w:caps/>
          <w:color w:val="000000"/>
          <w:sz w:val="21"/>
          <w:szCs w:val="21"/>
          <w:lang w:eastAsia="es-ES"/>
        </w:rPr>
        <w:t>JULY 26, 2021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begin"/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instrText xml:space="preserve"> HYPERLINK "https://blogs.imf.org/bloggers/tobias-adrian/" </w:instrText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separate"/>
      </w:r>
      <w:r w:rsidRPr="00EC7D6C">
        <w:rPr>
          <w:rFonts w:ascii="Arial" w:eastAsia="Times New Roman" w:hAnsi="Arial" w:cs="Arial"/>
          <w:color w:val="3979A6"/>
          <w:sz w:val="24"/>
          <w:szCs w:val="24"/>
          <w:lang w:eastAsia="es-ES"/>
        </w:rPr>
        <w:t>Tobias</w:t>
      </w:r>
      <w:proofErr w:type="spellEnd"/>
      <w:r w:rsidRPr="00EC7D6C">
        <w:rPr>
          <w:rFonts w:ascii="Arial" w:eastAsia="Times New Roman" w:hAnsi="Arial" w:cs="Arial"/>
          <w:color w:val="3979A6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3979A6"/>
          <w:sz w:val="24"/>
          <w:szCs w:val="24"/>
          <w:lang w:eastAsia="es-ES"/>
        </w:rPr>
        <w:t>Adrian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end"/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and 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begin"/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instrText xml:space="preserve"> HYPERLINK "https://blogs.imf.org/bloggers/26101-2/" </w:instrText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separate"/>
      </w:r>
      <w:r w:rsidRPr="00EC7D6C">
        <w:rPr>
          <w:rFonts w:ascii="Arial" w:eastAsia="Times New Roman" w:hAnsi="Arial" w:cs="Arial"/>
          <w:color w:val="3979A6"/>
          <w:sz w:val="24"/>
          <w:szCs w:val="24"/>
          <w:lang w:eastAsia="es-ES"/>
        </w:rPr>
        <w:t>Rhoda</w:t>
      </w:r>
      <w:proofErr w:type="spellEnd"/>
      <w:r w:rsidRPr="00EC7D6C">
        <w:rPr>
          <w:rFonts w:ascii="Arial" w:eastAsia="Times New Roman" w:hAnsi="Arial" w:cs="Arial"/>
          <w:color w:val="3979A6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3979A6"/>
          <w:sz w:val="24"/>
          <w:szCs w:val="24"/>
          <w:lang w:eastAsia="es-ES"/>
        </w:rPr>
        <w:t>Weeks</w:t>
      </w:r>
      <w:proofErr w:type="spellEnd"/>
      <w:r w:rsidRPr="00EC7D6C">
        <w:rPr>
          <w:rFonts w:ascii="Arial" w:eastAsia="Times New Roman" w:hAnsi="Arial" w:cs="Arial"/>
          <w:color w:val="3979A6"/>
          <w:sz w:val="24"/>
          <w:szCs w:val="24"/>
          <w:lang w:eastAsia="es-ES"/>
        </w:rPr>
        <w:t>-Brown</w:t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end"/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hyperlink r:id="rId8" w:history="1">
        <w:r w:rsidRPr="00EC7D6C">
          <w:rPr>
            <w:rFonts w:ascii="Arial" w:eastAsia="Times New Roman" w:hAnsi="Arial" w:cs="Arial" w:hint="cs"/>
            <w:color w:val="3979A6"/>
            <w:sz w:val="24"/>
            <w:szCs w:val="24"/>
            <w:rtl/>
            <w:lang w:eastAsia="es-ES"/>
          </w:rPr>
          <w:t>عربي</w:t>
        </w:r>
      </w:hyperlink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 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begin"/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instrText xml:space="preserve"> HYPERLINK "https://www.imf.org/zh/News/Articles/2021/07/26/blog-cryptoassets-as-national-currency-a-step-too-far" </w:instrText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separate"/>
      </w:r>
      <w:r w:rsidRPr="00EC7D6C">
        <w:rPr>
          <w:rFonts w:ascii="MS Gothic" w:eastAsia="MS Gothic" w:hAnsi="MS Gothic" w:cs="MS Gothic" w:hint="eastAsia"/>
          <w:color w:val="3979A6"/>
          <w:sz w:val="24"/>
          <w:szCs w:val="24"/>
          <w:lang w:eastAsia="es-ES"/>
        </w:rPr>
        <w:t>中文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end"/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 </w:t>
      </w:r>
      <w:hyperlink r:id="rId9" w:history="1">
        <w:r w:rsidRPr="00EC7D6C">
          <w:rPr>
            <w:rFonts w:ascii="Arial" w:eastAsia="Times New Roman" w:hAnsi="Arial" w:cs="Arial"/>
            <w:color w:val="3979A6"/>
            <w:sz w:val="24"/>
            <w:szCs w:val="24"/>
            <w:lang w:eastAsia="es-ES"/>
          </w:rPr>
          <w:t>Español</w:t>
        </w:r>
      </w:hyperlink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 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begin"/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instrText xml:space="preserve"> HYPERLINK "https://www.imf.org/fr/News/Articles/2021/07/26/blog-cryptoassets-as-national-currency-a-step-too-far" </w:instrText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separate"/>
      </w:r>
      <w:r w:rsidRPr="00EC7D6C">
        <w:rPr>
          <w:rFonts w:ascii="Arial" w:eastAsia="Times New Roman" w:hAnsi="Arial" w:cs="Arial"/>
          <w:color w:val="3979A6"/>
          <w:sz w:val="24"/>
          <w:szCs w:val="24"/>
          <w:lang w:eastAsia="es-ES"/>
        </w:rPr>
        <w:t>Français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end"/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 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begin"/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instrText xml:space="preserve"> HYPERLINK "https://www.imf.org/ja/News/Articles/2021/07/26/blog-cryptoassets-as-national-currency-a-step-too-far" </w:instrText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separate"/>
      </w:r>
      <w:r w:rsidRPr="00EC7D6C">
        <w:rPr>
          <w:rFonts w:ascii="MS Gothic" w:eastAsia="MS Gothic" w:hAnsi="MS Gothic" w:cs="MS Gothic" w:hint="eastAsia"/>
          <w:color w:val="3979A6"/>
          <w:sz w:val="24"/>
          <w:szCs w:val="24"/>
          <w:lang w:eastAsia="es-ES"/>
        </w:rPr>
        <w:t>日本語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end"/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 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begin"/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instrText xml:space="preserve"> HYPERLINK "https://www.imf.org/pt/News/Articles/2021/07/26/blog-cryptoassets-as-national-currency-a-step-too-far" </w:instrText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separate"/>
      </w:r>
      <w:r w:rsidRPr="00EC7D6C">
        <w:rPr>
          <w:rFonts w:ascii="Arial" w:eastAsia="Times New Roman" w:hAnsi="Arial" w:cs="Arial"/>
          <w:color w:val="3979A6"/>
          <w:sz w:val="24"/>
          <w:szCs w:val="24"/>
          <w:lang w:eastAsia="es-ES"/>
        </w:rPr>
        <w:t>Português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end"/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 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begin"/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instrText xml:space="preserve"> HYPERLINK "https://www.imf.org/ru/News/Articles/2021/07/26/blog-cryptoassets-as-national-currency-a-step-too-far" </w:instrText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separate"/>
      </w:r>
      <w:r w:rsidRPr="00EC7D6C">
        <w:rPr>
          <w:rFonts w:ascii="Arial" w:eastAsia="Times New Roman" w:hAnsi="Arial" w:cs="Arial"/>
          <w:color w:val="3979A6"/>
          <w:sz w:val="24"/>
          <w:szCs w:val="24"/>
          <w:lang w:eastAsia="es-ES"/>
        </w:rPr>
        <w:t>Русский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fldChar w:fldCharType="end"/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New digital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forms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have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potential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provide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cheaper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faster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payments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enhance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inclusion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improve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resilience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competition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among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payment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providers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facilitate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cross-border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transfers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But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doing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so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straightforward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requires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significant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investment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as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well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as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difficult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policy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choices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such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as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clarifying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role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public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private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sectors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providing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regulating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digital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forms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Some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countries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tempted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shortcut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: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adopting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as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national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currencies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Many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are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indeed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secure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easy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access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cheap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transact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believe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however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most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cases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risks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costs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outweigh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potential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benefits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are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privately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issued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tokens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based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cryptographic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techniques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denominated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their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own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unit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account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Their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value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can be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extremely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volatile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Bitcoin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instance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reached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peak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$65,000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April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crashed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less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half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value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two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months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later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yet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Bitcoin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lives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some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opportunity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transact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anonymously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—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good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others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means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diversify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portfolios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speculative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asset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bring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riches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but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also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significant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losses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are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thus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fundamentally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different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from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other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kinds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digital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Central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banks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instance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are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considering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issuing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digital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currencies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—digital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issued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form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liability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central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bank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Private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companies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are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also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pushing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frontier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with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can be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sent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over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mobile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phones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popular in East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Africa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China,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with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stablecoins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whose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value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depends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safety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liquidity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backing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assets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lastRenderedPageBreak/>
        <w:t>Cryptoassets</w:t>
      </w:r>
      <w:proofErr w:type="spellEnd"/>
      <w:r w:rsidRPr="00EC7D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as legal tender</w:t>
      </w:r>
      <w:proofErr w:type="gramStart"/>
      <w:r w:rsidRPr="00EC7D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?</w:t>
      </w:r>
      <w:proofErr w:type="gramEnd"/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Bitcoin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peers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have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mostly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remained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fringes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payments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yet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some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countries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are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actively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considering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granting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legal tender status,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even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making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these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second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potentially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)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national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currency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If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were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granted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legal tender status,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have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accepted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creditors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payment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monetary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obligations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including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taxes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similar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notes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coins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currency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)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issued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bookmarkStart w:id="0" w:name="_GoBack"/>
      <w:bookmarkEnd w:id="0"/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central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bank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br/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Countries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even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further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passing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laws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encourage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use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as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national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currency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as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official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monetary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unit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which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monetary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obligations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can be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expressed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), and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mandatory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means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payment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everyday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purchases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are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unlikely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catch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countries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with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stable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inflation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exchange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rates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credible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institutions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Households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businesses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have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very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little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incentive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price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save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parallel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such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as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Bitcoin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even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if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were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given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legal tender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currency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status.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Their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value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just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volatile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unrelated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real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economy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Even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relatively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less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stable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economies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use of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globally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recognized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reserve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currency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such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as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dollar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euro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likely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more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alluring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adopting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might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catch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as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vehicle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unbanked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people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make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payments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but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store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value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immediately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exchanged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real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currency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upon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receipt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again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real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currency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always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readily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available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easily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transferable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Moreover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some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countries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laws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forbid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restrict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payments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other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forms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These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tip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balance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towards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widespread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use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Proceed</w:t>
      </w:r>
      <w:proofErr w:type="spellEnd"/>
      <w:r w:rsidRPr="00EC7D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with</w:t>
      </w:r>
      <w:proofErr w:type="spellEnd"/>
      <w:r w:rsidRPr="00EC7D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caution</w:t>
      </w:r>
      <w:proofErr w:type="spellEnd"/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most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direct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cost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widespread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adoption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such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as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Bitcoin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macroeconomic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stability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If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goods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services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were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priced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both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real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currency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households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businesses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spend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significant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time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resources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choosing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which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as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opposed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engaging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productive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activities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Similarly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government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revenues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exposed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exchange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rate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risk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if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taxes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were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quoted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advance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while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expenditures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remained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mostly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local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currency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vice versa.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Also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monetary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policy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lose bite. Central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banks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cannot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set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interest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rates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foreign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currency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Usually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when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country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adopts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foreign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currency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as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own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“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imports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”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credibility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foreign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monetary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policy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hope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bring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economy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–and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interest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rates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–in line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with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foreign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business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cycle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Neither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these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possible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case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widespread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adoption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As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result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domestic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prices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become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highly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unstable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Even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if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prices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were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quoted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say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Bitcoin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prices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imported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goods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services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still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fluctuate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massively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following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whims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market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valuations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>Financial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integrity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also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suffer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Without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robust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anti-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laundering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combating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terrorism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measures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can be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used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launder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ill-gotten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fund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terrorism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and evade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taxes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This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pose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risks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country’s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system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fiscal balance,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relationships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with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foreign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countries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correspondent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banks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Action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Task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Force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has set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standard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how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virtual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assets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related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service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providers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should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regulated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limit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integrity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risks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But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enforcement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standard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yet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consistent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across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countries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which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can be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problematic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given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potential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cross-border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activities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Further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legal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issues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arise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Legal tender status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requires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means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payment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widely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accessible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However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internet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access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technology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needed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transfer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remains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scarce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many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countries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raising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issues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about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fairness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inclusion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Moreover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official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monetary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unit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must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sufficiently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stable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value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facilitate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use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medium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-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long-term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monetary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obligations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changes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country’s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legal tender status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monetary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unit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typically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require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complex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widespread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changes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monetary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law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avoid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creating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disjointed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legal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system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addition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banks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other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institutions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exposed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massive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fluctuations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prices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clear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whether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prudential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regulation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against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exposures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foreign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currency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risky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assets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banks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upheld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if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Bitcoin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instance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were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given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legal tender status.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Moreover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widespread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use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undermine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consumer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protection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Households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businesses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lose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wealth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through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large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swings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value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fraud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cyber-attacks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While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technology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underlying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has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proven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extremely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robust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technical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glitches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occur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In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case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Bitcoin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recourse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difficult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as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there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no legal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issuer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Finally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mined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such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as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Bitcoin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require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enormous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amount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electricity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power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computer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networks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that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verify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transactions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ecological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implications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adopting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these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as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national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currency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dire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EC7D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Striking</w:t>
      </w:r>
      <w:proofErr w:type="spellEnd"/>
      <w:r w:rsidRPr="00EC7D6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 xml:space="preserve"> a balance</w:t>
      </w:r>
    </w:p>
    <w:p w:rsidR="00EC7D6C" w:rsidRPr="00EC7D6C" w:rsidRDefault="00EC7D6C" w:rsidP="00EC7D6C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As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national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currency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—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including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Bitcoin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—come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with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substantial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risks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macro-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stability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integrity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consumer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protection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environment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advantages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their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underlying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technologies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including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potential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cheaper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and more inclusive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financial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services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should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be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overlooked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Governments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however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need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step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up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provide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these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services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leverage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new digital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forms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of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money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while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preserving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stability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efficiency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equality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and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environmental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sustainability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.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Attempting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make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cryptoassets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national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currency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is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an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inadvisable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shortcut</w:t>
      </w:r>
      <w:proofErr w:type="spellEnd"/>
      <w:r w:rsidRPr="00EC7D6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262CCE" w:rsidRDefault="00262CCE" w:rsidP="00EC7D6C">
      <w:pPr>
        <w:jc w:val="both"/>
      </w:pPr>
    </w:p>
    <w:sectPr w:rsidR="00262CCE" w:rsidSect="00EC7D6C">
      <w:footerReference w:type="default" r:id="rId10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2F" w:rsidRDefault="00E64B2F" w:rsidP="00EC7D6C">
      <w:pPr>
        <w:spacing w:after="0" w:line="240" w:lineRule="auto"/>
      </w:pPr>
      <w:r>
        <w:separator/>
      </w:r>
    </w:p>
  </w:endnote>
  <w:endnote w:type="continuationSeparator" w:id="0">
    <w:p w:rsidR="00E64B2F" w:rsidRDefault="00E64B2F" w:rsidP="00EC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4518941"/>
      <w:docPartObj>
        <w:docPartGallery w:val="Page Numbers (Bottom of Page)"/>
        <w:docPartUnique/>
      </w:docPartObj>
    </w:sdtPr>
    <w:sdtContent>
      <w:p w:rsidR="00EC7D6C" w:rsidRDefault="00EC7D6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7D6C" w:rsidRDefault="00EC7D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2F" w:rsidRDefault="00E64B2F" w:rsidP="00EC7D6C">
      <w:pPr>
        <w:spacing w:after="0" w:line="240" w:lineRule="auto"/>
      </w:pPr>
      <w:r>
        <w:separator/>
      </w:r>
    </w:p>
  </w:footnote>
  <w:footnote w:type="continuationSeparator" w:id="0">
    <w:p w:rsidR="00E64B2F" w:rsidRDefault="00E64B2F" w:rsidP="00EC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45096"/>
    <w:multiLevelType w:val="multilevel"/>
    <w:tmpl w:val="8BA0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6C"/>
    <w:rsid w:val="00262CCE"/>
    <w:rsid w:val="00E64B2F"/>
    <w:rsid w:val="00EC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D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C7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D6C"/>
  </w:style>
  <w:style w:type="paragraph" w:styleId="Piedepgina">
    <w:name w:val="footer"/>
    <w:basedOn w:val="Normal"/>
    <w:link w:val="PiedepginaCar"/>
    <w:uiPriority w:val="99"/>
    <w:unhideWhenUsed/>
    <w:rsid w:val="00EC7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7D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C7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7D6C"/>
  </w:style>
  <w:style w:type="paragraph" w:styleId="Piedepgina">
    <w:name w:val="footer"/>
    <w:basedOn w:val="Normal"/>
    <w:link w:val="PiedepginaCar"/>
    <w:uiPriority w:val="99"/>
    <w:unhideWhenUsed/>
    <w:rsid w:val="00EC7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7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4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477">
              <w:marLeft w:val="0"/>
              <w:marRight w:val="0"/>
              <w:marTop w:val="300"/>
              <w:marBottom w:val="300"/>
              <w:divBdr>
                <w:top w:val="single" w:sz="6" w:space="8" w:color="E0DEDE"/>
                <w:left w:val="none" w:sz="0" w:space="0" w:color="E0DEDE"/>
                <w:bottom w:val="single" w:sz="6" w:space="8" w:color="E0DEDE"/>
                <w:right w:val="none" w:sz="0" w:space="0" w:color="E0DEDE"/>
              </w:divBdr>
              <w:divsChild>
                <w:div w:id="20718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f.org/ar/News/Articles/2021/07/26/blog-cryptoassets-as-national-currency-a-step-too-f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log-dialogoafondo.imf.org/?p=1605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1318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</dc:creator>
  <cp:lastModifiedBy>Jaime</cp:lastModifiedBy>
  <cp:revision>1</cp:revision>
  <dcterms:created xsi:type="dcterms:W3CDTF">2022-02-18T22:14:00Z</dcterms:created>
  <dcterms:modified xsi:type="dcterms:W3CDTF">2022-02-18T22:21:00Z</dcterms:modified>
</cp:coreProperties>
</file>