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73A3E" w14:textId="77777777" w:rsidR="00A66A81" w:rsidRDefault="00000000">
      <w:pPr>
        <w:pStyle w:val="Textoindependiente"/>
        <w:ind w:left="561"/>
        <w:jc w:val="left"/>
        <w:rPr>
          <w:rFonts w:ascii="Times New Roman"/>
          <w:sz w:val="20"/>
        </w:rPr>
      </w:pPr>
      <w:r>
        <w:rPr>
          <w:rFonts w:ascii="Times New Roman"/>
          <w:noProof/>
          <w:sz w:val="20"/>
        </w:rPr>
        <w:drawing>
          <wp:inline distT="0" distB="0" distL="0" distR="0" wp14:anchorId="7DC255A0" wp14:editId="235BD4E3">
            <wp:extent cx="2162174" cy="96012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162174" cy="960120"/>
                    </a:xfrm>
                    <a:prstGeom prst="rect">
                      <a:avLst/>
                    </a:prstGeom>
                  </pic:spPr>
                </pic:pic>
              </a:graphicData>
            </a:graphic>
          </wp:inline>
        </w:drawing>
      </w:r>
    </w:p>
    <w:p w14:paraId="28123C22" w14:textId="77777777" w:rsidR="00A66A81" w:rsidRDefault="00000000">
      <w:pPr>
        <w:pStyle w:val="Textoindependiente"/>
        <w:spacing w:before="39"/>
        <w:ind w:left="0"/>
        <w:jc w:val="left"/>
        <w:rPr>
          <w:rFonts w:ascii="Times New Roman"/>
          <w:sz w:val="20"/>
        </w:rPr>
      </w:pPr>
      <w:r>
        <w:rPr>
          <w:noProof/>
        </w:rPr>
        <mc:AlternateContent>
          <mc:Choice Requires="wps">
            <w:drawing>
              <wp:anchor distT="0" distB="0" distL="0" distR="0" simplePos="0" relativeHeight="487587840" behindDoc="1" locked="0" layoutInCell="1" allowOverlap="1" wp14:anchorId="1502C263" wp14:editId="25E8131A">
                <wp:simplePos x="0" y="0"/>
                <wp:positionH relativeFrom="page">
                  <wp:posOffset>1090294</wp:posOffset>
                </wp:positionH>
                <wp:positionV relativeFrom="paragraph">
                  <wp:posOffset>191135</wp:posOffset>
                </wp:positionV>
                <wp:extent cx="5591175" cy="39052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1175" cy="390525"/>
                        </a:xfrm>
                        <a:prstGeom prst="rect">
                          <a:avLst/>
                        </a:prstGeom>
                        <a:ln w="9525">
                          <a:solidFill>
                            <a:srgbClr val="000000"/>
                          </a:solidFill>
                          <a:prstDash val="solid"/>
                        </a:ln>
                      </wps:spPr>
                      <wps:txbx>
                        <w:txbxContent>
                          <w:p w14:paraId="767403B9" w14:textId="5AD1A3BA" w:rsidR="00A66A81" w:rsidRDefault="002D624B">
                            <w:pPr>
                              <w:spacing w:before="72"/>
                              <w:ind w:left="1"/>
                              <w:jc w:val="center"/>
                              <w:rPr>
                                <w:sz w:val="32"/>
                              </w:rPr>
                            </w:pPr>
                            <w:r>
                              <w:rPr>
                                <w:sz w:val="32"/>
                                <w:u w:val="single"/>
                              </w:rPr>
                              <w:t>Uso de Anticoagulantes</w:t>
                            </w:r>
                            <w:r>
                              <w:rPr>
                                <w:spacing w:val="-5"/>
                                <w:sz w:val="32"/>
                                <w:u w:val="single"/>
                              </w:rPr>
                              <w:t xml:space="preserve"> </w:t>
                            </w:r>
                            <w:r>
                              <w:rPr>
                                <w:sz w:val="32"/>
                                <w:u w:val="single"/>
                              </w:rPr>
                              <w:t>en</w:t>
                            </w:r>
                            <w:r>
                              <w:rPr>
                                <w:spacing w:val="-3"/>
                                <w:sz w:val="32"/>
                                <w:u w:val="single"/>
                              </w:rPr>
                              <w:t xml:space="preserve"> </w:t>
                            </w:r>
                            <w:r>
                              <w:rPr>
                                <w:spacing w:val="-2"/>
                                <w:sz w:val="32"/>
                                <w:u w:val="single"/>
                              </w:rPr>
                              <w:t>Ginecología</w:t>
                            </w:r>
                          </w:p>
                        </w:txbxContent>
                      </wps:txbx>
                      <wps:bodyPr wrap="square" lIns="0" tIns="0" rIns="0" bIns="0" rtlCol="0">
                        <a:noAutofit/>
                      </wps:bodyPr>
                    </wps:wsp>
                  </a:graphicData>
                </a:graphic>
              </wp:anchor>
            </w:drawing>
          </mc:Choice>
          <mc:Fallback>
            <w:pict>
              <v:shapetype w14:anchorId="1502C263" id="_x0000_t202" coordsize="21600,21600" o:spt="202" path="m,l,21600r21600,l21600,xe">
                <v:stroke joinstyle="miter"/>
                <v:path gradientshapeok="t" o:connecttype="rect"/>
              </v:shapetype>
              <v:shape id="Textbox 3" o:spid="_x0000_s1026" type="#_x0000_t202" style="position:absolute;margin-left:85.85pt;margin-top:15.05pt;width:440.25pt;height:30.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" filled="f">
                <v:path arrowok="t"/>
                <v:textbox inset="0,0,0,0">
                  <w:txbxContent>
                    <w:p w14:paraId="767403B9" w14:textId="5AD1A3BA" w:rsidR="00A66A81" w:rsidRDefault="002D624B">
                      <w:pPr>
                        <w:spacing w:before="72"/>
                        <w:ind w:left="1"/>
                        <w:jc w:val="center"/>
                        <w:rPr>
                          <w:sz w:val="32"/>
                        </w:rPr>
                      </w:pPr>
                      <w:r>
                        <w:rPr>
                          <w:sz w:val="32"/>
                          <w:u w:val="single"/>
                        </w:rPr>
                        <w:t>Uso de Anticoagulantes</w:t>
                      </w:r>
                      <w:r>
                        <w:rPr>
                          <w:spacing w:val="-5"/>
                          <w:sz w:val="32"/>
                          <w:u w:val="single"/>
                        </w:rPr>
                        <w:t xml:space="preserve"> </w:t>
                      </w:r>
                      <w:r>
                        <w:rPr>
                          <w:sz w:val="32"/>
                          <w:u w:val="single"/>
                        </w:rPr>
                        <w:t>en</w:t>
                      </w:r>
                      <w:r>
                        <w:rPr>
                          <w:spacing w:val="-3"/>
                          <w:sz w:val="32"/>
                          <w:u w:val="single"/>
                        </w:rPr>
                        <w:t xml:space="preserve"> </w:t>
                      </w:r>
                      <w:r>
                        <w:rPr>
                          <w:spacing w:val="-2"/>
                          <w:sz w:val="32"/>
                          <w:u w:val="single"/>
                        </w:rPr>
                        <w:t>Ginecología</w:t>
                      </w:r>
                    </w:p>
                  </w:txbxContent>
                </v:textbox>
                <w10:wrap type="topAndBottom" anchorx="page"/>
              </v:shape>
            </w:pict>
          </mc:Fallback>
        </mc:AlternateContent>
      </w:r>
    </w:p>
    <w:p w14:paraId="5E99B57F" w14:textId="77777777" w:rsidR="00A66A81" w:rsidRDefault="00A66A81">
      <w:pPr>
        <w:pStyle w:val="Textoindependiente"/>
        <w:spacing w:before="207"/>
        <w:ind w:left="0"/>
        <w:jc w:val="left"/>
        <w:rPr>
          <w:rFonts w:ascii="Times New Roman"/>
          <w:sz w:val="20"/>
        </w:rPr>
      </w:pPr>
    </w:p>
    <w:p w14:paraId="49D4BE79" w14:textId="77777777" w:rsidR="00A66A81" w:rsidRDefault="00A66A81">
      <w:pPr>
        <w:rPr>
          <w:rFonts w:ascii="Times New Roman"/>
          <w:sz w:val="20"/>
        </w:rPr>
        <w:sectPr w:rsidR="00A66A8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20" w:right="1080" w:bottom="1680" w:left="1140" w:header="0" w:footer="1490" w:gutter="0"/>
          <w:pgNumType w:start="1"/>
          <w:cols w:space="720"/>
        </w:sectPr>
      </w:pPr>
    </w:p>
    <w:p w14:paraId="019C1309" w14:textId="77777777" w:rsidR="00A66A81" w:rsidRDefault="00000000">
      <w:pPr>
        <w:pStyle w:val="Textoindependiente"/>
        <w:spacing w:before="93" w:line="259" w:lineRule="auto"/>
        <w:ind w:right="38"/>
      </w:pPr>
      <w:r>
        <w:t>El tratamiento anticoagulante es una indicación frecuente en la clínica, ya que se utiliza tanto en atención primaria, como en hospitalizados y perioperatorio. Y cada vez son más utilizados en los servicios de ginecología ya que estamos teniendo cada vez más usuarias de mayor edad y con mayor morbilidad, Por lo tanto, se hace necesario conocer el manejo de los anticoagulantes para disminuir los efectos secundarios de los mismos, que si bien, la técnica de administración de estos no es compleja, necesita un conocimiento adecuado para manejar los efectos adversos que pudiesen ocasionar una mala administración y al mismo tiempo</w:t>
      </w:r>
      <w:r>
        <w:rPr>
          <w:spacing w:val="40"/>
        </w:rPr>
        <w:t xml:space="preserve"> </w:t>
      </w:r>
      <w:r>
        <w:t>conocer estos efectos.</w:t>
      </w:r>
    </w:p>
    <w:p w14:paraId="5B92E309" w14:textId="77777777" w:rsidR="00A66A81" w:rsidRDefault="00000000">
      <w:pPr>
        <w:pStyle w:val="Textoindependiente"/>
        <w:spacing w:before="156" w:line="259" w:lineRule="auto"/>
        <w:ind w:right="41"/>
      </w:pPr>
      <w:r>
        <w:t>Las pacientes que se benefician del empleo de agentes anticoagulantes son por lo general portadoras de patologías que predisponen a la formación de trombos o embolias, entre ellos:</w:t>
      </w:r>
    </w:p>
    <w:p w14:paraId="2D1CB4E7" w14:textId="77777777" w:rsidR="00A66A81" w:rsidRDefault="00000000">
      <w:pPr>
        <w:pStyle w:val="Prrafodelista"/>
        <w:numPr>
          <w:ilvl w:val="0"/>
          <w:numId w:val="4"/>
        </w:numPr>
        <w:tabs>
          <w:tab w:val="left" w:pos="1281"/>
          <w:tab w:val="left" w:pos="2519"/>
          <w:tab w:val="left" w:pos="3438"/>
          <w:tab w:val="left" w:pos="4512"/>
        </w:tabs>
        <w:spacing w:before="160" w:line="259" w:lineRule="auto"/>
        <w:ind w:right="43"/>
      </w:pPr>
      <w:r>
        <w:rPr>
          <w:spacing w:val="-2"/>
        </w:rPr>
        <w:t>Trombosis</w:t>
      </w:r>
      <w:r>
        <w:tab/>
      </w:r>
      <w:r>
        <w:rPr>
          <w:spacing w:val="-2"/>
        </w:rPr>
        <w:t>venosa</w:t>
      </w:r>
      <w:r>
        <w:tab/>
      </w:r>
      <w:r>
        <w:rPr>
          <w:spacing w:val="-2"/>
        </w:rPr>
        <w:t>profunda</w:t>
      </w:r>
      <w:r>
        <w:tab/>
      </w:r>
      <w:r>
        <w:rPr>
          <w:spacing w:val="-10"/>
        </w:rPr>
        <w:t xml:space="preserve">y </w:t>
      </w:r>
      <w:r>
        <w:t>trombo embolismo pulmonar.</w:t>
      </w:r>
    </w:p>
    <w:p w14:paraId="4154BEAF" w14:textId="77777777" w:rsidR="00A66A81" w:rsidRDefault="00000000">
      <w:pPr>
        <w:pStyle w:val="Prrafodelista"/>
        <w:numPr>
          <w:ilvl w:val="0"/>
          <w:numId w:val="4"/>
        </w:numPr>
        <w:tabs>
          <w:tab w:val="left" w:pos="1280"/>
        </w:tabs>
        <w:spacing w:line="265" w:lineRule="exact"/>
        <w:ind w:left="1280" w:hanging="360"/>
      </w:pPr>
      <w:r>
        <w:t>Valvulopatía</w:t>
      </w:r>
      <w:r>
        <w:rPr>
          <w:spacing w:val="-3"/>
        </w:rPr>
        <w:t xml:space="preserve"> </w:t>
      </w:r>
      <w:r>
        <w:rPr>
          <w:spacing w:val="-2"/>
        </w:rPr>
        <w:t>mitral.</w:t>
      </w:r>
    </w:p>
    <w:p w14:paraId="6B242553" w14:textId="77777777" w:rsidR="00A66A81" w:rsidRDefault="00000000">
      <w:pPr>
        <w:pStyle w:val="Prrafodelista"/>
        <w:numPr>
          <w:ilvl w:val="0"/>
          <w:numId w:val="4"/>
        </w:numPr>
        <w:tabs>
          <w:tab w:val="left" w:pos="1281"/>
        </w:tabs>
        <w:spacing w:before="18" w:line="259" w:lineRule="auto"/>
        <w:ind w:right="42"/>
      </w:pPr>
      <w:r>
        <w:t>Fibrilación</w:t>
      </w:r>
      <w:r>
        <w:rPr>
          <w:spacing w:val="28"/>
        </w:rPr>
        <w:t xml:space="preserve"> </w:t>
      </w:r>
      <w:r>
        <w:t>auricular</w:t>
      </w:r>
      <w:r>
        <w:rPr>
          <w:spacing w:val="29"/>
        </w:rPr>
        <w:t xml:space="preserve"> </w:t>
      </w:r>
      <w:r>
        <w:t>sin</w:t>
      </w:r>
      <w:r>
        <w:rPr>
          <w:spacing w:val="31"/>
        </w:rPr>
        <w:t xml:space="preserve"> </w:t>
      </w:r>
      <w:r>
        <w:t>patología valvular (crónica o paroxística).</w:t>
      </w:r>
    </w:p>
    <w:p w14:paraId="64B8D49D" w14:textId="77777777" w:rsidR="00A66A81" w:rsidRDefault="00000000">
      <w:pPr>
        <w:pStyle w:val="Prrafodelista"/>
        <w:numPr>
          <w:ilvl w:val="0"/>
          <w:numId w:val="4"/>
        </w:numPr>
        <w:tabs>
          <w:tab w:val="left" w:pos="1281"/>
          <w:tab w:val="left" w:pos="2980"/>
          <w:tab w:val="left" w:pos="4515"/>
        </w:tabs>
        <w:spacing w:line="259" w:lineRule="auto"/>
        <w:ind w:right="41"/>
      </w:pPr>
      <w:r>
        <w:rPr>
          <w:spacing w:val="-2"/>
        </w:rPr>
        <w:t>Fibrilación</w:t>
      </w:r>
      <w:r>
        <w:tab/>
      </w:r>
      <w:r>
        <w:rPr>
          <w:spacing w:val="-2"/>
        </w:rPr>
        <w:t>auricular</w:t>
      </w:r>
      <w:r>
        <w:tab/>
      </w:r>
      <w:r>
        <w:rPr>
          <w:spacing w:val="-10"/>
        </w:rPr>
        <w:t xml:space="preserve">y </w:t>
      </w:r>
      <w:r>
        <w:t>cardioversión eléctrica.</w:t>
      </w:r>
    </w:p>
    <w:p w14:paraId="21C187CB" w14:textId="77777777" w:rsidR="00A66A81" w:rsidRDefault="00000000">
      <w:pPr>
        <w:pStyle w:val="Prrafodelista"/>
        <w:numPr>
          <w:ilvl w:val="0"/>
          <w:numId w:val="4"/>
        </w:numPr>
        <w:tabs>
          <w:tab w:val="left" w:pos="1280"/>
        </w:tabs>
        <w:spacing w:line="265" w:lineRule="exact"/>
        <w:ind w:left="1280" w:hanging="360"/>
      </w:pPr>
      <w:r>
        <w:t>Prótesis</w:t>
      </w:r>
      <w:r>
        <w:rPr>
          <w:spacing w:val="-5"/>
        </w:rPr>
        <w:t xml:space="preserve"> </w:t>
      </w:r>
      <w:r>
        <w:t>valvulares</w:t>
      </w:r>
      <w:r>
        <w:rPr>
          <w:spacing w:val="-5"/>
        </w:rPr>
        <w:t xml:space="preserve"> </w:t>
      </w:r>
      <w:r>
        <w:rPr>
          <w:spacing w:val="-2"/>
        </w:rPr>
        <w:t>cardiacas.</w:t>
      </w:r>
    </w:p>
    <w:p w14:paraId="18833AC9" w14:textId="77777777" w:rsidR="00A66A81" w:rsidRDefault="00000000">
      <w:pPr>
        <w:pStyle w:val="Prrafodelista"/>
        <w:numPr>
          <w:ilvl w:val="0"/>
          <w:numId w:val="4"/>
        </w:numPr>
        <w:tabs>
          <w:tab w:val="left" w:pos="1280"/>
        </w:tabs>
        <w:spacing w:before="15"/>
        <w:ind w:left="1280" w:hanging="360"/>
      </w:pPr>
      <w:r>
        <w:t>Infarto</w:t>
      </w:r>
      <w:r>
        <w:rPr>
          <w:spacing w:val="-3"/>
        </w:rPr>
        <w:t xml:space="preserve"> </w:t>
      </w:r>
      <w:r>
        <w:t>agudo</w:t>
      </w:r>
      <w:r>
        <w:rPr>
          <w:spacing w:val="-2"/>
        </w:rPr>
        <w:t xml:space="preserve"> </w:t>
      </w:r>
      <w:r>
        <w:t>al</w:t>
      </w:r>
      <w:r>
        <w:rPr>
          <w:spacing w:val="-3"/>
        </w:rPr>
        <w:t xml:space="preserve"> </w:t>
      </w:r>
      <w:r>
        <w:t>miocardio</w:t>
      </w:r>
      <w:r>
        <w:rPr>
          <w:spacing w:val="-2"/>
        </w:rPr>
        <w:t xml:space="preserve"> (IAM).</w:t>
      </w:r>
    </w:p>
    <w:p w14:paraId="7D72E1CB" w14:textId="77777777" w:rsidR="00A66A81" w:rsidRDefault="00000000">
      <w:pPr>
        <w:pStyle w:val="Prrafodelista"/>
        <w:numPr>
          <w:ilvl w:val="0"/>
          <w:numId w:val="4"/>
        </w:numPr>
        <w:tabs>
          <w:tab w:val="left" w:pos="1280"/>
        </w:tabs>
        <w:spacing w:before="18"/>
        <w:ind w:left="1280" w:hanging="360"/>
      </w:pPr>
      <w:r>
        <w:t>Miocardiopatía</w:t>
      </w:r>
      <w:r>
        <w:rPr>
          <w:spacing w:val="-5"/>
        </w:rPr>
        <w:t xml:space="preserve"> </w:t>
      </w:r>
      <w:r>
        <w:rPr>
          <w:spacing w:val="-2"/>
        </w:rPr>
        <w:t>dilatada.</w:t>
      </w:r>
    </w:p>
    <w:p w14:paraId="3B4D3277" w14:textId="77777777" w:rsidR="00A66A81" w:rsidRDefault="00000000">
      <w:pPr>
        <w:pStyle w:val="Prrafodelista"/>
        <w:numPr>
          <w:ilvl w:val="0"/>
          <w:numId w:val="4"/>
        </w:numPr>
        <w:tabs>
          <w:tab w:val="left" w:pos="1281"/>
        </w:tabs>
        <w:spacing w:before="203" w:line="259" w:lineRule="auto"/>
        <w:ind w:right="621"/>
      </w:pPr>
      <w:r>
        <w:br w:type="column"/>
      </w:r>
      <w:r>
        <w:t>Trastornos</w:t>
      </w:r>
      <w:r>
        <w:rPr>
          <w:spacing w:val="40"/>
        </w:rPr>
        <w:t xml:space="preserve"> </w:t>
      </w:r>
      <w:r>
        <w:t>de</w:t>
      </w:r>
      <w:r>
        <w:rPr>
          <w:spacing w:val="40"/>
        </w:rPr>
        <w:t xml:space="preserve"> </w:t>
      </w:r>
      <w:r>
        <w:t>la</w:t>
      </w:r>
      <w:r>
        <w:rPr>
          <w:spacing w:val="40"/>
        </w:rPr>
        <w:t xml:space="preserve"> </w:t>
      </w:r>
      <w:r>
        <w:t>homeostasis</w:t>
      </w:r>
      <w:r>
        <w:rPr>
          <w:spacing w:val="40"/>
        </w:rPr>
        <w:t xml:space="preserve"> </w:t>
      </w:r>
      <w:r>
        <w:t xml:space="preserve">y </w:t>
      </w:r>
      <w:r>
        <w:rPr>
          <w:spacing w:val="-2"/>
        </w:rPr>
        <w:t>trombofilias.</w:t>
      </w:r>
    </w:p>
    <w:p w14:paraId="1B95D3AD" w14:textId="77777777" w:rsidR="00A66A81" w:rsidRDefault="00000000">
      <w:pPr>
        <w:pStyle w:val="Prrafodelista"/>
        <w:numPr>
          <w:ilvl w:val="0"/>
          <w:numId w:val="4"/>
        </w:numPr>
        <w:tabs>
          <w:tab w:val="left" w:pos="1281"/>
        </w:tabs>
        <w:spacing w:line="266" w:lineRule="exact"/>
      </w:pPr>
      <w:r>
        <w:t>Otras.</w:t>
      </w:r>
      <w:r>
        <w:rPr>
          <w:spacing w:val="56"/>
        </w:rPr>
        <w:t xml:space="preserve"> </w:t>
      </w:r>
      <w:r>
        <w:rPr>
          <w:spacing w:val="-5"/>
          <w:vertAlign w:val="superscript"/>
        </w:rPr>
        <w:t>(1)</w:t>
      </w:r>
    </w:p>
    <w:p w14:paraId="5DE66285" w14:textId="77777777" w:rsidR="00A66A81" w:rsidRDefault="00000000">
      <w:pPr>
        <w:pStyle w:val="Textoindependiente"/>
        <w:spacing w:before="181" w:line="259" w:lineRule="auto"/>
        <w:ind w:right="616"/>
      </w:pPr>
      <w:r>
        <w:t>Sin contar que los anestesistas suelen usar en ciertas ocasiones los anticoagulantes en el periodo perioperatorio en pacientes que no poseen patologías que necesiten el uso permanente de anticoagulantes.</w:t>
      </w:r>
    </w:p>
    <w:p w14:paraId="6A5E7DE0" w14:textId="77777777" w:rsidR="00A66A81" w:rsidRDefault="00000000">
      <w:pPr>
        <w:pStyle w:val="Textoindependiente"/>
        <w:spacing w:before="161" w:line="259" w:lineRule="auto"/>
        <w:ind w:right="619"/>
      </w:pPr>
      <w:r>
        <w:t>Los anticoagulantes son un grupo de sustancias de distinta naturaleza química relacionados por su efecto biológico. Se pueden dividir en:</w:t>
      </w:r>
    </w:p>
    <w:p w14:paraId="460FFA5A" w14:textId="77777777" w:rsidR="00A66A81" w:rsidRDefault="00000000">
      <w:pPr>
        <w:spacing w:before="159" w:line="259" w:lineRule="auto"/>
        <w:ind w:left="560" w:right="613"/>
        <w:jc w:val="both"/>
      </w:pPr>
      <w:r>
        <w:rPr>
          <w:rFonts w:ascii="Arial" w:hAnsi="Arial"/>
          <w:b/>
          <w:i/>
        </w:rPr>
        <w:t>Anticoagulantes de acción directa</w:t>
      </w:r>
      <w:r>
        <w:rPr>
          <w:rFonts w:ascii="Arial" w:hAnsi="Arial"/>
          <w:b/>
        </w:rPr>
        <w:t xml:space="preserve">: </w:t>
      </w:r>
      <w:r>
        <w:t>aquellos que son capaces de inhibir la cascada de la coagulación. Como los inhibidores directos de trombina</w:t>
      </w:r>
      <w:r>
        <w:rPr>
          <w:spacing w:val="40"/>
        </w:rPr>
        <w:t xml:space="preserve"> </w:t>
      </w:r>
      <w:r>
        <w:t>(hirudina, argatroban).</w:t>
      </w:r>
    </w:p>
    <w:p w14:paraId="6E0431D3" w14:textId="77777777" w:rsidR="00A66A81" w:rsidRDefault="00000000">
      <w:pPr>
        <w:pStyle w:val="Textoindependiente"/>
        <w:spacing w:before="159" w:line="259" w:lineRule="auto"/>
        <w:ind w:right="613"/>
      </w:pPr>
      <w:r>
        <w:rPr>
          <w:rFonts w:ascii="Arial" w:hAnsi="Arial"/>
          <w:b/>
          <w:i/>
        </w:rPr>
        <w:t>Anticoagulantes de acción indirecta</w:t>
      </w:r>
      <w:r>
        <w:t>: Son los que mediante su interacción con otras proteínas o actuando en otras vías metabólicas,</w:t>
      </w:r>
      <w:r>
        <w:rPr>
          <w:spacing w:val="-9"/>
        </w:rPr>
        <w:t xml:space="preserve"> </w:t>
      </w:r>
      <w:r>
        <w:t>alteran</w:t>
      </w:r>
      <w:r>
        <w:rPr>
          <w:spacing w:val="-6"/>
        </w:rPr>
        <w:t xml:space="preserve"> </w:t>
      </w:r>
      <w:r>
        <w:t>el</w:t>
      </w:r>
      <w:r>
        <w:rPr>
          <w:spacing w:val="-8"/>
        </w:rPr>
        <w:t xml:space="preserve"> </w:t>
      </w:r>
      <w:r>
        <w:t>funcionamiento</w:t>
      </w:r>
      <w:r>
        <w:rPr>
          <w:spacing w:val="-6"/>
        </w:rPr>
        <w:t xml:space="preserve"> </w:t>
      </w:r>
      <w:r>
        <w:t>de la cascada de la coagulación. Ejemplos: heparina no fraccionada, heparinas de bajo peso molecular o inhibidores de la síntesis</w:t>
      </w:r>
      <w:r>
        <w:rPr>
          <w:spacing w:val="-2"/>
        </w:rPr>
        <w:t xml:space="preserve"> </w:t>
      </w:r>
      <w:r>
        <w:t>de</w:t>
      </w:r>
      <w:r>
        <w:rPr>
          <w:spacing w:val="-2"/>
        </w:rPr>
        <w:t xml:space="preserve"> </w:t>
      </w:r>
      <w:r>
        <w:t>factores</w:t>
      </w:r>
      <w:r>
        <w:rPr>
          <w:spacing w:val="-2"/>
        </w:rPr>
        <w:t xml:space="preserve"> </w:t>
      </w:r>
      <w:r>
        <w:t>de</w:t>
      </w:r>
      <w:r>
        <w:rPr>
          <w:spacing w:val="-2"/>
        </w:rPr>
        <w:t xml:space="preserve"> </w:t>
      </w:r>
      <w:r>
        <w:t xml:space="preserve">coagulación como los derivados del dicumarol </w:t>
      </w:r>
      <w:r>
        <w:rPr>
          <w:vertAlign w:val="superscript"/>
        </w:rPr>
        <w:t>(2)</w:t>
      </w:r>
      <w:r>
        <w:t>.</w:t>
      </w:r>
    </w:p>
    <w:p w14:paraId="31F85168" w14:textId="77777777" w:rsidR="00A66A81" w:rsidRDefault="00000000">
      <w:pPr>
        <w:pStyle w:val="Textoindependiente"/>
        <w:spacing w:before="157" w:line="259" w:lineRule="auto"/>
        <w:ind w:right="621"/>
      </w:pPr>
      <w:r>
        <w:t>Los</w:t>
      </w:r>
      <w:r>
        <w:rPr>
          <w:spacing w:val="-9"/>
        </w:rPr>
        <w:t xml:space="preserve"> </w:t>
      </w:r>
      <w:r>
        <w:t>anticoagulantes</w:t>
      </w:r>
      <w:r>
        <w:rPr>
          <w:spacing w:val="-9"/>
        </w:rPr>
        <w:t xml:space="preserve"> </w:t>
      </w:r>
      <w:r>
        <w:t>también</w:t>
      </w:r>
      <w:r>
        <w:rPr>
          <w:spacing w:val="-9"/>
        </w:rPr>
        <w:t xml:space="preserve"> </w:t>
      </w:r>
      <w:r>
        <w:t>se</w:t>
      </w:r>
      <w:r>
        <w:rPr>
          <w:spacing w:val="-9"/>
        </w:rPr>
        <w:t xml:space="preserve"> </w:t>
      </w:r>
      <w:r>
        <w:t>clasifican de acuerdo a la vía de administración:</w:t>
      </w:r>
    </w:p>
    <w:p w14:paraId="1E57D009" w14:textId="77777777" w:rsidR="00A66A81" w:rsidRDefault="00000000">
      <w:pPr>
        <w:spacing w:before="162" w:line="256" w:lineRule="auto"/>
        <w:ind w:left="560" w:right="615"/>
        <w:jc w:val="both"/>
      </w:pPr>
      <w:r>
        <w:rPr>
          <w:rFonts w:ascii="Arial" w:hAnsi="Arial"/>
          <w:b/>
        </w:rPr>
        <w:t xml:space="preserve">Vía parenteral </w:t>
      </w:r>
      <w:r>
        <w:t>(subcutánea o endovenosa)</w:t>
      </w:r>
      <w:r>
        <w:rPr>
          <w:spacing w:val="44"/>
        </w:rPr>
        <w:t xml:space="preserve"> </w:t>
      </w:r>
      <w:r>
        <w:t>que</w:t>
      </w:r>
      <w:r>
        <w:rPr>
          <w:spacing w:val="46"/>
        </w:rPr>
        <w:t xml:space="preserve"> </w:t>
      </w:r>
      <w:r>
        <w:t>se</w:t>
      </w:r>
      <w:r>
        <w:rPr>
          <w:spacing w:val="45"/>
        </w:rPr>
        <w:t xml:space="preserve"> </w:t>
      </w:r>
      <w:r>
        <w:t>utiliza</w:t>
      </w:r>
      <w:r>
        <w:rPr>
          <w:spacing w:val="48"/>
        </w:rPr>
        <w:t xml:space="preserve"> </w:t>
      </w:r>
      <w:r>
        <w:t>para</w:t>
      </w:r>
      <w:r>
        <w:rPr>
          <w:spacing w:val="46"/>
        </w:rPr>
        <w:t xml:space="preserve"> </w:t>
      </w:r>
      <w:r>
        <w:rPr>
          <w:spacing w:val="-2"/>
        </w:rPr>
        <w:t>inducir</w:t>
      </w:r>
    </w:p>
    <w:p w14:paraId="29D4A729" w14:textId="77777777" w:rsidR="00A66A81" w:rsidRDefault="00A66A81">
      <w:pPr>
        <w:spacing w:line="256" w:lineRule="auto"/>
        <w:jc w:val="both"/>
        <w:sectPr w:rsidR="00A66A81">
          <w:type w:val="continuous"/>
          <w:pgSz w:w="12240" w:h="15840"/>
          <w:pgMar w:top="1420" w:right="1080" w:bottom="1680" w:left="1140" w:header="0" w:footer="1490" w:gutter="0"/>
          <w:cols w:num="2" w:space="720" w:equalWidth="0">
            <w:col w:w="4669" w:space="104"/>
            <w:col w:w="5247"/>
          </w:cols>
        </w:sectPr>
      </w:pPr>
    </w:p>
    <w:p w14:paraId="5E1DAB15" w14:textId="77777777" w:rsidR="00A66A81" w:rsidRDefault="00A66A81">
      <w:pPr>
        <w:pStyle w:val="Textoindependiente"/>
        <w:spacing w:before="2"/>
        <w:ind w:left="0"/>
        <w:jc w:val="left"/>
        <w:rPr>
          <w:sz w:val="10"/>
        </w:rPr>
      </w:pPr>
    </w:p>
    <w:p w14:paraId="333920A4" w14:textId="77777777" w:rsidR="00A66A81" w:rsidRDefault="00A66A81">
      <w:pPr>
        <w:rPr>
          <w:sz w:val="10"/>
        </w:rPr>
        <w:sectPr w:rsidR="00A66A81">
          <w:headerReference w:type="default" r:id="rId14"/>
          <w:footerReference w:type="default" r:id="rId15"/>
          <w:pgSz w:w="12240" w:h="15840"/>
          <w:pgMar w:top="1920" w:right="1080" w:bottom="1680" w:left="1140" w:header="708" w:footer="1490" w:gutter="0"/>
          <w:cols w:space="720"/>
        </w:sectPr>
      </w:pPr>
    </w:p>
    <w:p w14:paraId="31A60F84" w14:textId="77777777" w:rsidR="00A66A81" w:rsidRDefault="00000000">
      <w:pPr>
        <w:pStyle w:val="Textoindependiente"/>
        <w:spacing w:before="93" w:line="259" w:lineRule="auto"/>
        <w:ind w:right="39"/>
      </w:pPr>
      <w:r>
        <w:t>un estado hipocoagulante en forma rápida. En ginecología se usa, habitualmente, por cortos períodos de tiempo como en el periodo perioperatorio o frente a pacientes que por estar hospitalizadas se decidió el cambio del anticoagulante oral a parenteral. Todo esto bajo indicación por especialista.</w:t>
      </w:r>
    </w:p>
    <w:p w14:paraId="4AAE0FEC" w14:textId="77777777" w:rsidR="00A66A81" w:rsidRDefault="00000000">
      <w:pPr>
        <w:pStyle w:val="Textoindependiente"/>
        <w:spacing w:before="159" w:line="259" w:lineRule="auto"/>
        <w:ind w:right="42"/>
      </w:pPr>
      <w:r>
        <w:rPr>
          <w:rFonts w:ascii="Arial" w:hAnsi="Arial"/>
          <w:b/>
        </w:rPr>
        <w:t xml:space="preserve">Vía oral </w:t>
      </w:r>
      <w:r>
        <w:t xml:space="preserve">se utiliza en los tratamientos de mantención, ya que el efecto es de lenta </w:t>
      </w:r>
      <w:r>
        <w:rPr>
          <w:spacing w:val="-2"/>
        </w:rPr>
        <w:t>instalación.</w:t>
      </w:r>
    </w:p>
    <w:p w14:paraId="12A5A9D4" w14:textId="77777777" w:rsidR="00A66A81" w:rsidRDefault="00A66A81">
      <w:pPr>
        <w:pStyle w:val="Textoindependiente"/>
        <w:ind w:left="0"/>
        <w:jc w:val="left"/>
      </w:pPr>
    </w:p>
    <w:p w14:paraId="7870DC5D" w14:textId="77777777" w:rsidR="00A66A81" w:rsidRDefault="00A66A81">
      <w:pPr>
        <w:pStyle w:val="Textoindependiente"/>
        <w:spacing w:before="85"/>
        <w:ind w:left="0"/>
        <w:jc w:val="left"/>
      </w:pPr>
    </w:p>
    <w:p w14:paraId="1CC2DE63" w14:textId="77777777" w:rsidR="00A66A81" w:rsidRDefault="00000000">
      <w:pPr>
        <w:pStyle w:val="Ttulo1"/>
      </w:pPr>
      <w:r>
        <w:t>Anticoagulantes</w:t>
      </w:r>
      <w:r>
        <w:rPr>
          <w:spacing w:val="-12"/>
        </w:rPr>
        <w:t xml:space="preserve"> </w:t>
      </w:r>
      <w:r>
        <w:rPr>
          <w:spacing w:val="-2"/>
        </w:rPr>
        <w:t>orales</w:t>
      </w:r>
    </w:p>
    <w:p w14:paraId="7ADA4684" w14:textId="77777777" w:rsidR="00A66A81" w:rsidRDefault="00000000">
      <w:pPr>
        <w:pStyle w:val="Textoindependiente"/>
        <w:spacing w:before="187" w:line="259" w:lineRule="auto"/>
        <w:ind w:right="41"/>
      </w:pPr>
      <w:r>
        <w:t>Los medicamentos anticoagulantes</w:t>
      </w:r>
      <w:r>
        <w:rPr>
          <w:spacing w:val="40"/>
        </w:rPr>
        <w:t xml:space="preserve"> </w:t>
      </w:r>
      <w:r>
        <w:t>orales son fármacos en su mayoría derivados del dicumarol</w:t>
      </w:r>
      <w:r>
        <w:rPr>
          <w:spacing w:val="-1"/>
        </w:rPr>
        <w:t xml:space="preserve"> </w:t>
      </w:r>
      <w:r>
        <w:t>(acenocumarol y warfarina los más usados) que actúan como antagonistas de la vitamina K, inhibiendo el sistema enzimático encargado de su conversión a la forma activa, que actúa como cofactor en la gamma-carboxilación de los residuos terminales de ácido glutámico de los factores de coagulación II, VII, IX y X, y de las proteínas C y S; la ausencia de estos residuos ocasiona que estos factores sean inactivos, por la incapacidad</w:t>
      </w:r>
      <w:r>
        <w:rPr>
          <w:spacing w:val="-2"/>
        </w:rPr>
        <w:t xml:space="preserve"> </w:t>
      </w:r>
      <w:r>
        <w:t>de ligar</w:t>
      </w:r>
      <w:r>
        <w:rPr>
          <w:spacing w:val="-1"/>
        </w:rPr>
        <w:t xml:space="preserve"> </w:t>
      </w:r>
      <w:r>
        <w:t>el</w:t>
      </w:r>
      <w:r>
        <w:rPr>
          <w:spacing w:val="-1"/>
        </w:rPr>
        <w:t xml:space="preserve"> </w:t>
      </w:r>
      <w:r>
        <w:t xml:space="preserve">calcio provocando su efecto anticoagulante. </w:t>
      </w:r>
      <w:r>
        <w:rPr>
          <w:vertAlign w:val="superscript"/>
        </w:rPr>
        <w:t>(3)</w:t>
      </w:r>
    </w:p>
    <w:p w14:paraId="22D02BE4" w14:textId="77777777" w:rsidR="00A66A81" w:rsidRDefault="00000000">
      <w:pPr>
        <w:pStyle w:val="Textoindependiente"/>
        <w:spacing w:before="157" w:line="259" w:lineRule="auto"/>
        <w:ind w:right="38"/>
      </w:pPr>
      <w:r>
        <w:t>Pero en los últimos años han aparecido nuevos anticoagulantes denominados anticoagulantes orales de acción directa</w:t>
      </w:r>
      <w:r>
        <w:rPr>
          <w:spacing w:val="40"/>
        </w:rPr>
        <w:t xml:space="preserve"> </w:t>
      </w:r>
      <w:r>
        <w:t>o DOACs (Direct-Acting Oral AntiCoagulants). Estos comprenden al inhibidor directo de la trombina (factor IIa), Dabigatrán, y a los inhibidores directos del factor Xa, Rivaroxabán, Apixabán y Edoxabán entre otros. Los DOACs han demostrado ser tan eficaces como</w:t>
      </w:r>
      <w:r>
        <w:rPr>
          <w:spacing w:val="28"/>
        </w:rPr>
        <w:t xml:space="preserve"> </w:t>
      </w:r>
      <w:r>
        <w:t>los</w:t>
      </w:r>
      <w:r>
        <w:rPr>
          <w:spacing w:val="31"/>
        </w:rPr>
        <w:t xml:space="preserve"> </w:t>
      </w:r>
      <w:r>
        <w:t>antagonistas</w:t>
      </w:r>
      <w:r>
        <w:rPr>
          <w:spacing w:val="28"/>
        </w:rPr>
        <w:t xml:space="preserve"> </w:t>
      </w:r>
      <w:r>
        <w:t>de</w:t>
      </w:r>
      <w:r>
        <w:rPr>
          <w:spacing w:val="29"/>
        </w:rPr>
        <w:t xml:space="preserve"> </w:t>
      </w:r>
      <w:r>
        <w:t>la</w:t>
      </w:r>
      <w:r>
        <w:rPr>
          <w:spacing w:val="29"/>
        </w:rPr>
        <w:t xml:space="preserve"> </w:t>
      </w:r>
      <w:r>
        <w:t>vitamina</w:t>
      </w:r>
      <w:r>
        <w:rPr>
          <w:spacing w:val="29"/>
        </w:rPr>
        <w:t xml:space="preserve"> </w:t>
      </w:r>
      <w:r>
        <w:rPr>
          <w:spacing w:val="-5"/>
        </w:rPr>
        <w:t>K,</w:t>
      </w:r>
    </w:p>
    <w:p w14:paraId="2730A013" w14:textId="77777777" w:rsidR="00A66A81" w:rsidRDefault="00000000">
      <w:pPr>
        <w:pStyle w:val="Textoindependiente"/>
        <w:spacing w:before="93" w:line="259" w:lineRule="auto"/>
        <w:ind w:right="618"/>
      </w:pPr>
      <w:r>
        <w:br w:type="column"/>
      </w:r>
      <w:r>
        <w:t xml:space="preserve">asociándose a un menor riesgo de sangrado mayor </w:t>
      </w:r>
      <w:r>
        <w:rPr>
          <w:vertAlign w:val="superscript"/>
        </w:rPr>
        <w:t>(5)</w:t>
      </w:r>
      <w:r>
        <w:t xml:space="preserve"> y de un efecto</w:t>
      </w:r>
      <w:r>
        <w:rPr>
          <w:spacing w:val="40"/>
        </w:rPr>
        <w:t xml:space="preserve"> </w:t>
      </w:r>
      <w:r>
        <w:t>medible en menor tiempo.</w:t>
      </w:r>
    </w:p>
    <w:p w14:paraId="0F79AF01" w14:textId="77777777" w:rsidR="00A66A81" w:rsidRDefault="00000000">
      <w:pPr>
        <w:pStyle w:val="Textoindependiente"/>
        <w:spacing w:before="161" w:line="259" w:lineRule="auto"/>
        <w:ind w:right="618"/>
      </w:pPr>
      <w:r>
        <w:t xml:space="preserve">Los inhibidores de vitamina K tienen limitaciones. La principal es el estrecho rango terapéutico, requiriendo exámenes periódicos para ajustar su dosificación y monitorización del efecto anticoagulante. Para ello se utiliza el INR (International Normalized Ratio), considerándose apropiado en la mayoría de los casos un INR entre 2 y 3 </w:t>
      </w:r>
      <w:r>
        <w:rPr>
          <w:vertAlign w:val="superscript"/>
        </w:rPr>
        <w:t>(4)</w:t>
      </w:r>
      <w:r>
        <w:t>.</w:t>
      </w:r>
    </w:p>
    <w:p w14:paraId="4A3B7262" w14:textId="77777777" w:rsidR="00A66A81" w:rsidRDefault="00000000">
      <w:pPr>
        <w:pStyle w:val="Textoindependiente"/>
        <w:spacing w:before="157" w:line="259" w:lineRule="auto"/>
        <w:ind w:right="617"/>
      </w:pPr>
      <w:r>
        <w:t xml:space="preserve">Los pacientes con rangos de anticoagulación bajo el nivel terapéutico presentan riesgo de trombosis, mientras que con niveles superiores al normal, la probabilidad de presentar sangrado patológico puede llegar a más de 30% al año (INR mayor a 5) </w:t>
      </w:r>
      <w:r>
        <w:rPr>
          <w:vertAlign w:val="superscript"/>
        </w:rPr>
        <w:t>(4)</w:t>
      </w:r>
      <w:r>
        <w:t>.</w:t>
      </w:r>
    </w:p>
    <w:p w14:paraId="659FFC35" w14:textId="77777777" w:rsidR="00A66A81" w:rsidRDefault="00000000">
      <w:pPr>
        <w:pStyle w:val="Textoindependiente"/>
        <w:spacing w:before="160" w:line="259" w:lineRule="auto"/>
        <w:ind w:right="615"/>
      </w:pPr>
      <w:r>
        <w:t>Por su parte la farmacocinética de los DOACs y su relación dosis-respuesta más predecible ha permitido simplificar los</w:t>
      </w:r>
      <w:r>
        <w:rPr>
          <w:spacing w:val="-5"/>
        </w:rPr>
        <w:t xml:space="preserve"> </w:t>
      </w:r>
      <w:r>
        <w:t>esquemas</w:t>
      </w:r>
      <w:r>
        <w:rPr>
          <w:spacing w:val="-5"/>
        </w:rPr>
        <w:t xml:space="preserve"> </w:t>
      </w:r>
      <w:r>
        <w:t>de</w:t>
      </w:r>
      <w:r>
        <w:rPr>
          <w:spacing w:val="-5"/>
        </w:rPr>
        <w:t xml:space="preserve"> </w:t>
      </w:r>
      <w:r>
        <w:t>dosificación</w:t>
      </w:r>
      <w:r>
        <w:rPr>
          <w:spacing w:val="-5"/>
        </w:rPr>
        <w:t xml:space="preserve"> </w:t>
      </w:r>
      <w:r>
        <w:t>y</w:t>
      </w:r>
      <w:r>
        <w:rPr>
          <w:spacing w:val="-5"/>
        </w:rPr>
        <w:t xml:space="preserve"> </w:t>
      </w:r>
      <w:r>
        <w:t>el</w:t>
      </w:r>
      <w:r>
        <w:rPr>
          <w:spacing w:val="-7"/>
        </w:rPr>
        <w:t xml:space="preserve"> </w:t>
      </w:r>
      <w:r>
        <w:t xml:space="preserve">manejo perioperatorio. En la actualidad, los DOACs son considerados el anticoagulante de elección por diversas guías clínicas a nivel internacional y su uso ha superado al de los antagonistas de la vitamina K. </w:t>
      </w:r>
      <w:r>
        <w:rPr>
          <w:vertAlign w:val="superscript"/>
        </w:rPr>
        <w:t>(5)</w:t>
      </w:r>
      <w:r>
        <w:t>.</w:t>
      </w:r>
    </w:p>
    <w:p w14:paraId="459B5897" w14:textId="77777777" w:rsidR="00A66A81" w:rsidRDefault="00000000">
      <w:pPr>
        <w:pStyle w:val="Textoindependiente"/>
        <w:spacing w:before="160" w:line="259" w:lineRule="auto"/>
        <w:ind w:right="616"/>
      </w:pPr>
      <w:r>
        <w:t xml:space="preserve">Pero en general aún en nuestro país existen protocolos hospitalarios </w:t>
      </w:r>
      <w:r>
        <w:rPr>
          <w:vertAlign w:val="superscript"/>
        </w:rPr>
        <w:t>(1,6)</w:t>
      </w:r>
      <w:r>
        <w:t xml:space="preserve"> en donde se utilizan antagonistas de la vitamina K en sus tratamientos, ya que</w:t>
      </w:r>
      <w:r>
        <w:rPr>
          <w:spacing w:val="40"/>
        </w:rPr>
        <w:t xml:space="preserve"> </w:t>
      </w:r>
      <w:r>
        <w:t>su manejo es conocido ampliamente y a pesar de que los DOACs son</w:t>
      </w:r>
      <w:r>
        <w:rPr>
          <w:spacing w:val="40"/>
        </w:rPr>
        <w:t xml:space="preserve"> </w:t>
      </w:r>
      <w:r>
        <w:t xml:space="preserve">globalmente más seguros que los antagonistas de la vitamina K, se ha reportado entre 2.1% y 3.6% de sangrados mayores en los estudios fase III </w:t>
      </w:r>
      <w:r>
        <w:rPr>
          <w:vertAlign w:val="superscript"/>
        </w:rPr>
        <w:t>(5)</w:t>
      </w:r>
      <w:r>
        <w:t>.</w:t>
      </w:r>
    </w:p>
    <w:p w14:paraId="73A282CD" w14:textId="77777777" w:rsidR="00A66A81" w:rsidRDefault="00A66A81">
      <w:pPr>
        <w:spacing w:line="259" w:lineRule="auto"/>
        <w:sectPr w:rsidR="00A66A81">
          <w:type w:val="continuous"/>
          <w:pgSz w:w="12240" w:h="15840"/>
          <w:pgMar w:top="1420" w:right="1080" w:bottom="1680" w:left="1140" w:header="708" w:footer="1490" w:gutter="0"/>
          <w:cols w:num="2" w:space="720" w:equalWidth="0">
            <w:col w:w="4672" w:space="102"/>
            <w:col w:w="5246"/>
          </w:cols>
        </w:sectPr>
      </w:pPr>
    </w:p>
    <w:p w14:paraId="3C80EC88" w14:textId="77777777" w:rsidR="00A66A81" w:rsidRDefault="00A66A81">
      <w:pPr>
        <w:pStyle w:val="Textoindependiente"/>
        <w:spacing w:before="2"/>
        <w:ind w:left="0"/>
        <w:jc w:val="left"/>
        <w:rPr>
          <w:sz w:val="10"/>
        </w:rPr>
      </w:pPr>
    </w:p>
    <w:p w14:paraId="38FEF333" w14:textId="77777777" w:rsidR="00A66A81" w:rsidRDefault="00A66A81">
      <w:pPr>
        <w:rPr>
          <w:sz w:val="10"/>
        </w:rPr>
        <w:sectPr w:rsidR="00A66A81">
          <w:pgSz w:w="12240" w:h="15840"/>
          <w:pgMar w:top="1920" w:right="1080" w:bottom="1680" w:left="1140" w:header="708" w:footer="1490" w:gutter="0"/>
          <w:cols w:space="720"/>
        </w:sectPr>
      </w:pPr>
    </w:p>
    <w:p w14:paraId="27C4C48B" w14:textId="77777777" w:rsidR="00A66A81" w:rsidRDefault="00000000">
      <w:pPr>
        <w:pStyle w:val="Textoindependiente"/>
        <w:spacing w:before="93" w:line="259" w:lineRule="auto"/>
        <w:ind w:right="41"/>
      </w:pPr>
      <w:r>
        <w:t xml:space="preserve">Pero actualmente existen 2 reversores específicos los para los DOACs que han recibido aprobación de la FDA. </w:t>
      </w:r>
      <w:r>
        <w:rPr>
          <w:rFonts w:ascii="Arial" w:hAnsi="Arial"/>
          <w:b/>
        </w:rPr>
        <w:t xml:space="preserve">Idarucizumab </w:t>
      </w:r>
      <w:r>
        <w:t xml:space="preserve">para revertir el efecto de Dabigatrán y </w:t>
      </w:r>
      <w:r>
        <w:rPr>
          <w:rFonts w:ascii="Arial" w:hAnsi="Arial"/>
          <w:b/>
        </w:rPr>
        <w:t xml:space="preserve">Andexanet </w:t>
      </w:r>
      <w:r>
        <w:t>alfa para</w:t>
      </w:r>
      <w:r>
        <w:rPr>
          <w:spacing w:val="40"/>
        </w:rPr>
        <w:t xml:space="preserve"> </w:t>
      </w:r>
      <w:r>
        <w:t>revertir el efecto de Rivaroxabán y Apixabán. Agentes hemostáticos inespecíficos como los concentrados de complejos protrombínicos también han sido usados como parte de las estrategias de reversión que se</w:t>
      </w:r>
      <w:r>
        <w:rPr>
          <w:spacing w:val="40"/>
        </w:rPr>
        <w:t xml:space="preserve"> </w:t>
      </w:r>
      <w:r>
        <w:t>detallarán un poco más adelante.</w:t>
      </w:r>
    </w:p>
    <w:p w14:paraId="42B4DA3E" w14:textId="77777777" w:rsidR="00A66A81" w:rsidRDefault="00A66A81">
      <w:pPr>
        <w:pStyle w:val="Textoindependiente"/>
        <w:ind w:left="0"/>
        <w:jc w:val="left"/>
      </w:pPr>
    </w:p>
    <w:p w14:paraId="2F255CE2" w14:textId="77777777" w:rsidR="00A66A81" w:rsidRDefault="00A66A81">
      <w:pPr>
        <w:pStyle w:val="Textoindependiente"/>
        <w:spacing w:before="87"/>
        <w:ind w:left="0"/>
        <w:jc w:val="left"/>
      </w:pPr>
    </w:p>
    <w:p w14:paraId="47691435" w14:textId="77777777" w:rsidR="00A66A81" w:rsidRDefault="00000000">
      <w:pPr>
        <w:pStyle w:val="Ttulo1"/>
        <w:tabs>
          <w:tab w:val="left" w:pos="3075"/>
          <w:tab w:val="left" w:pos="4292"/>
        </w:tabs>
        <w:spacing w:line="256" w:lineRule="auto"/>
        <w:ind w:right="46"/>
      </w:pPr>
      <w:r>
        <w:rPr>
          <w:spacing w:val="-2"/>
        </w:rPr>
        <w:t>Farmacología</w:t>
      </w:r>
      <w:r>
        <w:tab/>
      </w:r>
      <w:r>
        <w:rPr>
          <w:spacing w:val="-6"/>
        </w:rPr>
        <w:t>de</w:t>
      </w:r>
      <w:r>
        <w:tab/>
      </w:r>
      <w:r>
        <w:rPr>
          <w:spacing w:val="-4"/>
        </w:rPr>
        <w:t xml:space="preserve">los </w:t>
      </w:r>
      <w:r>
        <w:t>anticoagulantes orales</w:t>
      </w:r>
    </w:p>
    <w:p w14:paraId="25390162" w14:textId="77777777" w:rsidR="00A66A81" w:rsidRDefault="00000000">
      <w:pPr>
        <w:pStyle w:val="Textoindependiente"/>
        <w:spacing w:before="165" w:line="259" w:lineRule="auto"/>
        <w:ind w:right="38"/>
      </w:pPr>
      <w:r>
        <w:rPr>
          <w:rFonts w:ascii="Arial" w:hAnsi="Arial"/>
          <w:b/>
        </w:rPr>
        <w:t>Warfarina (CAVAMED</w:t>
      </w:r>
      <w:r>
        <w:rPr>
          <w:rFonts w:ascii="Arial" w:hAnsi="Arial"/>
          <w:b/>
          <w:vertAlign w:val="superscript"/>
        </w:rPr>
        <w:t>®</w:t>
      </w:r>
      <w:r>
        <w:rPr>
          <w:rFonts w:ascii="Arial" w:hAnsi="Arial"/>
          <w:b/>
        </w:rPr>
        <w:t xml:space="preserve">): </w:t>
      </w:r>
      <w:r>
        <w:t>La Warfarina inhibe la síntesis hepática de los factores de la coagulación dependientes de la vitamina K (II, VII, IX y X), así como las proteínas anticoagulantes C y S. Por lo general</w:t>
      </w:r>
      <w:r>
        <w:rPr>
          <w:spacing w:val="-4"/>
        </w:rPr>
        <w:t xml:space="preserve"> </w:t>
      </w:r>
      <w:r>
        <w:t>la</w:t>
      </w:r>
      <w:r>
        <w:rPr>
          <w:spacing w:val="-1"/>
        </w:rPr>
        <w:t xml:space="preserve"> </w:t>
      </w:r>
      <w:r>
        <w:t>dosis</w:t>
      </w:r>
      <w:r>
        <w:rPr>
          <w:spacing w:val="-1"/>
        </w:rPr>
        <w:t xml:space="preserve"> </w:t>
      </w:r>
      <w:r>
        <w:t>es</w:t>
      </w:r>
      <w:r>
        <w:rPr>
          <w:spacing w:val="-1"/>
        </w:rPr>
        <w:t xml:space="preserve"> </w:t>
      </w:r>
      <w:r>
        <w:t>una</w:t>
      </w:r>
      <w:r>
        <w:rPr>
          <w:spacing w:val="-1"/>
        </w:rPr>
        <w:t xml:space="preserve"> </w:t>
      </w:r>
      <w:r>
        <w:t>pastilla de</w:t>
      </w:r>
      <w:r>
        <w:rPr>
          <w:spacing w:val="-1"/>
        </w:rPr>
        <w:t xml:space="preserve"> </w:t>
      </w:r>
      <w:r>
        <w:t>5mg al día, pero eso depende del seguimiento del</w:t>
      </w:r>
      <w:r>
        <w:rPr>
          <w:spacing w:val="-4"/>
        </w:rPr>
        <w:t xml:space="preserve"> </w:t>
      </w:r>
      <w:r>
        <w:t>policlínico</w:t>
      </w:r>
      <w:r>
        <w:rPr>
          <w:spacing w:val="-1"/>
        </w:rPr>
        <w:t xml:space="preserve"> </w:t>
      </w:r>
      <w:r>
        <w:t>de</w:t>
      </w:r>
      <w:r>
        <w:rPr>
          <w:spacing w:val="-1"/>
        </w:rPr>
        <w:t xml:space="preserve"> </w:t>
      </w:r>
      <w:r>
        <w:t>TACO</w:t>
      </w:r>
      <w:r>
        <w:rPr>
          <w:spacing w:val="-5"/>
        </w:rPr>
        <w:t xml:space="preserve"> </w:t>
      </w:r>
      <w:r>
        <w:t>o</w:t>
      </w:r>
      <w:r>
        <w:rPr>
          <w:spacing w:val="-1"/>
        </w:rPr>
        <w:t xml:space="preserve"> </w:t>
      </w:r>
      <w:r>
        <w:t>del</w:t>
      </w:r>
      <w:r>
        <w:rPr>
          <w:spacing w:val="-6"/>
        </w:rPr>
        <w:t xml:space="preserve"> </w:t>
      </w:r>
      <w:r>
        <w:t>especialista y de los niveles de INR.</w:t>
      </w:r>
    </w:p>
    <w:p w14:paraId="16F6D50F" w14:textId="77777777" w:rsidR="00A66A81" w:rsidRDefault="00000000">
      <w:pPr>
        <w:pStyle w:val="Textoindependiente"/>
        <w:spacing w:before="93" w:line="259" w:lineRule="auto"/>
        <w:ind w:right="617"/>
      </w:pPr>
      <w:r>
        <w:br w:type="column"/>
      </w:r>
      <w:r>
        <w:t>Los</w:t>
      </w:r>
      <w:r>
        <w:rPr>
          <w:spacing w:val="-7"/>
        </w:rPr>
        <w:t xml:space="preserve"> </w:t>
      </w:r>
      <w:r>
        <w:t>niveles</w:t>
      </w:r>
      <w:r>
        <w:rPr>
          <w:spacing w:val="-5"/>
        </w:rPr>
        <w:t xml:space="preserve"> </w:t>
      </w:r>
      <w:r>
        <w:t>de</w:t>
      </w:r>
      <w:r>
        <w:rPr>
          <w:spacing w:val="-7"/>
        </w:rPr>
        <w:t xml:space="preserve"> </w:t>
      </w:r>
      <w:r>
        <w:t>anticoagulación</w:t>
      </w:r>
      <w:r>
        <w:rPr>
          <w:spacing w:val="-7"/>
        </w:rPr>
        <w:t xml:space="preserve"> </w:t>
      </w:r>
      <w:r>
        <w:t>estable</w:t>
      </w:r>
      <w:r>
        <w:rPr>
          <w:spacing w:val="-7"/>
        </w:rPr>
        <w:t xml:space="preserve"> </w:t>
      </w:r>
      <w:r>
        <w:t>se alcanzan tras 5 vidas medias (8 días) siendo el factor X el último en alcanzar</w:t>
      </w:r>
      <w:r>
        <w:rPr>
          <w:spacing w:val="40"/>
        </w:rPr>
        <w:t xml:space="preserve"> </w:t>
      </w:r>
      <w:r>
        <w:t xml:space="preserve">un nivel estable </w:t>
      </w:r>
      <w:r>
        <w:rPr>
          <w:vertAlign w:val="superscript"/>
        </w:rPr>
        <w:t>(7)</w:t>
      </w:r>
      <w:r>
        <w:t>. Pero tiene un efecto terapéutico inicial a las 48 horas alcanzando el</w:t>
      </w:r>
      <w:r>
        <w:rPr>
          <w:spacing w:val="-2"/>
        </w:rPr>
        <w:t xml:space="preserve"> </w:t>
      </w:r>
      <w:r>
        <w:t>total</w:t>
      </w:r>
      <w:r>
        <w:rPr>
          <w:spacing w:val="-2"/>
        </w:rPr>
        <w:t xml:space="preserve"> </w:t>
      </w:r>
      <w:r>
        <w:t>a las 120 horas (4 a 5 días). Tiene una vida media de 20 a 60 horas. (Tabla 1)</w:t>
      </w:r>
    </w:p>
    <w:p w14:paraId="16586CBB" w14:textId="77777777" w:rsidR="00A66A81" w:rsidRDefault="00000000">
      <w:pPr>
        <w:pStyle w:val="Textoindependiente"/>
        <w:tabs>
          <w:tab w:val="left" w:pos="2459"/>
          <w:tab w:val="left" w:pos="3231"/>
          <w:tab w:val="left" w:pos="3487"/>
        </w:tabs>
        <w:spacing w:before="159" w:line="259" w:lineRule="auto"/>
        <w:ind w:right="613"/>
      </w:pPr>
      <w:r>
        <w:t>La Warfarina está contraindicado en mujeres que están embarazadas,</w:t>
      </w:r>
      <w:r>
        <w:rPr>
          <w:spacing w:val="40"/>
        </w:rPr>
        <w:t xml:space="preserve"> </w:t>
      </w:r>
      <w:r>
        <w:t xml:space="preserve">excepto en los casos que tienen válvulas cardíacas mecánicas y alto riesgo de tromboembolia. Cirugía reciente o prevista o cirugía traumática que causa grandes superficies abiertas. Ulceración activa o hemorragia evidente del tracto </w:t>
      </w:r>
      <w:r>
        <w:rPr>
          <w:spacing w:val="-2"/>
        </w:rPr>
        <w:t>gastrointestinal,</w:t>
      </w:r>
      <w:r>
        <w:tab/>
      </w:r>
      <w:r>
        <w:tab/>
      </w:r>
      <w:r>
        <w:rPr>
          <w:spacing w:val="-2"/>
        </w:rPr>
        <w:t xml:space="preserve">genitourinario, </w:t>
      </w:r>
      <w:r>
        <w:t xml:space="preserve">respiratorio o del sistema nervioso central, amenaza de aborto, eclampsia y preeclampsia, punción lumbar y otros procedimientos de diagnóstico o tratamiento que podrían causar una </w:t>
      </w:r>
      <w:r>
        <w:rPr>
          <w:spacing w:val="-2"/>
        </w:rPr>
        <w:t>hemorragia</w:t>
      </w:r>
      <w:r>
        <w:tab/>
      </w:r>
      <w:r>
        <w:rPr>
          <w:spacing w:val="-6"/>
        </w:rPr>
        <w:t>no</w:t>
      </w:r>
      <w:r>
        <w:tab/>
      </w:r>
      <w:r>
        <w:tab/>
      </w:r>
      <w:r>
        <w:rPr>
          <w:spacing w:val="-2"/>
        </w:rPr>
        <w:t xml:space="preserve">controlable, </w:t>
      </w:r>
      <w:r>
        <w:t>hipersensibilidad a la warfarina,</w:t>
      </w:r>
      <w:r>
        <w:rPr>
          <w:spacing w:val="40"/>
        </w:rPr>
        <w:t xml:space="preserve"> </w:t>
      </w:r>
      <w:r>
        <w:t>anestesia regional</w:t>
      </w:r>
      <w:r>
        <w:rPr>
          <w:spacing w:val="-3"/>
        </w:rPr>
        <w:t xml:space="preserve"> </w:t>
      </w:r>
      <w:r>
        <w:t>o de bloqueo lumbar</w:t>
      </w:r>
      <w:r>
        <w:rPr>
          <w:spacing w:val="-3"/>
        </w:rPr>
        <w:t xml:space="preserve"> </w:t>
      </w:r>
      <w:r>
        <w:t xml:space="preserve">e hipertensión maligna </w:t>
      </w:r>
      <w:r>
        <w:rPr>
          <w:vertAlign w:val="superscript"/>
        </w:rPr>
        <w:t>(8)</w:t>
      </w:r>
      <w:r>
        <w:t>.</w:t>
      </w:r>
    </w:p>
    <w:p w14:paraId="594FF1F6" w14:textId="77777777" w:rsidR="00A66A81" w:rsidRDefault="00A66A81">
      <w:pPr>
        <w:spacing w:line="259" w:lineRule="auto"/>
        <w:sectPr w:rsidR="00A66A81">
          <w:type w:val="continuous"/>
          <w:pgSz w:w="12240" w:h="15840"/>
          <w:pgMar w:top="1420" w:right="1080" w:bottom="1680" w:left="1140" w:header="708" w:footer="1490" w:gutter="0"/>
          <w:cols w:num="2" w:space="720" w:equalWidth="0">
            <w:col w:w="4671" w:space="102"/>
            <w:col w:w="5247"/>
          </w:cols>
        </w:sectPr>
      </w:pPr>
    </w:p>
    <w:p w14:paraId="6B0254C3" w14:textId="77777777" w:rsidR="00A66A81" w:rsidRDefault="00A66A81">
      <w:pPr>
        <w:pStyle w:val="Textoindependiente"/>
        <w:spacing w:before="5"/>
        <w:ind w:left="0"/>
        <w:jc w:val="left"/>
        <w:rPr>
          <w:sz w:val="6"/>
        </w:rPr>
      </w:pPr>
    </w:p>
    <w:p w14:paraId="537ABA58" w14:textId="77777777" w:rsidR="00A66A81" w:rsidRDefault="00000000">
      <w:pPr>
        <w:pStyle w:val="Textoindependiente"/>
        <w:ind w:left="304"/>
        <w:jc w:val="left"/>
        <w:rPr>
          <w:sz w:val="20"/>
        </w:rPr>
      </w:pPr>
      <w:r>
        <w:rPr>
          <w:noProof/>
          <w:sz w:val="20"/>
        </w:rPr>
        <w:drawing>
          <wp:inline distT="0" distB="0" distL="0" distR="0" wp14:anchorId="53319CB1" wp14:editId="315520BF">
            <wp:extent cx="5968438" cy="277749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6" cstate="print"/>
                    <a:stretch>
                      <a:fillRect/>
                    </a:stretch>
                  </pic:blipFill>
                  <pic:spPr>
                    <a:xfrm>
                      <a:off x="0" y="0"/>
                      <a:ext cx="5968438" cy="2777490"/>
                    </a:xfrm>
                    <a:prstGeom prst="rect">
                      <a:avLst/>
                    </a:prstGeom>
                  </pic:spPr>
                </pic:pic>
              </a:graphicData>
            </a:graphic>
          </wp:inline>
        </w:drawing>
      </w:r>
    </w:p>
    <w:p w14:paraId="264BA567" w14:textId="77777777" w:rsidR="00A66A81" w:rsidRDefault="00A66A81">
      <w:pPr>
        <w:rPr>
          <w:sz w:val="20"/>
        </w:rPr>
        <w:sectPr w:rsidR="00A66A81">
          <w:type w:val="continuous"/>
          <w:pgSz w:w="12240" w:h="15840"/>
          <w:pgMar w:top="1420" w:right="1080" w:bottom="1680" w:left="1140" w:header="708" w:footer="1490" w:gutter="0"/>
          <w:cols w:space="720"/>
        </w:sectPr>
      </w:pPr>
    </w:p>
    <w:p w14:paraId="3F151551" w14:textId="77777777" w:rsidR="00A66A81" w:rsidRDefault="00A66A81">
      <w:pPr>
        <w:pStyle w:val="Textoindependiente"/>
        <w:spacing w:before="2"/>
        <w:ind w:left="0"/>
        <w:jc w:val="left"/>
        <w:rPr>
          <w:sz w:val="10"/>
        </w:rPr>
      </w:pPr>
    </w:p>
    <w:p w14:paraId="26DFA768" w14:textId="77777777" w:rsidR="00A66A81" w:rsidRDefault="00A66A81">
      <w:pPr>
        <w:rPr>
          <w:sz w:val="10"/>
        </w:rPr>
        <w:sectPr w:rsidR="00A66A81">
          <w:pgSz w:w="12240" w:h="15840"/>
          <w:pgMar w:top="1920" w:right="1080" w:bottom="1680" w:left="1140" w:header="708" w:footer="1490" w:gutter="0"/>
          <w:cols w:space="720"/>
        </w:sectPr>
      </w:pPr>
    </w:p>
    <w:p w14:paraId="6D261898" w14:textId="77777777" w:rsidR="00A66A81" w:rsidRDefault="00000000">
      <w:pPr>
        <w:pStyle w:val="Textoindependiente"/>
        <w:spacing w:before="93" w:line="259" w:lineRule="auto"/>
        <w:ind w:right="40"/>
      </w:pPr>
      <w:r>
        <w:t>También se puede usar el</w:t>
      </w:r>
      <w:r>
        <w:rPr>
          <w:spacing w:val="40"/>
        </w:rPr>
        <w:t xml:space="preserve"> </w:t>
      </w:r>
      <w:r>
        <w:rPr>
          <w:rFonts w:ascii="Arial" w:hAnsi="Arial"/>
          <w:b/>
        </w:rPr>
        <w:t>acenocumarol (SINTROM</w:t>
      </w:r>
      <w:r>
        <w:rPr>
          <w:rFonts w:ascii="Arial" w:hAnsi="Arial"/>
          <w:b/>
          <w:vertAlign w:val="superscript"/>
        </w:rPr>
        <w:t>®</w:t>
      </w:r>
      <w:r>
        <w:rPr>
          <w:rFonts w:ascii="Arial" w:hAnsi="Arial"/>
          <w:b/>
        </w:rPr>
        <w:t xml:space="preserve">) </w:t>
      </w:r>
      <w:r>
        <w:t>Uno de los anticoagulantes orales más usados en Chile. El cual su acción, ventajas y desventajas son similares a la warfarina, pero difiere de ésta por tener una vida media de 8 a 24 horas, lo que podría significar una mayor inestabilidad del rango terapéutico</w:t>
      </w:r>
      <w:r>
        <w:rPr>
          <w:spacing w:val="-1"/>
        </w:rPr>
        <w:t xml:space="preserve"> </w:t>
      </w:r>
      <w:r>
        <w:rPr>
          <w:vertAlign w:val="superscript"/>
        </w:rPr>
        <w:t>(4)</w:t>
      </w:r>
      <w:r>
        <w:t>.</w:t>
      </w:r>
    </w:p>
    <w:p w14:paraId="698A7AEC" w14:textId="77777777" w:rsidR="00A66A81" w:rsidRDefault="00000000">
      <w:pPr>
        <w:pStyle w:val="Textoindependiente"/>
        <w:spacing w:before="161" w:line="259" w:lineRule="auto"/>
        <w:ind w:right="38"/>
      </w:pPr>
      <w:r>
        <w:rPr>
          <w:rFonts w:ascii="Arial" w:hAnsi="Arial"/>
          <w:b/>
        </w:rPr>
        <w:t>Dabigatrán (PRADAXA</w:t>
      </w:r>
      <w:r>
        <w:rPr>
          <w:rFonts w:ascii="Arial" w:hAnsi="Arial"/>
          <w:b/>
          <w:vertAlign w:val="superscript"/>
        </w:rPr>
        <w:t>®</w:t>
      </w:r>
      <w:r>
        <w:rPr>
          <w:rFonts w:ascii="Arial" w:hAnsi="Arial"/>
          <w:b/>
        </w:rPr>
        <w:t>):</w:t>
      </w:r>
      <w:r>
        <w:rPr>
          <w:rFonts w:ascii="Arial" w:hAnsi="Arial"/>
          <w:b/>
          <w:spacing w:val="-3"/>
        </w:rPr>
        <w:t xml:space="preserve"> </w:t>
      </w:r>
      <w:r>
        <w:t>Es</w:t>
      </w:r>
      <w:r>
        <w:rPr>
          <w:spacing w:val="-3"/>
        </w:rPr>
        <w:t xml:space="preserve"> </w:t>
      </w:r>
      <w:r>
        <w:t>un</w:t>
      </w:r>
      <w:r>
        <w:rPr>
          <w:spacing w:val="-3"/>
        </w:rPr>
        <w:t xml:space="preserve"> </w:t>
      </w:r>
      <w:r>
        <w:t>potente inhibidor selectivo de la trombina. Mediante la inhibición de la trombina, reduce la formación de fibrina, amortigua la retroalimentación positiva de la cascada de la coagulación, inhibe la activación plaquetaria mediada por la trombina y reduce la inhibición de la fibrinolisis</w:t>
      </w:r>
      <w:r>
        <w:rPr>
          <w:spacing w:val="-2"/>
        </w:rPr>
        <w:t xml:space="preserve"> </w:t>
      </w:r>
      <w:r>
        <w:rPr>
          <w:vertAlign w:val="superscript"/>
        </w:rPr>
        <w:t>(9)</w:t>
      </w:r>
      <w:r>
        <w:t>.</w:t>
      </w:r>
      <w:r>
        <w:rPr>
          <w:spacing w:val="-7"/>
        </w:rPr>
        <w:t xml:space="preserve"> </w:t>
      </w:r>
      <w:r>
        <w:t>Por</w:t>
      </w:r>
      <w:r>
        <w:rPr>
          <w:spacing w:val="-7"/>
        </w:rPr>
        <w:t xml:space="preserve"> </w:t>
      </w:r>
      <w:r>
        <w:t>lo</w:t>
      </w:r>
      <w:r>
        <w:rPr>
          <w:spacing w:val="-4"/>
        </w:rPr>
        <w:t xml:space="preserve"> </w:t>
      </w:r>
      <w:r>
        <w:t>general</w:t>
      </w:r>
      <w:r>
        <w:rPr>
          <w:spacing w:val="-6"/>
        </w:rPr>
        <w:t xml:space="preserve"> </w:t>
      </w:r>
      <w:r>
        <w:t>se</w:t>
      </w:r>
      <w:r>
        <w:rPr>
          <w:spacing w:val="-4"/>
        </w:rPr>
        <w:t xml:space="preserve"> </w:t>
      </w:r>
      <w:r>
        <w:t>administra en dosis de 75 a 150mg dos veces al día o según indicación médica. Dentro de</w:t>
      </w:r>
      <w:r>
        <w:rPr>
          <w:spacing w:val="40"/>
        </w:rPr>
        <w:t xml:space="preserve"> </w:t>
      </w:r>
      <w:r>
        <w:t>sus ventajas es que alcanza el nivel terapéutico de las 1 a 3 horas a</w:t>
      </w:r>
      <w:r>
        <w:rPr>
          <w:spacing w:val="40"/>
        </w:rPr>
        <w:t xml:space="preserve"> </w:t>
      </w:r>
      <w:r>
        <w:t>diferencia</w:t>
      </w:r>
      <w:r>
        <w:rPr>
          <w:spacing w:val="29"/>
        </w:rPr>
        <w:t xml:space="preserve"> </w:t>
      </w:r>
      <w:r>
        <w:t>de</w:t>
      </w:r>
      <w:r>
        <w:rPr>
          <w:spacing w:val="29"/>
        </w:rPr>
        <w:t xml:space="preserve"> </w:t>
      </w:r>
      <w:r>
        <w:t>la</w:t>
      </w:r>
      <w:r>
        <w:rPr>
          <w:spacing w:val="30"/>
        </w:rPr>
        <w:t xml:space="preserve"> </w:t>
      </w:r>
      <w:r>
        <w:t>Warfarina</w:t>
      </w:r>
      <w:r>
        <w:rPr>
          <w:spacing w:val="29"/>
        </w:rPr>
        <w:t xml:space="preserve"> </w:t>
      </w:r>
      <w:r>
        <w:t>que</w:t>
      </w:r>
      <w:r>
        <w:rPr>
          <w:spacing w:val="29"/>
        </w:rPr>
        <w:t xml:space="preserve"> </w:t>
      </w:r>
      <w:r>
        <w:t>son</w:t>
      </w:r>
      <w:r>
        <w:rPr>
          <w:spacing w:val="30"/>
        </w:rPr>
        <w:t xml:space="preserve"> </w:t>
      </w:r>
      <w:r>
        <w:t>48</w:t>
      </w:r>
      <w:r>
        <w:rPr>
          <w:spacing w:val="29"/>
        </w:rPr>
        <w:t xml:space="preserve"> </w:t>
      </w:r>
      <w:r>
        <w:rPr>
          <w:spacing w:val="-10"/>
        </w:rPr>
        <w:t>a</w:t>
      </w:r>
    </w:p>
    <w:p w14:paraId="009AABBF" w14:textId="77777777" w:rsidR="00A66A81" w:rsidRDefault="00000000">
      <w:pPr>
        <w:pStyle w:val="Textoindependiente"/>
        <w:spacing w:line="259" w:lineRule="auto"/>
        <w:ind w:right="43"/>
      </w:pPr>
      <w:r>
        <w:t>72 horas. El fármaco se elimina fundamentalmente por los riñones, mayormente sin alteraciones (Tabla 1).</w:t>
      </w:r>
    </w:p>
    <w:p w14:paraId="48BB631A" w14:textId="77777777" w:rsidR="00A66A81" w:rsidRDefault="00000000">
      <w:pPr>
        <w:pStyle w:val="Textoindependiente"/>
        <w:tabs>
          <w:tab w:val="left" w:pos="1939"/>
          <w:tab w:val="left" w:pos="3710"/>
        </w:tabs>
        <w:spacing w:before="157" w:line="259" w:lineRule="auto"/>
        <w:ind w:right="39"/>
      </w:pPr>
      <w:r>
        <w:t xml:space="preserve">Dentro de las contraindicaciones está la alergia al Dabigatrán, insuficiencia renal severa, manifestaciones hemorrágicas, lesiones en órganos con riesgo de sangrado clínicamente significativo, incluyendo accidente cerebrovascular hemorrágico, dentro de los últimos 6 </w:t>
      </w:r>
      <w:r>
        <w:rPr>
          <w:spacing w:val="-2"/>
        </w:rPr>
        <w:t>meses,</w:t>
      </w:r>
      <w:r>
        <w:tab/>
      </w:r>
      <w:r>
        <w:rPr>
          <w:spacing w:val="-2"/>
        </w:rPr>
        <w:t>tratamiento</w:t>
      </w:r>
      <w:r>
        <w:tab/>
      </w:r>
      <w:r>
        <w:rPr>
          <w:spacing w:val="-2"/>
        </w:rPr>
        <w:t xml:space="preserve">sistémico </w:t>
      </w:r>
      <w:r>
        <w:t>concomitante con ketoconazol,</w:t>
      </w:r>
      <w:r>
        <w:rPr>
          <w:spacing w:val="40"/>
        </w:rPr>
        <w:t xml:space="preserve"> </w:t>
      </w:r>
      <w:r>
        <w:t xml:space="preserve">reemplazo de válvula cardíaca protésica, insuficiencia o enfermedad hepática que pueda afectar la supervivencia </w:t>
      </w:r>
      <w:r>
        <w:rPr>
          <w:vertAlign w:val="superscript"/>
        </w:rPr>
        <w:t>(10)</w:t>
      </w:r>
      <w:r>
        <w:t>.</w:t>
      </w:r>
    </w:p>
    <w:p w14:paraId="57D5B66F" w14:textId="77777777" w:rsidR="00A66A81" w:rsidRDefault="00000000">
      <w:pPr>
        <w:pStyle w:val="Textoindependiente"/>
        <w:spacing w:before="159" w:line="259" w:lineRule="auto"/>
        <w:ind w:right="40"/>
      </w:pPr>
      <w:r>
        <w:rPr>
          <w:rFonts w:ascii="Arial" w:hAnsi="Arial"/>
          <w:b/>
        </w:rPr>
        <w:t>Rivaroxabán (XARELTO</w:t>
      </w:r>
      <w:r>
        <w:rPr>
          <w:rFonts w:ascii="Arial" w:hAnsi="Arial"/>
          <w:b/>
          <w:vertAlign w:val="superscript"/>
        </w:rPr>
        <w:t>®</w:t>
      </w:r>
      <w:r>
        <w:rPr>
          <w:rFonts w:ascii="Arial" w:hAnsi="Arial"/>
          <w:b/>
        </w:rPr>
        <w:t>)</w:t>
      </w:r>
      <w:r>
        <w:t>: Es un inhibidor directo del factor Xa altamente selectivo, con biodisponibilidad oral. La inhibición</w:t>
      </w:r>
      <w:r>
        <w:rPr>
          <w:spacing w:val="76"/>
        </w:rPr>
        <w:t xml:space="preserve"> </w:t>
      </w:r>
      <w:r>
        <w:t>del</w:t>
      </w:r>
      <w:r>
        <w:rPr>
          <w:spacing w:val="75"/>
        </w:rPr>
        <w:t xml:space="preserve"> </w:t>
      </w:r>
      <w:r>
        <w:t>factor</w:t>
      </w:r>
      <w:r>
        <w:rPr>
          <w:spacing w:val="74"/>
        </w:rPr>
        <w:t xml:space="preserve"> </w:t>
      </w:r>
      <w:r>
        <w:t>Xa</w:t>
      </w:r>
      <w:r>
        <w:rPr>
          <w:spacing w:val="77"/>
        </w:rPr>
        <w:t xml:space="preserve"> </w:t>
      </w:r>
      <w:r>
        <w:t>interrumpe</w:t>
      </w:r>
      <w:r>
        <w:rPr>
          <w:spacing w:val="77"/>
        </w:rPr>
        <w:t xml:space="preserve"> </w:t>
      </w:r>
      <w:r>
        <w:rPr>
          <w:spacing w:val="-5"/>
        </w:rPr>
        <w:t>las</w:t>
      </w:r>
    </w:p>
    <w:p w14:paraId="3CC4AB66" w14:textId="77777777" w:rsidR="00A66A81" w:rsidRDefault="00000000">
      <w:pPr>
        <w:pStyle w:val="Textoindependiente"/>
        <w:spacing w:before="93" w:line="259" w:lineRule="auto"/>
        <w:ind w:right="617"/>
      </w:pPr>
      <w:r>
        <w:br w:type="column"/>
      </w:r>
      <w:r>
        <w:t>vías intrínseca y extrínseca de la</w:t>
      </w:r>
      <w:r>
        <w:rPr>
          <w:spacing w:val="40"/>
        </w:rPr>
        <w:t xml:space="preserve"> </w:t>
      </w:r>
      <w:r>
        <w:t>cascada de la coagulación de la sangre, inhibiendo</w:t>
      </w:r>
      <w:r>
        <w:rPr>
          <w:spacing w:val="-2"/>
        </w:rPr>
        <w:t xml:space="preserve"> </w:t>
      </w:r>
      <w:r>
        <w:t>tanto</w:t>
      </w:r>
      <w:r>
        <w:rPr>
          <w:spacing w:val="-2"/>
        </w:rPr>
        <w:t xml:space="preserve"> </w:t>
      </w:r>
      <w:r>
        <w:t>la</w:t>
      </w:r>
      <w:r>
        <w:rPr>
          <w:spacing w:val="-2"/>
        </w:rPr>
        <w:t xml:space="preserve"> </w:t>
      </w:r>
      <w:r>
        <w:t>formación</w:t>
      </w:r>
      <w:r>
        <w:rPr>
          <w:spacing w:val="-2"/>
        </w:rPr>
        <w:t xml:space="preserve"> </w:t>
      </w:r>
      <w:r>
        <w:t>de</w:t>
      </w:r>
      <w:r>
        <w:rPr>
          <w:spacing w:val="-2"/>
        </w:rPr>
        <w:t xml:space="preserve"> </w:t>
      </w:r>
      <w:r>
        <w:t>trombina como la formación de trombos, aunque no inhibe la trombina (factor</w:t>
      </w:r>
      <w:r>
        <w:rPr>
          <w:spacing w:val="-3"/>
        </w:rPr>
        <w:t xml:space="preserve"> </w:t>
      </w:r>
      <w:r>
        <w:t>II</w:t>
      </w:r>
      <w:r>
        <w:rPr>
          <w:spacing w:val="-3"/>
        </w:rPr>
        <w:t xml:space="preserve"> </w:t>
      </w:r>
      <w:r>
        <w:t>activado)</w:t>
      </w:r>
      <w:r>
        <w:rPr>
          <w:spacing w:val="-3"/>
        </w:rPr>
        <w:t xml:space="preserve"> </w:t>
      </w:r>
      <w:r>
        <w:t>y no se han demostrado efectos sobre las plaquetas</w:t>
      </w:r>
      <w:r>
        <w:rPr>
          <w:spacing w:val="-22"/>
        </w:rPr>
        <w:t xml:space="preserve"> </w:t>
      </w:r>
      <w:r>
        <w:rPr>
          <w:vertAlign w:val="superscript"/>
        </w:rPr>
        <w:t>(11)</w:t>
      </w:r>
      <w:r>
        <w:t>.</w:t>
      </w:r>
    </w:p>
    <w:p w14:paraId="5FF0312F" w14:textId="77777777" w:rsidR="00A66A81" w:rsidRDefault="00000000">
      <w:pPr>
        <w:pStyle w:val="Textoindependiente"/>
        <w:spacing w:before="160" w:line="259" w:lineRule="auto"/>
        <w:ind w:right="617"/>
      </w:pPr>
      <w:r>
        <w:t>Las</w:t>
      </w:r>
      <w:r>
        <w:rPr>
          <w:spacing w:val="-1"/>
        </w:rPr>
        <w:t xml:space="preserve"> </w:t>
      </w:r>
      <w:r>
        <w:t>dosis más frecuentes</w:t>
      </w:r>
      <w:r>
        <w:rPr>
          <w:spacing w:val="-1"/>
        </w:rPr>
        <w:t xml:space="preserve"> </w:t>
      </w:r>
      <w:r>
        <w:t>son de 15</w:t>
      </w:r>
      <w:r>
        <w:rPr>
          <w:spacing w:val="-1"/>
        </w:rPr>
        <w:t xml:space="preserve"> </w:t>
      </w:r>
      <w:r>
        <w:t>a 20 mg en dosis diarias, alcanza su efecto terapéutico dentro de 2 a 4 horas de ingerido el medicamento, teniendo una vida</w:t>
      </w:r>
      <w:r>
        <w:rPr>
          <w:spacing w:val="-1"/>
        </w:rPr>
        <w:t xml:space="preserve"> </w:t>
      </w:r>
      <w:r>
        <w:t>media</w:t>
      </w:r>
      <w:r>
        <w:rPr>
          <w:spacing w:val="-5"/>
        </w:rPr>
        <w:t xml:space="preserve"> </w:t>
      </w:r>
      <w:r>
        <w:t>de</w:t>
      </w:r>
      <w:r>
        <w:rPr>
          <w:spacing w:val="-1"/>
        </w:rPr>
        <w:t xml:space="preserve"> </w:t>
      </w:r>
      <w:r>
        <w:t>7</w:t>
      </w:r>
      <w:r>
        <w:rPr>
          <w:spacing w:val="-5"/>
        </w:rPr>
        <w:t xml:space="preserve"> </w:t>
      </w:r>
      <w:r>
        <w:t>a</w:t>
      </w:r>
      <w:r>
        <w:rPr>
          <w:spacing w:val="-1"/>
        </w:rPr>
        <w:t xml:space="preserve"> </w:t>
      </w:r>
      <w:r>
        <w:t>13</w:t>
      </w:r>
      <w:r>
        <w:rPr>
          <w:spacing w:val="-1"/>
        </w:rPr>
        <w:t xml:space="preserve"> </w:t>
      </w:r>
      <w:r>
        <w:t>horas.</w:t>
      </w:r>
      <w:r>
        <w:rPr>
          <w:spacing w:val="-8"/>
        </w:rPr>
        <w:t xml:space="preserve"> </w:t>
      </w:r>
      <w:r>
        <w:t>Su</w:t>
      </w:r>
      <w:r>
        <w:rPr>
          <w:spacing w:val="-1"/>
        </w:rPr>
        <w:t xml:space="preserve"> </w:t>
      </w:r>
      <w:r>
        <w:t>excreción es principalmente renal en un 66% y hepático el resto (Tabla 1).</w:t>
      </w:r>
    </w:p>
    <w:p w14:paraId="1C9BBCB5" w14:textId="77777777" w:rsidR="00A66A81" w:rsidRDefault="00000000">
      <w:pPr>
        <w:pStyle w:val="Textoindependiente"/>
        <w:tabs>
          <w:tab w:val="left" w:pos="2381"/>
          <w:tab w:val="left" w:pos="4504"/>
        </w:tabs>
        <w:spacing w:before="160" w:line="259" w:lineRule="auto"/>
        <w:ind w:right="616"/>
      </w:pPr>
      <w:r>
        <w:t xml:space="preserve">Dentro de las contraindicaciones está la hipersensibilidad; hemorragia activa clínicamente significativa; úlcera gastrointestinal activa o reciente, presencia de neoplasias malignas con alto riesgo de sangrado, malformaciones arteriovenosas, aneurismas o anomalías </w:t>
      </w:r>
      <w:r>
        <w:rPr>
          <w:spacing w:val="-2"/>
        </w:rPr>
        <w:t>vasculares</w:t>
      </w:r>
      <w:r>
        <w:tab/>
      </w:r>
      <w:r>
        <w:rPr>
          <w:spacing w:val="-2"/>
        </w:rPr>
        <w:t>intraespinales</w:t>
      </w:r>
      <w:r>
        <w:tab/>
      </w:r>
      <w:r>
        <w:rPr>
          <w:spacing w:val="-10"/>
        </w:rPr>
        <w:t xml:space="preserve">o </w:t>
      </w:r>
      <w:r>
        <w:t>intracerebrales mayores; tratamiento concomitante con cualquier otro anticoagulante excepto en circunstancias concretas; embarazo y lactancia entre otros</w:t>
      </w:r>
      <w:r>
        <w:rPr>
          <w:spacing w:val="-18"/>
        </w:rPr>
        <w:t xml:space="preserve"> </w:t>
      </w:r>
      <w:r>
        <w:rPr>
          <w:vertAlign w:val="superscript"/>
        </w:rPr>
        <w:t>(11)</w:t>
      </w:r>
      <w:r>
        <w:t>.</w:t>
      </w:r>
    </w:p>
    <w:p w14:paraId="1DA31D0F" w14:textId="77777777" w:rsidR="00A66A81" w:rsidRDefault="00000000">
      <w:pPr>
        <w:pStyle w:val="Textoindependiente"/>
        <w:spacing w:before="157" w:line="259" w:lineRule="auto"/>
        <w:ind w:right="615"/>
      </w:pPr>
      <w:r>
        <w:rPr>
          <w:rFonts w:ascii="Arial" w:hAnsi="Arial"/>
          <w:b/>
        </w:rPr>
        <w:t xml:space="preserve">Apixabán (ELIQUIS </w:t>
      </w:r>
      <w:r>
        <w:rPr>
          <w:rFonts w:ascii="Arial" w:hAnsi="Arial"/>
          <w:b/>
          <w:vertAlign w:val="superscript"/>
        </w:rPr>
        <w:t>®</w:t>
      </w:r>
      <w:r>
        <w:t>): Inhibe el factor Xa libre y ligado al</w:t>
      </w:r>
      <w:r>
        <w:rPr>
          <w:spacing w:val="-2"/>
        </w:rPr>
        <w:t xml:space="preserve"> </w:t>
      </w:r>
      <w:r>
        <w:t>coágulo,</w:t>
      </w:r>
      <w:r>
        <w:rPr>
          <w:spacing w:val="-2"/>
        </w:rPr>
        <w:t xml:space="preserve"> </w:t>
      </w:r>
      <w:r>
        <w:t xml:space="preserve">y la actividad protrombinasa. No tiene efectos directos sobre la agregación plaquetaria y </w:t>
      </w:r>
      <w:r>
        <w:rPr>
          <w:color w:val="212121"/>
        </w:rPr>
        <w:t xml:space="preserve">previene tanto la formación de trombina como la formación de trombos </w:t>
      </w:r>
      <w:r>
        <w:rPr>
          <w:color w:val="212121"/>
          <w:vertAlign w:val="superscript"/>
        </w:rPr>
        <w:t>(12)</w:t>
      </w:r>
      <w:r>
        <w:rPr>
          <w:color w:val="212121"/>
        </w:rPr>
        <w:t xml:space="preserve">. </w:t>
      </w:r>
      <w:r>
        <w:t>Sus dosis van de 2,5 a 5mg dos veces al día, teniendo un efecto terapéutico de 1 a 2 horas después de ingerida, Su eliminación</w:t>
      </w:r>
      <w:r>
        <w:rPr>
          <w:spacing w:val="59"/>
          <w:w w:val="150"/>
        </w:rPr>
        <w:t xml:space="preserve"> </w:t>
      </w:r>
      <w:r>
        <w:t>es</w:t>
      </w:r>
      <w:r>
        <w:rPr>
          <w:spacing w:val="61"/>
          <w:w w:val="150"/>
        </w:rPr>
        <w:t xml:space="preserve"> </w:t>
      </w:r>
      <w:r>
        <w:t>principalmente</w:t>
      </w:r>
      <w:r>
        <w:rPr>
          <w:spacing w:val="60"/>
          <w:w w:val="150"/>
        </w:rPr>
        <w:t xml:space="preserve"> </w:t>
      </w:r>
      <w:r>
        <w:rPr>
          <w:spacing w:val="-2"/>
        </w:rPr>
        <w:t>hepática</w:t>
      </w:r>
    </w:p>
    <w:p w14:paraId="159E8FDC" w14:textId="77777777" w:rsidR="00A66A81" w:rsidRDefault="00000000">
      <w:pPr>
        <w:spacing w:before="45" w:line="146" w:lineRule="auto"/>
        <w:ind w:left="560"/>
      </w:pPr>
      <w:r>
        <w:rPr>
          <w:spacing w:val="-4"/>
          <w:sz w:val="14"/>
        </w:rPr>
        <w:t>(5)</w:t>
      </w:r>
      <w:r>
        <w:rPr>
          <w:spacing w:val="-4"/>
          <w:position w:val="-7"/>
        </w:rPr>
        <w:t>.</w:t>
      </w:r>
    </w:p>
    <w:p w14:paraId="7F01A25E" w14:textId="77777777" w:rsidR="00A66A81" w:rsidRDefault="00A66A81">
      <w:pPr>
        <w:pStyle w:val="Textoindependiente"/>
        <w:spacing w:before="67"/>
        <w:ind w:left="0"/>
        <w:jc w:val="left"/>
        <w:rPr>
          <w:sz w:val="14"/>
        </w:rPr>
      </w:pPr>
    </w:p>
    <w:p w14:paraId="7CBED9DE" w14:textId="77777777" w:rsidR="00A66A81" w:rsidRDefault="00000000">
      <w:pPr>
        <w:pStyle w:val="Textoindependiente"/>
        <w:spacing w:line="259" w:lineRule="auto"/>
        <w:ind w:right="616"/>
      </w:pPr>
      <w:r>
        <w:t>Dentro de sus contraindicaciones están</w:t>
      </w:r>
      <w:r>
        <w:rPr>
          <w:spacing w:val="40"/>
        </w:rPr>
        <w:t xml:space="preserve"> </w:t>
      </w:r>
      <w:r>
        <w:t>la hipersensibilidad; sangrado activo clínicamente</w:t>
      </w:r>
      <w:r>
        <w:rPr>
          <w:spacing w:val="64"/>
        </w:rPr>
        <w:t xml:space="preserve">  </w:t>
      </w:r>
      <w:r>
        <w:t>significativo;</w:t>
      </w:r>
      <w:r>
        <w:rPr>
          <w:spacing w:val="66"/>
        </w:rPr>
        <w:t xml:space="preserve">  </w:t>
      </w:r>
      <w:r>
        <w:rPr>
          <w:spacing w:val="-2"/>
        </w:rPr>
        <w:t>hemorragia</w:t>
      </w:r>
    </w:p>
    <w:p w14:paraId="40B9253D" w14:textId="77777777" w:rsidR="00A66A81" w:rsidRDefault="00A66A81">
      <w:pPr>
        <w:spacing w:line="259" w:lineRule="auto"/>
        <w:sectPr w:rsidR="00A66A81">
          <w:type w:val="continuous"/>
          <w:pgSz w:w="12240" w:h="15840"/>
          <w:pgMar w:top="1420" w:right="1080" w:bottom="1680" w:left="1140" w:header="708" w:footer="1490" w:gutter="0"/>
          <w:cols w:num="2" w:space="720" w:equalWidth="0">
            <w:col w:w="4672" w:space="102"/>
            <w:col w:w="5246"/>
          </w:cols>
        </w:sectPr>
      </w:pPr>
    </w:p>
    <w:p w14:paraId="19D67E4A" w14:textId="77777777" w:rsidR="00A66A81" w:rsidRDefault="00A66A81">
      <w:pPr>
        <w:pStyle w:val="Textoindependiente"/>
        <w:spacing w:before="2"/>
        <w:ind w:left="0"/>
        <w:jc w:val="left"/>
        <w:rPr>
          <w:sz w:val="10"/>
        </w:rPr>
      </w:pPr>
    </w:p>
    <w:p w14:paraId="54B78A4A" w14:textId="77777777" w:rsidR="00A66A81" w:rsidRDefault="00A66A81">
      <w:pPr>
        <w:rPr>
          <w:sz w:val="10"/>
        </w:rPr>
        <w:sectPr w:rsidR="00A66A81">
          <w:pgSz w:w="12240" w:h="15840"/>
          <w:pgMar w:top="1920" w:right="1080" w:bottom="1680" w:left="1140" w:header="708" w:footer="1490" w:gutter="0"/>
          <w:cols w:space="720"/>
        </w:sectPr>
      </w:pPr>
    </w:p>
    <w:p w14:paraId="20411592" w14:textId="77777777" w:rsidR="00A66A81" w:rsidRDefault="00000000">
      <w:pPr>
        <w:pStyle w:val="Textoindependiente"/>
        <w:spacing w:before="93" w:line="261" w:lineRule="auto"/>
        <w:ind w:right="45"/>
      </w:pPr>
      <w:r>
        <w:t>intracraneal,</w:t>
      </w:r>
      <w:r>
        <w:rPr>
          <w:spacing w:val="-2"/>
        </w:rPr>
        <w:t xml:space="preserve"> </w:t>
      </w:r>
      <w:r>
        <w:t>y</w:t>
      </w:r>
      <w:r>
        <w:rPr>
          <w:spacing w:val="-1"/>
        </w:rPr>
        <w:t xml:space="preserve"> </w:t>
      </w:r>
      <w:r>
        <w:t>las</w:t>
      </w:r>
      <w:r>
        <w:rPr>
          <w:spacing w:val="-1"/>
        </w:rPr>
        <w:t xml:space="preserve"> </w:t>
      </w:r>
      <w:r>
        <w:t>mismas</w:t>
      </w:r>
      <w:r>
        <w:rPr>
          <w:spacing w:val="-1"/>
        </w:rPr>
        <w:t xml:space="preserve"> </w:t>
      </w:r>
      <w:r>
        <w:t>que</w:t>
      </w:r>
      <w:r>
        <w:rPr>
          <w:spacing w:val="-1"/>
        </w:rPr>
        <w:t xml:space="preserve"> </w:t>
      </w:r>
      <w:r>
        <w:t>en</w:t>
      </w:r>
      <w:r>
        <w:rPr>
          <w:spacing w:val="-1"/>
        </w:rPr>
        <w:t xml:space="preserve"> </w:t>
      </w:r>
      <w:r>
        <w:t>el</w:t>
      </w:r>
      <w:r>
        <w:rPr>
          <w:spacing w:val="-4"/>
        </w:rPr>
        <w:t xml:space="preserve"> </w:t>
      </w:r>
      <w:r>
        <w:t>caso del Rivaroxabán.</w:t>
      </w:r>
    </w:p>
    <w:p w14:paraId="7BE54FF6" w14:textId="77777777" w:rsidR="00A66A81" w:rsidRDefault="00000000">
      <w:pPr>
        <w:pStyle w:val="Textoindependiente"/>
        <w:spacing w:before="157" w:line="259" w:lineRule="auto"/>
        <w:ind w:right="38"/>
      </w:pPr>
      <w:r>
        <w:t xml:space="preserve">También existe el </w:t>
      </w:r>
      <w:r>
        <w:rPr>
          <w:rFonts w:ascii="Arial" w:hAnsi="Arial"/>
          <w:b/>
        </w:rPr>
        <w:t>Edoxaban (Lisiana</w:t>
      </w:r>
      <w:r>
        <w:rPr>
          <w:rFonts w:ascii="Arial" w:hAnsi="Arial"/>
          <w:b/>
          <w:vertAlign w:val="superscript"/>
        </w:rPr>
        <w:t>®</w:t>
      </w:r>
      <w:r>
        <w:rPr>
          <w:rFonts w:ascii="Arial" w:hAnsi="Arial"/>
          <w:b/>
        </w:rPr>
        <w:t xml:space="preserve">) </w:t>
      </w:r>
      <w:r>
        <w:t>que</w:t>
      </w:r>
      <w:r>
        <w:rPr>
          <w:spacing w:val="-1"/>
        </w:rPr>
        <w:t xml:space="preserve"> </w:t>
      </w:r>
      <w:r>
        <w:t>actúa</w:t>
      </w:r>
      <w:r>
        <w:rPr>
          <w:spacing w:val="-1"/>
        </w:rPr>
        <w:t xml:space="preserve"> </w:t>
      </w:r>
      <w:r>
        <w:t>en</w:t>
      </w:r>
      <w:r>
        <w:rPr>
          <w:spacing w:val="-1"/>
        </w:rPr>
        <w:t xml:space="preserve"> </w:t>
      </w:r>
      <w:r>
        <w:t>el</w:t>
      </w:r>
      <w:r>
        <w:rPr>
          <w:spacing w:val="-3"/>
        </w:rPr>
        <w:t xml:space="preserve"> </w:t>
      </w:r>
      <w:r>
        <w:t>Factor</w:t>
      </w:r>
      <w:r>
        <w:rPr>
          <w:spacing w:val="-4"/>
        </w:rPr>
        <w:t xml:space="preserve"> </w:t>
      </w:r>
      <w:r>
        <w:t>Xa</w:t>
      </w:r>
      <w:r>
        <w:rPr>
          <w:spacing w:val="-1"/>
        </w:rPr>
        <w:t xml:space="preserve"> </w:t>
      </w:r>
      <w:r>
        <w:t>el</w:t>
      </w:r>
      <w:r>
        <w:rPr>
          <w:spacing w:val="-3"/>
        </w:rPr>
        <w:t xml:space="preserve"> </w:t>
      </w:r>
      <w:r>
        <w:t>cual</w:t>
      </w:r>
      <w:r>
        <w:rPr>
          <w:spacing w:val="-3"/>
        </w:rPr>
        <w:t xml:space="preserve"> </w:t>
      </w:r>
      <w:r>
        <w:t>tiene</w:t>
      </w:r>
      <w:r>
        <w:rPr>
          <w:spacing w:val="-1"/>
        </w:rPr>
        <w:t xml:space="preserve"> </w:t>
      </w:r>
      <w:r>
        <w:t xml:space="preserve">su efecto peak entre 1 a 2 horas y una vida media de 10 a 14 horas. Su metabolización es 50% renal y 50% hepático/intestinal. Es uno de los anticoagulantes orales más nuevos y al tener eliminación renal debe ser reacomodado en sus dosis </w:t>
      </w:r>
      <w:r>
        <w:rPr>
          <w:vertAlign w:val="superscript"/>
        </w:rPr>
        <w:t>(13)</w:t>
      </w:r>
      <w:r>
        <w:t>.</w:t>
      </w:r>
    </w:p>
    <w:p w14:paraId="27398CFA" w14:textId="77777777" w:rsidR="00A66A81" w:rsidRDefault="00000000">
      <w:pPr>
        <w:pStyle w:val="Ttulo1"/>
        <w:spacing w:before="156"/>
      </w:pPr>
      <w:r>
        <w:t>Manejo</w:t>
      </w:r>
      <w:r>
        <w:rPr>
          <w:spacing w:val="-1"/>
        </w:rPr>
        <w:t xml:space="preserve"> </w:t>
      </w:r>
      <w:r>
        <w:t>de</w:t>
      </w:r>
      <w:r>
        <w:rPr>
          <w:spacing w:val="-2"/>
        </w:rPr>
        <w:t xml:space="preserve"> </w:t>
      </w:r>
      <w:r>
        <w:t xml:space="preserve">la Hemorragia </w:t>
      </w:r>
      <w:r>
        <w:rPr>
          <w:spacing w:val="-2"/>
        </w:rPr>
        <w:t>asociada</w:t>
      </w:r>
    </w:p>
    <w:p w14:paraId="65E208FE" w14:textId="77777777" w:rsidR="00A66A81" w:rsidRDefault="00000000">
      <w:pPr>
        <w:spacing w:before="91" w:line="259" w:lineRule="auto"/>
        <w:ind w:left="560" w:right="620"/>
        <w:jc w:val="both"/>
        <w:rPr>
          <w:sz w:val="26"/>
        </w:rPr>
      </w:pPr>
      <w:r>
        <w:br w:type="column"/>
      </w:r>
      <w:r>
        <w:rPr>
          <w:sz w:val="26"/>
        </w:rPr>
        <w:t>a</w:t>
      </w:r>
      <w:r>
        <w:rPr>
          <w:spacing w:val="-4"/>
          <w:sz w:val="26"/>
        </w:rPr>
        <w:t xml:space="preserve"> </w:t>
      </w:r>
      <w:r>
        <w:rPr>
          <w:sz w:val="26"/>
        </w:rPr>
        <w:t>Anticoagulantes</w:t>
      </w:r>
      <w:r>
        <w:rPr>
          <w:spacing w:val="-2"/>
          <w:sz w:val="26"/>
        </w:rPr>
        <w:t xml:space="preserve"> </w:t>
      </w:r>
      <w:r>
        <w:rPr>
          <w:sz w:val="26"/>
        </w:rPr>
        <w:t>orales</w:t>
      </w:r>
      <w:r>
        <w:rPr>
          <w:spacing w:val="-3"/>
          <w:sz w:val="26"/>
        </w:rPr>
        <w:t xml:space="preserve"> </w:t>
      </w:r>
      <w:r>
        <w:rPr>
          <w:sz w:val="26"/>
        </w:rPr>
        <w:t>de</w:t>
      </w:r>
      <w:r>
        <w:rPr>
          <w:spacing w:val="-1"/>
          <w:sz w:val="26"/>
        </w:rPr>
        <w:t xml:space="preserve"> </w:t>
      </w:r>
      <w:r>
        <w:rPr>
          <w:sz w:val="26"/>
        </w:rPr>
        <w:t xml:space="preserve">acción </w:t>
      </w:r>
      <w:r>
        <w:rPr>
          <w:spacing w:val="-2"/>
          <w:sz w:val="26"/>
        </w:rPr>
        <w:t>directa.</w:t>
      </w:r>
    </w:p>
    <w:p w14:paraId="2B7FDEA1" w14:textId="77777777" w:rsidR="00A66A81" w:rsidRDefault="00000000">
      <w:pPr>
        <w:pStyle w:val="Textoindependiente"/>
        <w:spacing w:before="165" w:line="259" w:lineRule="auto"/>
        <w:ind w:right="616"/>
      </w:pPr>
      <w:r>
        <w:t>De acuerdo con la última publicación realizada en la Revista Chilena de Medicina Intensiva en su artículo “Reversión de los anticoagulantes orales de acción directa” del año 2019 se</w:t>
      </w:r>
      <w:r>
        <w:rPr>
          <w:spacing w:val="40"/>
        </w:rPr>
        <w:t xml:space="preserve"> </w:t>
      </w:r>
      <w:r>
        <w:t>realizó un algoritmo de manejo de hemorragia asociada a DOACs en base</w:t>
      </w:r>
      <w:r>
        <w:rPr>
          <w:spacing w:val="40"/>
        </w:rPr>
        <w:t xml:space="preserve"> </w:t>
      </w:r>
      <w:r>
        <w:t>a la evidencia disponible y las recomendaciones publicadas por guías clínicas</w:t>
      </w:r>
      <w:r>
        <w:rPr>
          <w:spacing w:val="-2"/>
        </w:rPr>
        <w:t xml:space="preserve"> </w:t>
      </w:r>
      <w:r>
        <w:t>relevantes</w:t>
      </w:r>
      <w:r>
        <w:rPr>
          <w:spacing w:val="3"/>
        </w:rPr>
        <w:t xml:space="preserve"> </w:t>
      </w:r>
      <w:r>
        <w:t>que</w:t>
      </w:r>
      <w:r>
        <w:rPr>
          <w:spacing w:val="-3"/>
        </w:rPr>
        <w:t xml:space="preserve"> </w:t>
      </w:r>
      <w:r>
        <w:t>se muestran en</w:t>
      </w:r>
      <w:r>
        <w:rPr>
          <w:spacing w:val="1"/>
        </w:rPr>
        <w:t xml:space="preserve"> </w:t>
      </w:r>
      <w:r>
        <w:rPr>
          <w:spacing w:val="-5"/>
        </w:rPr>
        <w:t>la</w:t>
      </w:r>
    </w:p>
    <w:p w14:paraId="638C7E9C" w14:textId="77777777" w:rsidR="00A66A81" w:rsidRDefault="00A66A81">
      <w:pPr>
        <w:spacing w:line="259" w:lineRule="auto"/>
        <w:sectPr w:rsidR="00A66A81">
          <w:type w:val="continuous"/>
          <w:pgSz w:w="12240" w:h="15840"/>
          <w:pgMar w:top="1420" w:right="1080" w:bottom="1680" w:left="1140" w:header="708" w:footer="1490" w:gutter="0"/>
          <w:cols w:num="2" w:space="720" w:equalWidth="0">
            <w:col w:w="4672" w:space="102"/>
            <w:col w:w="5246"/>
          </w:cols>
        </w:sectPr>
      </w:pPr>
    </w:p>
    <w:p w14:paraId="1FE20263" w14:textId="77777777" w:rsidR="00A66A81" w:rsidRDefault="00A66A81">
      <w:pPr>
        <w:pStyle w:val="Textoindependiente"/>
        <w:spacing w:before="5"/>
        <w:ind w:left="0"/>
        <w:jc w:val="left"/>
        <w:rPr>
          <w:sz w:val="16"/>
        </w:rPr>
      </w:pPr>
    </w:p>
    <w:p w14:paraId="3C825007" w14:textId="77777777" w:rsidR="00A66A81" w:rsidRDefault="00000000">
      <w:pPr>
        <w:pStyle w:val="Textoindependiente"/>
        <w:ind w:left="109"/>
        <w:jc w:val="left"/>
        <w:rPr>
          <w:sz w:val="20"/>
        </w:rPr>
      </w:pPr>
      <w:r>
        <w:rPr>
          <w:noProof/>
          <w:sz w:val="20"/>
        </w:rPr>
        <w:lastRenderedPageBreak/>
        <w:drawing>
          <wp:inline distT="0" distB="0" distL="0" distR="0" wp14:anchorId="29D60F30" wp14:editId="14116913">
            <wp:extent cx="6193823" cy="5049202"/>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7" cstate="print"/>
                    <a:stretch>
                      <a:fillRect/>
                    </a:stretch>
                  </pic:blipFill>
                  <pic:spPr>
                    <a:xfrm>
                      <a:off x="0" y="0"/>
                      <a:ext cx="6193823" cy="5049202"/>
                    </a:xfrm>
                    <a:prstGeom prst="rect">
                      <a:avLst/>
                    </a:prstGeom>
                  </pic:spPr>
                </pic:pic>
              </a:graphicData>
            </a:graphic>
          </wp:inline>
        </w:drawing>
      </w:r>
    </w:p>
    <w:p w14:paraId="6E4501FE" w14:textId="77777777" w:rsidR="00A66A81" w:rsidRDefault="00A66A81">
      <w:pPr>
        <w:rPr>
          <w:sz w:val="20"/>
        </w:rPr>
        <w:sectPr w:rsidR="00A66A81">
          <w:type w:val="continuous"/>
          <w:pgSz w:w="12240" w:h="15840"/>
          <w:pgMar w:top="1420" w:right="1080" w:bottom="1680" w:left="1140" w:header="708" w:footer="1490" w:gutter="0"/>
          <w:cols w:space="720"/>
        </w:sectPr>
      </w:pPr>
    </w:p>
    <w:p w14:paraId="686A6B3A" w14:textId="77777777" w:rsidR="00A66A81" w:rsidRDefault="00A66A81">
      <w:pPr>
        <w:pStyle w:val="Textoindependiente"/>
        <w:spacing w:before="6"/>
        <w:ind w:left="0"/>
        <w:jc w:val="left"/>
        <w:rPr>
          <w:sz w:val="9"/>
        </w:rPr>
      </w:pPr>
    </w:p>
    <w:p w14:paraId="55A076F2" w14:textId="77777777" w:rsidR="00A66A81" w:rsidRDefault="00A66A81">
      <w:pPr>
        <w:rPr>
          <w:sz w:val="9"/>
        </w:rPr>
        <w:sectPr w:rsidR="00A66A81">
          <w:pgSz w:w="12240" w:h="15840"/>
          <w:pgMar w:top="1920" w:right="1080" w:bottom="1680" w:left="1140" w:header="708" w:footer="1490" w:gutter="0"/>
          <w:cols w:space="720"/>
        </w:sectPr>
      </w:pPr>
    </w:p>
    <w:p w14:paraId="08000AD1" w14:textId="77777777" w:rsidR="00A66A81" w:rsidRDefault="00000000">
      <w:pPr>
        <w:pStyle w:val="Textoindependiente"/>
        <w:spacing w:before="100" w:line="259" w:lineRule="auto"/>
        <w:ind w:right="38"/>
      </w:pPr>
      <w:r>
        <w:t xml:space="preserve">Figura 1 </w:t>
      </w:r>
      <w:r>
        <w:rPr>
          <w:vertAlign w:val="superscript"/>
        </w:rPr>
        <w:t>(5)</w:t>
      </w:r>
      <w:r>
        <w:t>.</w:t>
      </w:r>
      <w:r>
        <w:rPr>
          <w:spacing w:val="-1"/>
        </w:rPr>
        <w:t xml:space="preserve"> </w:t>
      </w:r>
      <w:r>
        <w:t>De acuerdo a ello la base del manejo consiste en la suspensión inmediata de la droga, el control del sitio de sangrado y el soporte hemodinámico.</w:t>
      </w:r>
    </w:p>
    <w:p w14:paraId="04ABB2CB" w14:textId="77777777" w:rsidR="00A66A81" w:rsidRDefault="00000000">
      <w:pPr>
        <w:pStyle w:val="Textoindependiente"/>
        <w:spacing w:before="160" w:line="259" w:lineRule="auto"/>
        <w:ind w:right="44"/>
      </w:pPr>
      <w:r>
        <w:t>A continuación, detallaremos algunos reversores que se pueden utilizar en</w:t>
      </w:r>
      <w:r>
        <w:rPr>
          <w:spacing w:val="40"/>
        </w:rPr>
        <w:t xml:space="preserve"> </w:t>
      </w:r>
      <w:r>
        <w:t>caso de urgencias: Se han desarrollado tres antídotos específicos para revertir el efecto anticoagulante de los DOACs.</w:t>
      </w:r>
    </w:p>
    <w:p w14:paraId="49F6D86F" w14:textId="77777777" w:rsidR="00A66A81" w:rsidRDefault="00000000">
      <w:pPr>
        <w:pStyle w:val="Textoindependiente"/>
        <w:spacing w:before="163" w:line="259" w:lineRule="auto"/>
        <w:ind w:right="38"/>
      </w:pPr>
      <w:r>
        <w:rPr>
          <w:rFonts w:ascii="Arial" w:hAnsi="Arial"/>
          <w:b/>
        </w:rPr>
        <w:t xml:space="preserve">1.- Idarucizumab </w:t>
      </w:r>
      <w:r>
        <w:t>(Praxbind®): es un fragmento de anticuerpo monoclonal humanizado específico contra Dabigatrán. Produce una reversión completa sin efectos adversos importantes. El Idarucizumab se administra en 2 bolos endovenosos de 2,5</w:t>
      </w:r>
      <w:r>
        <w:rPr>
          <w:spacing w:val="13"/>
        </w:rPr>
        <w:t xml:space="preserve"> </w:t>
      </w:r>
      <w:r>
        <w:t>grs</w:t>
      </w:r>
      <w:r>
        <w:rPr>
          <w:spacing w:val="10"/>
        </w:rPr>
        <w:t xml:space="preserve"> </w:t>
      </w:r>
      <w:r>
        <w:t>completando</w:t>
      </w:r>
      <w:r>
        <w:rPr>
          <w:spacing w:val="9"/>
        </w:rPr>
        <w:t xml:space="preserve"> </w:t>
      </w:r>
      <w:r>
        <w:t>un</w:t>
      </w:r>
      <w:r>
        <w:rPr>
          <w:spacing w:val="10"/>
        </w:rPr>
        <w:t xml:space="preserve"> </w:t>
      </w:r>
      <w:r>
        <w:t>total</w:t>
      </w:r>
      <w:r>
        <w:rPr>
          <w:spacing w:val="10"/>
        </w:rPr>
        <w:t xml:space="preserve"> </w:t>
      </w:r>
      <w:r>
        <w:t>de</w:t>
      </w:r>
      <w:r>
        <w:rPr>
          <w:spacing w:val="14"/>
        </w:rPr>
        <w:t xml:space="preserve"> </w:t>
      </w:r>
      <w:r>
        <w:t>5g</w:t>
      </w:r>
      <w:r>
        <w:rPr>
          <w:spacing w:val="13"/>
        </w:rPr>
        <w:t xml:space="preserve"> </w:t>
      </w:r>
      <w:r>
        <w:t>en</w:t>
      </w:r>
      <w:r>
        <w:rPr>
          <w:spacing w:val="14"/>
        </w:rPr>
        <w:t xml:space="preserve"> </w:t>
      </w:r>
      <w:r>
        <w:rPr>
          <w:spacing w:val="-5"/>
        </w:rPr>
        <w:t>5-</w:t>
      </w:r>
    </w:p>
    <w:p w14:paraId="1DD9E721" w14:textId="77777777" w:rsidR="00A66A81" w:rsidRDefault="00000000">
      <w:pPr>
        <w:pStyle w:val="Textoindependiente"/>
        <w:spacing w:line="259" w:lineRule="auto"/>
        <w:ind w:right="41"/>
      </w:pPr>
      <w:r>
        <w:t xml:space="preserve">10 minutos. El porcentaje máximo de reversión del efecto anticoagulante a las 4 horas es del 100%, medido por tiempo de coagulación con Ecarina o tiempo de trombina diluida. El Idarucizumab está disponible en nuestro país </w:t>
      </w:r>
      <w:r>
        <w:rPr>
          <w:vertAlign w:val="superscript"/>
        </w:rPr>
        <w:t>(5)</w:t>
      </w:r>
      <w:r>
        <w:t>.</w:t>
      </w:r>
    </w:p>
    <w:p w14:paraId="4B84976F" w14:textId="77777777" w:rsidR="00A66A81" w:rsidRDefault="00000000">
      <w:pPr>
        <w:pStyle w:val="Textoindependiente"/>
        <w:spacing w:before="155" w:line="259" w:lineRule="auto"/>
        <w:ind w:right="38"/>
      </w:pPr>
      <w:r>
        <w:rPr>
          <w:rFonts w:ascii="Arial" w:hAnsi="Arial"/>
          <w:b/>
        </w:rPr>
        <w:t xml:space="preserve">2.- Andexanet alfa </w:t>
      </w:r>
      <w:r>
        <w:t>(Andexxa®)</w:t>
      </w:r>
      <w:r>
        <w:rPr>
          <w:rFonts w:ascii="Arial" w:hAnsi="Arial"/>
          <w:b/>
        </w:rPr>
        <w:t xml:space="preserve">: </w:t>
      </w:r>
      <w:r>
        <w:t>corresponde</w:t>
      </w:r>
      <w:r>
        <w:rPr>
          <w:spacing w:val="-6"/>
        </w:rPr>
        <w:t xml:space="preserve"> </w:t>
      </w:r>
      <w:r>
        <w:t>a</w:t>
      </w:r>
      <w:r>
        <w:rPr>
          <w:spacing w:val="-2"/>
        </w:rPr>
        <w:t xml:space="preserve"> </w:t>
      </w:r>
      <w:r>
        <w:t>un</w:t>
      </w:r>
      <w:r>
        <w:rPr>
          <w:spacing w:val="-2"/>
        </w:rPr>
        <w:t xml:space="preserve"> </w:t>
      </w:r>
      <w:r>
        <w:t>factor</w:t>
      </w:r>
      <w:r>
        <w:rPr>
          <w:spacing w:val="-5"/>
        </w:rPr>
        <w:t xml:space="preserve"> </w:t>
      </w:r>
      <w:r>
        <w:t>Xa</w:t>
      </w:r>
      <w:r>
        <w:rPr>
          <w:spacing w:val="-2"/>
        </w:rPr>
        <w:t xml:space="preserve"> </w:t>
      </w:r>
      <w:r>
        <w:t>recombinante modificado antagonista del</w:t>
      </w:r>
      <w:r>
        <w:rPr>
          <w:spacing w:val="-3"/>
        </w:rPr>
        <w:t xml:space="preserve"> </w:t>
      </w:r>
      <w:r>
        <w:t>factor</w:t>
      </w:r>
      <w:r>
        <w:rPr>
          <w:spacing w:val="-3"/>
        </w:rPr>
        <w:t xml:space="preserve"> </w:t>
      </w:r>
      <w:r>
        <w:t>Xa y de las heparinas.</w:t>
      </w:r>
      <w:r>
        <w:rPr>
          <w:spacing w:val="-2"/>
        </w:rPr>
        <w:t xml:space="preserve"> </w:t>
      </w:r>
      <w:r>
        <w:t>Es</w:t>
      </w:r>
      <w:r>
        <w:rPr>
          <w:spacing w:val="-3"/>
        </w:rPr>
        <w:t xml:space="preserve"> </w:t>
      </w:r>
      <w:r>
        <w:t>catalíticamente inactivo y no participa en la cascada de coagulación. Sin embargo, mantiene su capacidad de unir y por lo tanto de secuestrar</w:t>
      </w:r>
      <w:r>
        <w:rPr>
          <w:spacing w:val="-2"/>
        </w:rPr>
        <w:t xml:space="preserve"> </w:t>
      </w:r>
      <w:r>
        <w:t>a los inhibidores del</w:t>
      </w:r>
      <w:r>
        <w:rPr>
          <w:spacing w:val="-2"/>
        </w:rPr>
        <w:t xml:space="preserve"> </w:t>
      </w:r>
      <w:r>
        <w:t>factor</w:t>
      </w:r>
      <w:r>
        <w:rPr>
          <w:spacing w:val="-2"/>
        </w:rPr>
        <w:t xml:space="preserve"> </w:t>
      </w:r>
      <w:r>
        <w:t>Xa, impidiéndoles ejercer su efecto anticoagulante. En estudios se demostró revertir en forma rápida y dosis dependiente la actividad anti-Xa. Sin embargo, a los 15 minutos de terminado el bolo se observó un rebote, siendo necesaria una infusión de 2 horas para lograr la reversión sostenida del efecto anticoagulante. No se reportaron complicaciones trombóticas ni efectos adversos</w:t>
      </w:r>
      <w:r>
        <w:rPr>
          <w:spacing w:val="37"/>
        </w:rPr>
        <w:t xml:space="preserve"> </w:t>
      </w:r>
      <w:r>
        <w:t>graves.</w:t>
      </w:r>
      <w:r>
        <w:rPr>
          <w:spacing w:val="36"/>
        </w:rPr>
        <w:t xml:space="preserve"> </w:t>
      </w:r>
      <w:r>
        <w:t>También</w:t>
      </w:r>
      <w:r>
        <w:rPr>
          <w:spacing w:val="38"/>
        </w:rPr>
        <w:t xml:space="preserve"> </w:t>
      </w:r>
      <w:r>
        <w:t>existen</w:t>
      </w:r>
      <w:r>
        <w:rPr>
          <w:spacing w:val="38"/>
        </w:rPr>
        <w:t xml:space="preserve"> </w:t>
      </w:r>
      <w:r>
        <w:rPr>
          <w:spacing w:val="-4"/>
        </w:rPr>
        <w:t>otros</w:t>
      </w:r>
    </w:p>
    <w:p w14:paraId="38B24AE0" w14:textId="77777777" w:rsidR="00A66A81" w:rsidRDefault="00000000">
      <w:pPr>
        <w:pStyle w:val="Textoindependiente"/>
        <w:spacing w:before="100" w:line="259" w:lineRule="auto"/>
        <w:ind w:right="616"/>
      </w:pPr>
      <w:r>
        <w:br w:type="column"/>
      </w:r>
      <w:r>
        <w:t xml:space="preserve">esquemas de administración, pero en estos momentos, el Andexanet solo está disponible en Estados Unidos </w:t>
      </w:r>
      <w:r>
        <w:rPr>
          <w:vertAlign w:val="superscript"/>
        </w:rPr>
        <w:t>(5).</w:t>
      </w:r>
    </w:p>
    <w:p w14:paraId="2AEF4D24" w14:textId="77777777" w:rsidR="00A66A81" w:rsidRDefault="00000000">
      <w:pPr>
        <w:pStyle w:val="Textoindependiente"/>
        <w:spacing w:before="161" w:line="259" w:lineRule="auto"/>
        <w:ind w:right="616"/>
      </w:pPr>
      <w:r>
        <w:rPr>
          <w:rFonts w:ascii="Arial" w:hAnsi="Arial"/>
          <w:b/>
        </w:rPr>
        <w:t xml:space="preserve">3.- Ciraparantag: </w:t>
      </w:r>
      <w:r>
        <w:t>es un antídoto de amplio espectro con la capacidad de revertir el efecto anticoagulante de Heparinas, Fondaparinaux, Dabigatrán y antagonistas del factor Xa, pero no se encuentra</w:t>
      </w:r>
      <w:r>
        <w:rPr>
          <w:spacing w:val="-8"/>
        </w:rPr>
        <w:t xml:space="preserve"> </w:t>
      </w:r>
      <w:r>
        <w:t>disponible</w:t>
      </w:r>
      <w:r>
        <w:rPr>
          <w:spacing w:val="-8"/>
        </w:rPr>
        <w:t xml:space="preserve"> </w:t>
      </w:r>
      <w:r>
        <w:t>para</w:t>
      </w:r>
      <w:r>
        <w:rPr>
          <w:spacing w:val="-8"/>
        </w:rPr>
        <w:t xml:space="preserve"> </w:t>
      </w:r>
      <w:r>
        <w:t>uso</w:t>
      </w:r>
      <w:r>
        <w:rPr>
          <w:spacing w:val="-8"/>
        </w:rPr>
        <w:t xml:space="preserve"> </w:t>
      </w:r>
      <w:r>
        <w:t>clínico</w:t>
      </w:r>
      <w:r>
        <w:rPr>
          <w:spacing w:val="-3"/>
        </w:rPr>
        <w:t xml:space="preserve"> </w:t>
      </w:r>
      <w:r>
        <w:t xml:space="preserve">aún ya que está en estudio </w:t>
      </w:r>
      <w:r>
        <w:rPr>
          <w:vertAlign w:val="superscript"/>
        </w:rPr>
        <w:t>(5)</w:t>
      </w:r>
      <w:r>
        <w:t>.</w:t>
      </w:r>
    </w:p>
    <w:p w14:paraId="396F28C8" w14:textId="77777777" w:rsidR="00A66A81" w:rsidRDefault="00000000">
      <w:pPr>
        <w:pStyle w:val="Textoindependiente"/>
        <w:spacing w:before="160" w:line="259" w:lineRule="auto"/>
        <w:ind w:right="617"/>
      </w:pPr>
      <w:r>
        <w:t>Pero cuando no contamos con alguno de estos agentes podemos usar agentes hemostáticos inespecíficos que han sido estudiados, estos son los concentrados de complejos protrombínicos (CCP) y el factor</w:t>
      </w:r>
      <w:r>
        <w:rPr>
          <w:spacing w:val="19"/>
        </w:rPr>
        <w:t xml:space="preserve"> </w:t>
      </w:r>
      <w:r>
        <w:t>VII</w:t>
      </w:r>
      <w:r>
        <w:rPr>
          <w:spacing w:val="20"/>
        </w:rPr>
        <w:t xml:space="preserve"> </w:t>
      </w:r>
      <w:r>
        <w:t>activado</w:t>
      </w:r>
      <w:r>
        <w:rPr>
          <w:spacing w:val="22"/>
        </w:rPr>
        <w:t xml:space="preserve"> </w:t>
      </w:r>
      <w:r>
        <w:t>recombinante</w:t>
      </w:r>
      <w:r>
        <w:rPr>
          <w:spacing w:val="23"/>
        </w:rPr>
        <w:t xml:space="preserve"> </w:t>
      </w:r>
      <w:r>
        <w:rPr>
          <w:spacing w:val="-2"/>
        </w:rPr>
        <w:t>(rFVIIa)</w:t>
      </w:r>
    </w:p>
    <w:p w14:paraId="787C5E2A" w14:textId="77777777" w:rsidR="00A66A81" w:rsidRDefault="00000000">
      <w:pPr>
        <w:spacing w:before="43" w:line="141" w:lineRule="auto"/>
        <w:ind w:left="560"/>
      </w:pPr>
      <w:r>
        <w:rPr>
          <w:spacing w:val="-4"/>
          <w:sz w:val="14"/>
        </w:rPr>
        <w:t>(5)</w:t>
      </w:r>
      <w:r>
        <w:rPr>
          <w:spacing w:val="-4"/>
          <w:position w:val="-7"/>
        </w:rPr>
        <w:t>.</w:t>
      </w:r>
    </w:p>
    <w:p w14:paraId="56356578" w14:textId="77777777" w:rsidR="00A66A81" w:rsidRDefault="00A66A81">
      <w:pPr>
        <w:pStyle w:val="Textoindependiente"/>
        <w:spacing w:before="72"/>
        <w:ind w:left="0"/>
        <w:jc w:val="left"/>
        <w:rPr>
          <w:sz w:val="14"/>
        </w:rPr>
      </w:pPr>
    </w:p>
    <w:p w14:paraId="5982A24E" w14:textId="77777777" w:rsidR="00A66A81" w:rsidRDefault="00000000">
      <w:pPr>
        <w:pStyle w:val="Textoindependiente"/>
        <w:spacing w:before="1" w:line="259" w:lineRule="auto"/>
        <w:ind w:right="620"/>
      </w:pPr>
      <w:r>
        <w:rPr>
          <w:rFonts w:ascii="Arial" w:hAnsi="Arial"/>
          <w:b/>
        </w:rPr>
        <w:t xml:space="preserve">1.- CCP: </w:t>
      </w:r>
      <w:r>
        <w:t xml:space="preserve">son complejos liofilizados de factores de coagulación dependientes de Vitamina K. Existen 2 productos disponibles en Chile </w:t>
      </w:r>
      <w:r>
        <w:rPr>
          <w:vertAlign w:val="superscript"/>
        </w:rPr>
        <w:t>(5)</w:t>
      </w:r>
      <w:r>
        <w:t>:</w:t>
      </w:r>
    </w:p>
    <w:p w14:paraId="039971E4" w14:textId="77777777" w:rsidR="00A66A81" w:rsidRDefault="00000000">
      <w:pPr>
        <w:pStyle w:val="Textoindependiente"/>
        <w:spacing w:before="159" w:line="259" w:lineRule="auto"/>
        <w:ind w:right="615" w:firstLine="708"/>
      </w:pPr>
      <w:r>
        <w:rPr>
          <w:rFonts w:ascii="Arial" w:hAnsi="Arial"/>
          <w:b/>
        </w:rPr>
        <w:t>1.- 4F-CCP (Octaplex®):</w:t>
      </w:r>
      <w:r>
        <w:rPr>
          <w:rFonts w:ascii="Arial" w:hAnsi="Arial"/>
          <w:b/>
          <w:spacing w:val="40"/>
        </w:rPr>
        <w:t xml:space="preserve"> </w:t>
      </w:r>
      <w:r>
        <w:t>contiene 4 factores inactivados (II, VII, IX y X). donde una dosis fija de 2000 UI es la única que sido estudiada prospectivamente, es más simple y menos costosa.</w:t>
      </w:r>
    </w:p>
    <w:p w14:paraId="30B2EC5B" w14:textId="77777777" w:rsidR="00A66A81" w:rsidRDefault="00000000">
      <w:pPr>
        <w:pStyle w:val="Ttulo2"/>
        <w:tabs>
          <w:tab w:val="left" w:pos="1880"/>
          <w:tab w:val="left" w:pos="2863"/>
          <w:tab w:val="left" w:pos="4261"/>
        </w:tabs>
        <w:ind w:left="1269"/>
        <w:rPr>
          <w:rFonts w:ascii="Arial MT" w:hAnsi="Arial MT"/>
          <w:b w:val="0"/>
        </w:rPr>
      </w:pPr>
      <w:r>
        <w:rPr>
          <w:spacing w:val="-5"/>
        </w:rPr>
        <w:t>2.-</w:t>
      </w:r>
      <w:r>
        <w:tab/>
      </w:r>
      <w:r>
        <w:rPr>
          <w:spacing w:val="-4"/>
        </w:rPr>
        <w:t>CCPA</w:t>
      </w:r>
      <w:r>
        <w:tab/>
      </w:r>
      <w:r>
        <w:rPr>
          <w:spacing w:val="-2"/>
        </w:rPr>
        <w:t>(FEIBA®):</w:t>
      </w:r>
      <w:r>
        <w:tab/>
      </w:r>
      <w:r>
        <w:rPr>
          <w:rFonts w:ascii="Arial MT" w:hAnsi="Arial MT"/>
          <w:b w:val="0"/>
          <w:spacing w:val="-5"/>
        </w:rPr>
        <w:t>que</w:t>
      </w:r>
    </w:p>
    <w:p w14:paraId="5B221F32" w14:textId="77777777" w:rsidR="00A66A81" w:rsidRDefault="00000000">
      <w:pPr>
        <w:pStyle w:val="Textoindependiente"/>
        <w:spacing w:before="19" w:line="259" w:lineRule="auto"/>
        <w:ind w:right="618"/>
      </w:pPr>
      <w:r>
        <w:t>contiene una fracción de los factores en su forma activada. Los expertos recomiendan usar 50 UI/Kg de CCPA para revertir el efecto de Dabigatrán cuando no se cuente con Idarucizumab.</w:t>
      </w:r>
    </w:p>
    <w:p w14:paraId="4713AD96" w14:textId="77777777" w:rsidR="00A66A81" w:rsidRDefault="00000000">
      <w:pPr>
        <w:pStyle w:val="Textoindependiente"/>
        <w:spacing w:before="162" w:line="259" w:lineRule="auto"/>
        <w:ind w:right="615"/>
      </w:pPr>
      <w:r>
        <w:rPr>
          <w:rFonts w:ascii="Arial" w:hAnsi="Arial"/>
          <w:b/>
        </w:rPr>
        <w:t xml:space="preserve">2.- rFVIIa (NovoSeven®): </w:t>
      </w:r>
      <w:r>
        <w:t>se une al factor tisular en sitios de daño vascular induciendo</w:t>
      </w:r>
      <w:r>
        <w:rPr>
          <w:spacing w:val="-1"/>
        </w:rPr>
        <w:t xml:space="preserve"> </w:t>
      </w:r>
      <w:r>
        <w:t>la</w:t>
      </w:r>
      <w:r>
        <w:rPr>
          <w:spacing w:val="-1"/>
        </w:rPr>
        <w:t xml:space="preserve"> </w:t>
      </w:r>
      <w:r>
        <w:t>generación</w:t>
      </w:r>
      <w:r>
        <w:rPr>
          <w:spacing w:val="-1"/>
        </w:rPr>
        <w:t xml:space="preserve"> </w:t>
      </w:r>
      <w:r>
        <w:t>de</w:t>
      </w:r>
      <w:r>
        <w:rPr>
          <w:spacing w:val="-1"/>
        </w:rPr>
        <w:t xml:space="preserve"> </w:t>
      </w:r>
      <w:r>
        <w:t>trombina.</w:t>
      </w:r>
      <w:r>
        <w:rPr>
          <w:spacing w:val="-3"/>
        </w:rPr>
        <w:t xml:space="preserve"> </w:t>
      </w:r>
      <w:r>
        <w:t>La evidencia que apoya su uso de todos modos es muy escasa y no se recomienda rutinariamente para revertir</w:t>
      </w:r>
      <w:r>
        <w:rPr>
          <w:spacing w:val="40"/>
        </w:rPr>
        <w:t xml:space="preserve"> </w:t>
      </w:r>
      <w:r>
        <w:t>el efecto de los DOACs</w:t>
      </w:r>
      <w:r>
        <w:rPr>
          <w:spacing w:val="-1"/>
        </w:rPr>
        <w:t xml:space="preserve"> </w:t>
      </w:r>
      <w:r>
        <w:rPr>
          <w:vertAlign w:val="superscript"/>
        </w:rPr>
        <w:t>(5)</w:t>
      </w:r>
      <w:r>
        <w:t>.</w:t>
      </w:r>
    </w:p>
    <w:p w14:paraId="58F726F6" w14:textId="77777777" w:rsidR="00A66A81" w:rsidRDefault="00A66A81">
      <w:pPr>
        <w:spacing w:line="259" w:lineRule="auto"/>
        <w:sectPr w:rsidR="00A66A81">
          <w:type w:val="continuous"/>
          <w:pgSz w:w="12240" w:h="15840"/>
          <w:pgMar w:top="1420" w:right="1080" w:bottom="1680" w:left="1140" w:header="708" w:footer="1490" w:gutter="0"/>
          <w:cols w:num="2" w:space="720" w:equalWidth="0">
            <w:col w:w="4672" w:space="102"/>
            <w:col w:w="5246"/>
          </w:cols>
        </w:sectPr>
      </w:pPr>
    </w:p>
    <w:p w14:paraId="1C9E928C" w14:textId="77777777" w:rsidR="00A66A81" w:rsidRDefault="00A66A81">
      <w:pPr>
        <w:pStyle w:val="Textoindependiente"/>
        <w:spacing w:before="6"/>
        <w:ind w:left="0"/>
        <w:jc w:val="left"/>
        <w:rPr>
          <w:sz w:val="9"/>
        </w:rPr>
      </w:pPr>
    </w:p>
    <w:p w14:paraId="0A68BCE9" w14:textId="77777777" w:rsidR="00A66A81" w:rsidRDefault="00A66A81">
      <w:pPr>
        <w:rPr>
          <w:sz w:val="9"/>
        </w:rPr>
        <w:sectPr w:rsidR="00A66A81">
          <w:pgSz w:w="12240" w:h="15840"/>
          <w:pgMar w:top="1920" w:right="1080" w:bottom="1680" w:left="1140" w:header="708" w:footer="1490" w:gutter="0"/>
          <w:cols w:space="720"/>
        </w:sectPr>
      </w:pPr>
    </w:p>
    <w:p w14:paraId="6F23E506" w14:textId="77777777" w:rsidR="00A66A81" w:rsidRDefault="00A66A81">
      <w:pPr>
        <w:pStyle w:val="Textoindependiente"/>
        <w:spacing w:before="236"/>
        <w:ind w:left="0"/>
        <w:jc w:val="left"/>
        <w:rPr>
          <w:sz w:val="26"/>
        </w:rPr>
      </w:pPr>
    </w:p>
    <w:p w14:paraId="4F1601BA" w14:textId="77777777" w:rsidR="00A66A81" w:rsidRDefault="00000000">
      <w:pPr>
        <w:pStyle w:val="Ttulo1"/>
      </w:pPr>
      <w:r>
        <w:t>Anticoagulantes</w:t>
      </w:r>
      <w:r>
        <w:rPr>
          <w:spacing w:val="-12"/>
        </w:rPr>
        <w:t xml:space="preserve"> </w:t>
      </w:r>
      <w:r>
        <w:rPr>
          <w:spacing w:val="-2"/>
        </w:rPr>
        <w:t>Parenterales</w:t>
      </w:r>
    </w:p>
    <w:p w14:paraId="1A4D21CD" w14:textId="77777777" w:rsidR="00A66A81" w:rsidRDefault="00000000">
      <w:pPr>
        <w:pStyle w:val="Textoindependiente"/>
        <w:spacing w:before="183" w:line="259" w:lineRule="auto"/>
        <w:ind w:right="41"/>
      </w:pPr>
      <w:r>
        <w:t>En ginecología se usa regularmente la Heparina, esta sea Heparina No Fraccionada o Heparina de bajo peso molecular. Estas pueden administrarse por vía subcutánea o endovenosa.</w:t>
      </w:r>
    </w:p>
    <w:p w14:paraId="1C167829" w14:textId="77777777" w:rsidR="00A66A81" w:rsidRDefault="00000000">
      <w:pPr>
        <w:spacing w:before="158" w:line="259" w:lineRule="auto"/>
        <w:ind w:left="560" w:right="42"/>
        <w:jc w:val="both"/>
      </w:pPr>
      <w:r>
        <w:rPr>
          <w:rFonts w:ascii="Arial" w:hAnsi="Arial"/>
          <w:b/>
        </w:rPr>
        <w:t>Heparina no fraccionada (Heparina Sódica®)</w:t>
      </w:r>
      <w:r>
        <w:rPr>
          <w:rFonts w:ascii="Arial" w:hAnsi="Arial"/>
          <w:i/>
        </w:rPr>
        <w:t xml:space="preserve">. </w:t>
      </w:r>
      <w:r>
        <w:rPr>
          <w:color w:val="212121"/>
        </w:rPr>
        <w:t>Inhibe la coagulación potenciando el efecto inhibitorio de la antitrombina</w:t>
      </w:r>
      <w:r>
        <w:rPr>
          <w:color w:val="212121"/>
          <w:spacing w:val="-3"/>
        </w:rPr>
        <w:t xml:space="preserve"> </w:t>
      </w:r>
      <w:r>
        <w:rPr>
          <w:color w:val="212121"/>
        </w:rPr>
        <w:t>III</w:t>
      </w:r>
      <w:r>
        <w:rPr>
          <w:color w:val="212121"/>
          <w:spacing w:val="-5"/>
        </w:rPr>
        <w:t xml:space="preserve"> </w:t>
      </w:r>
      <w:r>
        <w:rPr>
          <w:color w:val="212121"/>
        </w:rPr>
        <w:t>sobre</w:t>
      </w:r>
      <w:r>
        <w:rPr>
          <w:color w:val="212121"/>
          <w:spacing w:val="-2"/>
        </w:rPr>
        <w:t xml:space="preserve"> </w:t>
      </w:r>
      <w:r>
        <w:rPr>
          <w:color w:val="212121"/>
        </w:rPr>
        <w:t>los</w:t>
      </w:r>
      <w:r>
        <w:rPr>
          <w:color w:val="212121"/>
          <w:spacing w:val="-3"/>
        </w:rPr>
        <w:t xml:space="preserve"> </w:t>
      </w:r>
      <w:r>
        <w:rPr>
          <w:color w:val="212121"/>
        </w:rPr>
        <w:t>factores</w:t>
      </w:r>
      <w:r>
        <w:rPr>
          <w:color w:val="212121"/>
          <w:spacing w:val="-2"/>
        </w:rPr>
        <w:t xml:space="preserve"> </w:t>
      </w:r>
      <w:r>
        <w:rPr>
          <w:color w:val="212121"/>
        </w:rPr>
        <w:t>IIa</w:t>
      </w:r>
      <w:r>
        <w:rPr>
          <w:color w:val="212121"/>
          <w:spacing w:val="-2"/>
        </w:rPr>
        <w:t xml:space="preserve"> </w:t>
      </w:r>
      <w:r>
        <w:rPr>
          <w:color w:val="212121"/>
        </w:rPr>
        <w:t>y</w:t>
      </w:r>
      <w:r>
        <w:rPr>
          <w:color w:val="212121"/>
          <w:spacing w:val="-2"/>
        </w:rPr>
        <w:t xml:space="preserve"> </w:t>
      </w:r>
      <w:r>
        <w:rPr>
          <w:color w:val="212121"/>
          <w:spacing w:val="-5"/>
        </w:rPr>
        <w:t>Xa</w:t>
      </w:r>
    </w:p>
    <w:p w14:paraId="250C89B3" w14:textId="77777777" w:rsidR="00A66A81" w:rsidRDefault="00000000">
      <w:pPr>
        <w:pStyle w:val="Textoindependiente"/>
        <w:spacing w:before="3" w:line="259" w:lineRule="auto"/>
        <w:ind w:right="38"/>
      </w:pPr>
      <w:r>
        <w:rPr>
          <w:color w:val="212121"/>
          <w:vertAlign w:val="superscript"/>
        </w:rPr>
        <w:t>(14)</w:t>
      </w:r>
      <w:r>
        <w:rPr>
          <w:color w:val="212121"/>
        </w:rPr>
        <w:t xml:space="preserve">. </w:t>
      </w:r>
      <w:r>
        <w:t>El uso de heparina aumenta significativamente el riesgo de los eventos trombóticos, en particular</w:t>
      </w:r>
      <w:r>
        <w:rPr>
          <w:spacing w:val="40"/>
        </w:rPr>
        <w:t xml:space="preserve"> </w:t>
      </w:r>
      <w:r>
        <w:t>durante el momento crítico del traslape</w:t>
      </w:r>
      <w:r>
        <w:rPr>
          <w:spacing w:val="40"/>
        </w:rPr>
        <w:t xml:space="preserve"> </w:t>
      </w:r>
      <w:r>
        <w:t>de</w:t>
      </w:r>
      <w:r>
        <w:rPr>
          <w:spacing w:val="-3"/>
        </w:rPr>
        <w:t xml:space="preserve"> </w:t>
      </w:r>
      <w:r>
        <w:t>heparina</w:t>
      </w:r>
      <w:r>
        <w:rPr>
          <w:spacing w:val="-6"/>
        </w:rPr>
        <w:t xml:space="preserve"> </w:t>
      </w:r>
      <w:r>
        <w:t>al</w:t>
      </w:r>
      <w:r>
        <w:rPr>
          <w:spacing w:val="-5"/>
        </w:rPr>
        <w:t xml:space="preserve"> </w:t>
      </w:r>
      <w:r>
        <w:t>tratamiento</w:t>
      </w:r>
      <w:r>
        <w:rPr>
          <w:spacing w:val="-3"/>
        </w:rPr>
        <w:t xml:space="preserve"> </w:t>
      </w:r>
      <w:r>
        <w:t>anticoagulante oral. Es importante no confundir la trombocitopenia benigna transitoria del inicio de la administración de heparina con la trombocitopenia inducida por heparina, que ocurre en un 3% de las pacientes. También ocurre que en la osteoporosis inducida por heparina se observa disminución del hueso</w:t>
      </w:r>
      <w:r>
        <w:rPr>
          <w:spacing w:val="40"/>
        </w:rPr>
        <w:t xml:space="preserve"> </w:t>
      </w:r>
      <w:r>
        <w:t>esponjoso por medio del descenso de su formación y aumento de su reabsorción, ya</w:t>
      </w:r>
      <w:r>
        <w:rPr>
          <w:spacing w:val="4"/>
        </w:rPr>
        <w:t xml:space="preserve"> </w:t>
      </w:r>
      <w:r>
        <w:t>que</w:t>
      </w:r>
      <w:r>
        <w:rPr>
          <w:spacing w:val="4"/>
        </w:rPr>
        <w:t xml:space="preserve"> </w:t>
      </w:r>
      <w:r>
        <w:t>el</w:t>
      </w:r>
      <w:r>
        <w:rPr>
          <w:spacing w:val="1"/>
        </w:rPr>
        <w:t xml:space="preserve"> </w:t>
      </w:r>
      <w:r>
        <w:t>tejido</w:t>
      </w:r>
      <w:r>
        <w:rPr>
          <w:spacing w:val="4"/>
        </w:rPr>
        <w:t xml:space="preserve"> </w:t>
      </w:r>
      <w:r>
        <w:t>óseo</w:t>
      </w:r>
      <w:r>
        <w:rPr>
          <w:spacing w:val="4"/>
        </w:rPr>
        <w:t xml:space="preserve"> </w:t>
      </w:r>
      <w:r>
        <w:t>absorbe</w:t>
      </w:r>
      <w:r>
        <w:rPr>
          <w:spacing w:val="4"/>
        </w:rPr>
        <w:t xml:space="preserve"> </w:t>
      </w:r>
      <w:r>
        <w:t>la</w:t>
      </w:r>
      <w:r>
        <w:rPr>
          <w:spacing w:val="4"/>
        </w:rPr>
        <w:t xml:space="preserve"> </w:t>
      </w:r>
      <w:r>
        <w:rPr>
          <w:spacing w:val="-2"/>
        </w:rPr>
        <w:t>heparina</w:t>
      </w:r>
    </w:p>
    <w:p w14:paraId="6D0B5278" w14:textId="77777777" w:rsidR="00A66A81" w:rsidRDefault="00000000">
      <w:pPr>
        <w:spacing w:before="44" w:line="144" w:lineRule="auto"/>
        <w:ind w:left="560"/>
      </w:pPr>
      <w:r>
        <w:rPr>
          <w:spacing w:val="-4"/>
          <w:sz w:val="14"/>
        </w:rPr>
        <w:t>(7)</w:t>
      </w:r>
      <w:r>
        <w:rPr>
          <w:spacing w:val="-4"/>
          <w:position w:val="-7"/>
        </w:rPr>
        <w:t>.</w:t>
      </w:r>
    </w:p>
    <w:p w14:paraId="6667B981" w14:textId="77777777" w:rsidR="00A66A81" w:rsidRDefault="00A66A81">
      <w:pPr>
        <w:pStyle w:val="Textoindependiente"/>
        <w:spacing w:before="68"/>
        <w:ind w:left="0"/>
        <w:jc w:val="left"/>
        <w:rPr>
          <w:sz w:val="14"/>
        </w:rPr>
      </w:pPr>
    </w:p>
    <w:p w14:paraId="34448A11" w14:textId="77777777" w:rsidR="00A66A81" w:rsidRDefault="00000000">
      <w:pPr>
        <w:pStyle w:val="Textoindependiente"/>
        <w:spacing w:line="259" w:lineRule="auto"/>
        <w:ind w:right="42"/>
      </w:pPr>
      <w:r>
        <w:t>Esta está contraindicada en caso de Hipersensibilidad; hemorragia activa o incremento del riesgo hemorrágico; trombocitopenia inducida por heparina o antecedentes; lesiones orgánicas susceptibles de sangrar, anestesia regional, cuando la heparina se usa</w:t>
      </w:r>
      <w:r>
        <w:rPr>
          <w:spacing w:val="40"/>
        </w:rPr>
        <w:t xml:space="preserve"> </w:t>
      </w:r>
      <w:r>
        <w:t xml:space="preserve">como tratamiento </w:t>
      </w:r>
      <w:r>
        <w:rPr>
          <w:vertAlign w:val="superscript"/>
        </w:rPr>
        <w:t>(14)</w:t>
      </w:r>
      <w:r>
        <w:t>.</w:t>
      </w:r>
    </w:p>
    <w:p w14:paraId="44717FD9" w14:textId="77777777" w:rsidR="00A66A81" w:rsidRDefault="00000000">
      <w:pPr>
        <w:spacing w:before="159" w:line="259" w:lineRule="auto"/>
        <w:ind w:left="560" w:right="41"/>
        <w:jc w:val="both"/>
      </w:pPr>
      <w:r>
        <w:rPr>
          <w:rFonts w:ascii="Arial" w:hAnsi="Arial"/>
          <w:b/>
        </w:rPr>
        <w:t xml:space="preserve">Heparinas de bajo peso molecular (Enoxaparina sódica, Clexane®). </w:t>
      </w:r>
      <w:r>
        <w:t>Son derivadas de la</w:t>
      </w:r>
      <w:r>
        <w:rPr>
          <w:spacing w:val="-3"/>
        </w:rPr>
        <w:t xml:space="preserve"> </w:t>
      </w:r>
      <w:r>
        <w:t>depolimerización</w:t>
      </w:r>
      <w:r>
        <w:rPr>
          <w:spacing w:val="-3"/>
        </w:rPr>
        <w:t xml:space="preserve"> </w:t>
      </w:r>
      <w:r>
        <w:t>química o</w:t>
      </w:r>
      <w:r>
        <w:rPr>
          <w:spacing w:val="23"/>
        </w:rPr>
        <w:t xml:space="preserve"> </w:t>
      </w:r>
      <w:r>
        <w:t>enzimática</w:t>
      </w:r>
      <w:r>
        <w:rPr>
          <w:spacing w:val="23"/>
        </w:rPr>
        <w:t xml:space="preserve"> </w:t>
      </w:r>
      <w:r>
        <w:t>de</w:t>
      </w:r>
      <w:r>
        <w:rPr>
          <w:spacing w:val="23"/>
        </w:rPr>
        <w:t xml:space="preserve"> </w:t>
      </w:r>
      <w:r>
        <w:t>preparados</w:t>
      </w:r>
      <w:r>
        <w:rPr>
          <w:spacing w:val="23"/>
        </w:rPr>
        <w:t xml:space="preserve"> </w:t>
      </w:r>
      <w:r>
        <w:t>de</w:t>
      </w:r>
      <w:r>
        <w:rPr>
          <w:spacing w:val="23"/>
        </w:rPr>
        <w:t xml:space="preserve"> </w:t>
      </w:r>
      <w:r>
        <w:rPr>
          <w:spacing w:val="-2"/>
        </w:rPr>
        <w:t>heparina</w:t>
      </w:r>
    </w:p>
    <w:p w14:paraId="51428139" w14:textId="77777777" w:rsidR="00A66A81" w:rsidRDefault="00000000">
      <w:pPr>
        <w:pStyle w:val="Textoindependiente"/>
        <w:spacing w:before="100" w:line="259" w:lineRule="auto"/>
        <w:ind w:right="616"/>
      </w:pPr>
      <w:r>
        <w:br w:type="column"/>
      </w:r>
      <w:r>
        <w:t xml:space="preserve">no fraccionada </w:t>
      </w:r>
      <w:r>
        <w:rPr>
          <w:vertAlign w:val="superscript"/>
        </w:rPr>
        <w:t>(7)</w:t>
      </w:r>
      <w:r>
        <w:t>. Inhibe la coagulación potenciando el efecto inhibitorio de la antitrombina III sobre los factores IIa y Xa. Posee elevada actividad anti-Xa y débil</w:t>
      </w:r>
      <w:r>
        <w:rPr>
          <w:spacing w:val="-2"/>
        </w:rPr>
        <w:t xml:space="preserve"> </w:t>
      </w:r>
      <w:r>
        <w:t xml:space="preserve">actividad anti-IIa </w:t>
      </w:r>
      <w:r>
        <w:rPr>
          <w:vertAlign w:val="superscript"/>
        </w:rPr>
        <w:t>(15)</w:t>
      </w:r>
      <w:r>
        <w:t>.</w:t>
      </w:r>
      <w:r>
        <w:rPr>
          <w:spacing w:val="-2"/>
        </w:rPr>
        <w:t xml:space="preserve"> </w:t>
      </w:r>
      <w:r>
        <w:t>Se administran de manera subcutánea. con una vida media de 4 a 5 horas. Se monitorizan mediante</w:t>
      </w:r>
      <w:r>
        <w:rPr>
          <w:spacing w:val="-2"/>
        </w:rPr>
        <w:t xml:space="preserve"> </w:t>
      </w:r>
      <w:r>
        <w:t>el</w:t>
      </w:r>
      <w:r>
        <w:rPr>
          <w:spacing w:val="-6"/>
        </w:rPr>
        <w:t xml:space="preserve"> </w:t>
      </w:r>
      <w:r>
        <w:t>examen</w:t>
      </w:r>
      <w:r>
        <w:rPr>
          <w:spacing w:val="-7"/>
        </w:rPr>
        <w:t xml:space="preserve"> </w:t>
      </w:r>
      <w:r>
        <w:t>que</w:t>
      </w:r>
      <w:r>
        <w:rPr>
          <w:spacing w:val="-1"/>
        </w:rPr>
        <w:t xml:space="preserve"> </w:t>
      </w:r>
      <w:r>
        <w:t>cuantifica</w:t>
      </w:r>
      <w:r>
        <w:rPr>
          <w:spacing w:val="-2"/>
        </w:rPr>
        <w:t xml:space="preserve"> </w:t>
      </w:r>
      <w:r>
        <w:t>los</w:t>
      </w:r>
      <w:r>
        <w:rPr>
          <w:spacing w:val="-2"/>
        </w:rPr>
        <w:t xml:space="preserve"> </w:t>
      </w:r>
      <w:r>
        <w:t xml:space="preserve">de niveles de antifactor Xa </w:t>
      </w:r>
      <w:r>
        <w:rPr>
          <w:vertAlign w:val="superscript"/>
        </w:rPr>
        <w:t>(7)</w:t>
      </w:r>
      <w:r>
        <w:t>.</w:t>
      </w:r>
    </w:p>
    <w:p w14:paraId="7F6435EE" w14:textId="77777777" w:rsidR="00A66A81" w:rsidRDefault="00000000">
      <w:pPr>
        <w:pStyle w:val="Textoindependiente"/>
        <w:tabs>
          <w:tab w:val="left" w:pos="2316"/>
          <w:tab w:val="left" w:pos="4383"/>
        </w:tabs>
        <w:spacing w:before="162" w:line="259" w:lineRule="auto"/>
        <w:ind w:right="615"/>
      </w:pPr>
      <w:r>
        <w:t xml:space="preserve">Dentro de las contraindicaciones esta la hipersensibilidad a la heparina o SUS </w:t>
      </w:r>
      <w:r>
        <w:rPr>
          <w:spacing w:val="-2"/>
        </w:rPr>
        <w:t>derivados,</w:t>
      </w:r>
      <w:r>
        <w:tab/>
      </w:r>
      <w:r>
        <w:rPr>
          <w:spacing w:val="-2"/>
        </w:rPr>
        <w:t>antecedentes</w:t>
      </w:r>
      <w:r>
        <w:tab/>
      </w:r>
      <w:r>
        <w:rPr>
          <w:spacing w:val="-6"/>
        </w:rPr>
        <w:t xml:space="preserve">de </w:t>
      </w:r>
      <w:r>
        <w:t>trombocitopenia inducida por heparina; sangrado</w:t>
      </w:r>
      <w:r>
        <w:rPr>
          <w:spacing w:val="-6"/>
        </w:rPr>
        <w:t xml:space="preserve"> </w:t>
      </w:r>
      <w:r>
        <w:t>activo</w:t>
      </w:r>
      <w:r>
        <w:rPr>
          <w:spacing w:val="-6"/>
        </w:rPr>
        <w:t xml:space="preserve"> </w:t>
      </w:r>
      <w:r>
        <w:t>clínicamente</w:t>
      </w:r>
      <w:r>
        <w:rPr>
          <w:spacing w:val="-6"/>
        </w:rPr>
        <w:t xml:space="preserve"> </w:t>
      </w:r>
      <w:r>
        <w:t>significativo y enfermedades de alto riesgo de hemorragia u otras como las contraindicadas en el Rivaroxabán o cuando se utiliza la enoxaparina sódica para</w:t>
      </w:r>
      <w:r>
        <w:rPr>
          <w:spacing w:val="43"/>
        </w:rPr>
        <w:t xml:space="preserve"> </w:t>
      </w:r>
      <w:r>
        <w:t>el</w:t>
      </w:r>
      <w:r>
        <w:rPr>
          <w:spacing w:val="46"/>
        </w:rPr>
        <w:t xml:space="preserve"> </w:t>
      </w:r>
      <w:r>
        <w:t>tratamiento</w:t>
      </w:r>
      <w:r>
        <w:rPr>
          <w:spacing w:val="45"/>
        </w:rPr>
        <w:t xml:space="preserve"> </w:t>
      </w:r>
      <w:r>
        <w:t>en</w:t>
      </w:r>
      <w:r>
        <w:rPr>
          <w:spacing w:val="43"/>
        </w:rPr>
        <w:t xml:space="preserve"> </w:t>
      </w:r>
      <w:r>
        <w:t>las</w:t>
      </w:r>
      <w:r>
        <w:rPr>
          <w:spacing w:val="43"/>
        </w:rPr>
        <w:t xml:space="preserve"> </w:t>
      </w:r>
      <w:r>
        <w:t>24</w:t>
      </w:r>
      <w:r>
        <w:rPr>
          <w:spacing w:val="44"/>
        </w:rPr>
        <w:t xml:space="preserve"> </w:t>
      </w:r>
      <w:r>
        <w:t>h</w:t>
      </w:r>
      <w:r>
        <w:rPr>
          <w:spacing w:val="47"/>
        </w:rPr>
        <w:t xml:space="preserve"> </w:t>
      </w:r>
      <w:r>
        <w:rPr>
          <w:spacing w:val="-2"/>
        </w:rPr>
        <w:t>previas</w:t>
      </w:r>
    </w:p>
    <w:p w14:paraId="4275DD94" w14:textId="77777777" w:rsidR="00A66A81" w:rsidRDefault="00000000">
      <w:pPr>
        <w:spacing w:before="42" w:line="141" w:lineRule="auto"/>
        <w:ind w:left="560"/>
      </w:pPr>
      <w:r>
        <w:rPr>
          <w:spacing w:val="-2"/>
          <w:sz w:val="14"/>
        </w:rPr>
        <w:t>(15)</w:t>
      </w:r>
      <w:r>
        <w:rPr>
          <w:spacing w:val="-2"/>
          <w:position w:val="-7"/>
        </w:rPr>
        <w:t>.</w:t>
      </w:r>
    </w:p>
    <w:p w14:paraId="3EC242D1" w14:textId="77777777" w:rsidR="00A66A81" w:rsidRDefault="00A66A81">
      <w:pPr>
        <w:pStyle w:val="Textoindependiente"/>
        <w:spacing w:before="67"/>
        <w:ind w:left="0"/>
        <w:jc w:val="left"/>
        <w:rPr>
          <w:sz w:val="14"/>
        </w:rPr>
      </w:pPr>
    </w:p>
    <w:p w14:paraId="3D8A33C7" w14:textId="77777777" w:rsidR="00A66A81" w:rsidRDefault="00000000">
      <w:pPr>
        <w:pStyle w:val="Ttulo1"/>
        <w:jc w:val="left"/>
      </w:pPr>
      <w:r>
        <w:rPr>
          <w:spacing w:val="-2"/>
        </w:rPr>
        <w:t>Antiplaquetarios</w:t>
      </w:r>
    </w:p>
    <w:p w14:paraId="79F129B0" w14:textId="77777777" w:rsidR="00A66A81" w:rsidRDefault="00000000">
      <w:pPr>
        <w:pStyle w:val="Textoindependiente"/>
        <w:spacing w:before="187" w:line="259" w:lineRule="auto"/>
        <w:ind w:right="614"/>
      </w:pPr>
      <w:r>
        <w:t xml:space="preserve">El uso de ácido acetilsalicílico (Aspirina) en dosis de 75 a 162 mg /día. Se recomienda adicionar al régimen en pacientes con prótesis valvular de alto riesgo y en pacientes con síndrome antifosfolípidos </w:t>
      </w:r>
      <w:r>
        <w:rPr>
          <w:vertAlign w:val="superscript"/>
        </w:rPr>
        <w:t>(7)</w:t>
      </w:r>
      <w:r>
        <w:t>.</w:t>
      </w:r>
    </w:p>
    <w:p w14:paraId="33D94152" w14:textId="77777777" w:rsidR="00A66A81" w:rsidRDefault="00A66A81">
      <w:pPr>
        <w:pStyle w:val="Textoindependiente"/>
        <w:ind w:left="0"/>
        <w:jc w:val="left"/>
      </w:pPr>
    </w:p>
    <w:p w14:paraId="30ABAE59" w14:textId="77777777" w:rsidR="00A66A81" w:rsidRDefault="00A66A81">
      <w:pPr>
        <w:pStyle w:val="Textoindependiente"/>
        <w:spacing w:before="85"/>
        <w:ind w:left="0"/>
        <w:jc w:val="left"/>
      </w:pPr>
    </w:p>
    <w:p w14:paraId="454C51B7" w14:textId="77777777" w:rsidR="00A66A81" w:rsidRDefault="00000000">
      <w:pPr>
        <w:pStyle w:val="Ttulo1"/>
        <w:spacing w:before="1"/>
        <w:jc w:val="left"/>
      </w:pPr>
      <w:r>
        <w:t>Manejo</w:t>
      </w:r>
      <w:r>
        <w:rPr>
          <w:spacing w:val="-15"/>
        </w:rPr>
        <w:t xml:space="preserve"> </w:t>
      </w:r>
      <w:r>
        <w:rPr>
          <w:spacing w:val="-2"/>
        </w:rPr>
        <w:t>Matrona</w:t>
      </w:r>
    </w:p>
    <w:p w14:paraId="1BE7BAF7" w14:textId="77777777" w:rsidR="00A66A81" w:rsidRDefault="00000000">
      <w:pPr>
        <w:pStyle w:val="Textoindependiente"/>
        <w:spacing w:before="183" w:line="259" w:lineRule="auto"/>
        <w:ind w:right="618"/>
      </w:pPr>
      <w:r>
        <w:t>Frecuentemente</w:t>
      </w:r>
      <w:r>
        <w:rPr>
          <w:spacing w:val="-5"/>
        </w:rPr>
        <w:t xml:space="preserve"> </w:t>
      </w:r>
      <w:r>
        <w:t>vamos</w:t>
      </w:r>
      <w:r>
        <w:rPr>
          <w:spacing w:val="-5"/>
        </w:rPr>
        <w:t xml:space="preserve"> </w:t>
      </w:r>
      <w:r>
        <w:t>a</w:t>
      </w:r>
      <w:r>
        <w:rPr>
          <w:spacing w:val="-5"/>
        </w:rPr>
        <w:t xml:space="preserve"> </w:t>
      </w:r>
      <w:r>
        <w:t>recibir</w:t>
      </w:r>
      <w:r>
        <w:rPr>
          <w:spacing w:val="-7"/>
        </w:rPr>
        <w:t xml:space="preserve"> </w:t>
      </w:r>
      <w:r>
        <w:t>usuarias en tratamiento TACO (Tratamiento anticoagulante oral en policlínico de especialidades). Que por lo general vendrán con las indicaciones ya reforzadas del policlínico, pero de todas maneras debemos reforzarlas.</w:t>
      </w:r>
    </w:p>
    <w:p w14:paraId="23FC5546" w14:textId="77777777" w:rsidR="00A66A81" w:rsidRDefault="00000000">
      <w:pPr>
        <w:pStyle w:val="Textoindependiente"/>
        <w:spacing w:before="160" w:line="256" w:lineRule="auto"/>
        <w:ind w:right="619"/>
      </w:pPr>
      <w:r>
        <w:t xml:space="preserve">Dentro de la labor que debemos realizar </w:t>
      </w:r>
      <w:r>
        <w:rPr>
          <w:spacing w:val="-2"/>
        </w:rPr>
        <w:t>está:</w:t>
      </w:r>
    </w:p>
    <w:p w14:paraId="2260131B" w14:textId="77777777" w:rsidR="00A66A81" w:rsidRDefault="00A66A81">
      <w:pPr>
        <w:spacing w:line="256" w:lineRule="auto"/>
        <w:sectPr w:rsidR="00A66A81">
          <w:type w:val="continuous"/>
          <w:pgSz w:w="12240" w:h="15840"/>
          <w:pgMar w:top="1420" w:right="1080" w:bottom="1680" w:left="1140" w:header="708" w:footer="1490" w:gutter="0"/>
          <w:cols w:num="2" w:space="720" w:equalWidth="0">
            <w:col w:w="4672" w:space="102"/>
            <w:col w:w="5246"/>
          </w:cols>
        </w:sectPr>
      </w:pPr>
    </w:p>
    <w:p w14:paraId="5AC9C0E2" w14:textId="77777777" w:rsidR="00A66A81" w:rsidRDefault="00A66A81">
      <w:pPr>
        <w:pStyle w:val="Textoindependiente"/>
        <w:spacing w:before="3"/>
        <w:ind w:left="0"/>
        <w:jc w:val="left"/>
        <w:rPr>
          <w:sz w:val="9"/>
        </w:rPr>
      </w:pPr>
    </w:p>
    <w:p w14:paraId="08F98249" w14:textId="77777777" w:rsidR="00A66A81" w:rsidRDefault="00A66A81">
      <w:pPr>
        <w:rPr>
          <w:sz w:val="9"/>
        </w:rPr>
        <w:sectPr w:rsidR="00A66A81">
          <w:pgSz w:w="12240" w:h="15840"/>
          <w:pgMar w:top="1920" w:right="1080" w:bottom="1680" w:left="1140" w:header="708" w:footer="1490" w:gutter="0"/>
          <w:cols w:space="720"/>
        </w:sectPr>
      </w:pPr>
    </w:p>
    <w:p w14:paraId="6707D860" w14:textId="77777777" w:rsidR="00A66A81" w:rsidRDefault="00000000">
      <w:pPr>
        <w:pStyle w:val="Prrafodelista"/>
        <w:numPr>
          <w:ilvl w:val="0"/>
          <w:numId w:val="3"/>
        </w:numPr>
        <w:tabs>
          <w:tab w:val="left" w:pos="920"/>
        </w:tabs>
        <w:spacing w:before="100" w:line="259" w:lineRule="auto"/>
        <w:ind w:right="45"/>
        <w:jc w:val="both"/>
      </w:pPr>
      <w:r>
        <w:t>Registrar el anticoagulante que está en uso</w:t>
      </w:r>
    </w:p>
    <w:p w14:paraId="3304BB02" w14:textId="77777777" w:rsidR="00A66A81" w:rsidRDefault="00000000">
      <w:pPr>
        <w:pStyle w:val="Prrafodelista"/>
        <w:numPr>
          <w:ilvl w:val="0"/>
          <w:numId w:val="3"/>
        </w:numPr>
        <w:tabs>
          <w:tab w:val="left" w:pos="920"/>
        </w:tabs>
        <w:spacing w:line="256" w:lineRule="auto"/>
        <w:ind w:right="46"/>
        <w:jc w:val="both"/>
      </w:pPr>
      <w:r>
        <w:t>Vigilar solicitar, tomar y verificar exámenes de coagulación</w:t>
      </w:r>
    </w:p>
    <w:p w14:paraId="5787174A" w14:textId="77777777" w:rsidR="00A66A81" w:rsidRDefault="00000000">
      <w:pPr>
        <w:pStyle w:val="Prrafodelista"/>
        <w:numPr>
          <w:ilvl w:val="0"/>
          <w:numId w:val="3"/>
        </w:numPr>
        <w:tabs>
          <w:tab w:val="left" w:pos="920"/>
        </w:tabs>
        <w:spacing w:before="2" w:line="259" w:lineRule="auto"/>
        <w:ind w:right="45"/>
        <w:jc w:val="both"/>
      </w:pPr>
      <w:r>
        <w:t xml:space="preserve">Solicitar evaluación médica en caso </w:t>
      </w:r>
      <w:r>
        <w:rPr>
          <w:spacing w:val="-2"/>
        </w:rPr>
        <w:t>necesario.</w:t>
      </w:r>
    </w:p>
    <w:p w14:paraId="74954A5F" w14:textId="77777777" w:rsidR="00A66A81" w:rsidRDefault="00000000">
      <w:pPr>
        <w:pStyle w:val="Prrafodelista"/>
        <w:numPr>
          <w:ilvl w:val="0"/>
          <w:numId w:val="3"/>
        </w:numPr>
        <w:tabs>
          <w:tab w:val="left" w:pos="920"/>
        </w:tabs>
        <w:spacing w:line="259" w:lineRule="auto"/>
        <w:ind w:right="38"/>
        <w:jc w:val="both"/>
      </w:pPr>
      <w:r>
        <w:t>Vigilar y/o administrar medicación anticoagulante ya sea oral, subcutánea o intravenosa según indicación médica.</w:t>
      </w:r>
    </w:p>
    <w:p w14:paraId="1E530C36" w14:textId="77777777" w:rsidR="00A66A81" w:rsidRDefault="00000000">
      <w:pPr>
        <w:pStyle w:val="Prrafodelista"/>
        <w:numPr>
          <w:ilvl w:val="0"/>
          <w:numId w:val="3"/>
        </w:numPr>
        <w:tabs>
          <w:tab w:val="left" w:pos="920"/>
          <w:tab w:val="left" w:pos="3135"/>
        </w:tabs>
        <w:spacing w:line="259" w:lineRule="auto"/>
        <w:ind w:right="44"/>
        <w:jc w:val="both"/>
      </w:pPr>
      <w:r>
        <w:rPr>
          <w:spacing w:val="-2"/>
        </w:rPr>
        <w:t>Registrar</w:t>
      </w:r>
      <w:r>
        <w:tab/>
      </w:r>
      <w:r>
        <w:rPr>
          <w:spacing w:val="-2"/>
        </w:rPr>
        <w:t xml:space="preserve">procedimientos </w:t>
      </w:r>
      <w:r>
        <w:t>relacionados</w:t>
      </w:r>
      <w:r>
        <w:rPr>
          <w:spacing w:val="-1"/>
        </w:rPr>
        <w:t xml:space="preserve"> </w:t>
      </w:r>
      <w:r>
        <w:t>a</w:t>
      </w:r>
      <w:r>
        <w:rPr>
          <w:spacing w:val="-1"/>
        </w:rPr>
        <w:t xml:space="preserve"> </w:t>
      </w:r>
      <w:r>
        <w:t>los</w:t>
      </w:r>
      <w:r>
        <w:rPr>
          <w:spacing w:val="-1"/>
        </w:rPr>
        <w:t xml:space="preserve"> </w:t>
      </w:r>
      <w:r>
        <w:t>anticoagulantes</w:t>
      </w:r>
      <w:r>
        <w:rPr>
          <w:spacing w:val="-1"/>
        </w:rPr>
        <w:t xml:space="preserve"> </w:t>
      </w:r>
      <w:r>
        <w:t>ya sean orales o parenterales.</w:t>
      </w:r>
    </w:p>
    <w:p w14:paraId="73082418" w14:textId="77777777" w:rsidR="00A66A81" w:rsidRDefault="00000000">
      <w:pPr>
        <w:pStyle w:val="Prrafodelista"/>
        <w:numPr>
          <w:ilvl w:val="0"/>
          <w:numId w:val="3"/>
        </w:numPr>
        <w:tabs>
          <w:tab w:val="left" w:pos="920"/>
        </w:tabs>
        <w:spacing w:line="259" w:lineRule="auto"/>
        <w:ind w:right="40"/>
        <w:jc w:val="both"/>
      </w:pPr>
      <w:r>
        <w:t xml:space="preserve">Tomar acción frente a una </w:t>
      </w:r>
      <w:r>
        <w:rPr>
          <w:spacing w:val="-2"/>
        </w:rPr>
        <w:t>emergencia</w:t>
      </w:r>
    </w:p>
    <w:p w14:paraId="1A5D9A91" w14:textId="77777777" w:rsidR="00A66A81" w:rsidRDefault="00A66A81">
      <w:pPr>
        <w:pStyle w:val="Textoindependiente"/>
        <w:spacing w:before="167"/>
        <w:ind w:left="0"/>
        <w:jc w:val="left"/>
      </w:pPr>
    </w:p>
    <w:p w14:paraId="13FF6B3E" w14:textId="77777777" w:rsidR="00A66A81" w:rsidRDefault="00000000">
      <w:pPr>
        <w:pStyle w:val="Ttulo1"/>
        <w:spacing w:before="1" w:line="256" w:lineRule="auto"/>
        <w:ind w:right="44"/>
      </w:pPr>
      <w:r>
        <w:t xml:space="preserve">Cuando cambiar de TACO a </w:t>
      </w:r>
      <w:r>
        <w:rPr>
          <w:spacing w:val="-2"/>
        </w:rPr>
        <w:t>parenteral</w:t>
      </w:r>
    </w:p>
    <w:p w14:paraId="48C1F6B3" w14:textId="77777777" w:rsidR="00A66A81" w:rsidRDefault="00000000">
      <w:pPr>
        <w:pStyle w:val="Textoindependiente"/>
        <w:spacing w:before="166" w:line="259" w:lineRule="auto"/>
        <w:ind w:right="38"/>
      </w:pPr>
      <w:r>
        <w:t>Ya sabemos que los anticoagulantes orales son para tratamientos de mantención a largo plazo, pero existen ciertas situaciones hospitalarias en</w:t>
      </w:r>
      <w:r>
        <w:rPr>
          <w:spacing w:val="40"/>
        </w:rPr>
        <w:t xml:space="preserve"> </w:t>
      </w:r>
      <w:r>
        <w:t>donde se debe cambiar de oral a parenteral por ejemplo en intervenciones quirúrgicas programadas que es en donde más las vamos a utilizar, embarazo, parto, lactancia o accidente cerebrovascular agudo. Cada hospital tiene su propio protocolo local o regional de tratamiento frente al cambio de oral a parenteral, pero se guían de acuerdo al siguiente esquema tipo.</w:t>
      </w:r>
    </w:p>
    <w:p w14:paraId="54220E50" w14:textId="77777777" w:rsidR="00A66A81" w:rsidRDefault="00000000">
      <w:pPr>
        <w:pStyle w:val="Textoindependiente"/>
        <w:spacing w:before="156" w:line="259" w:lineRule="auto"/>
        <w:ind w:right="41"/>
      </w:pPr>
      <w:r>
        <w:t>En los casos de intervenciones quirúrgicas programadas existen dos situaciones en las cuales tendremos Usuaria</w:t>
      </w:r>
      <w:r>
        <w:rPr>
          <w:spacing w:val="-3"/>
        </w:rPr>
        <w:t xml:space="preserve"> </w:t>
      </w:r>
      <w:r>
        <w:t>con</w:t>
      </w:r>
      <w:r>
        <w:rPr>
          <w:spacing w:val="-3"/>
        </w:rPr>
        <w:t xml:space="preserve"> </w:t>
      </w:r>
      <w:r>
        <w:t>alto</w:t>
      </w:r>
      <w:r>
        <w:rPr>
          <w:spacing w:val="-3"/>
        </w:rPr>
        <w:t xml:space="preserve"> </w:t>
      </w:r>
      <w:r>
        <w:t>riesgo</w:t>
      </w:r>
      <w:r>
        <w:rPr>
          <w:spacing w:val="-3"/>
        </w:rPr>
        <w:t xml:space="preserve"> </w:t>
      </w:r>
      <w:r>
        <w:t>tromboembólico</w:t>
      </w:r>
      <w:r>
        <w:rPr>
          <w:spacing w:val="-7"/>
        </w:rPr>
        <w:t xml:space="preserve"> </w:t>
      </w:r>
      <w:r>
        <w:t>y Usuaria de bajo riesgo tromboembólico:</w:t>
      </w:r>
    </w:p>
    <w:p w14:paraId="398BF25F" w14:textId="77777777" w:rsidR="00A66A81" w:rsidRDefault="00000000">
      <w:pPr>
        <w:pStyle w:val="Ttulo2"/>
        <w:numPr>
          <w:ilvl w:val="0"/>
          <w:numId w:val="1"/>
        </w:numPr>
        <w:tabs>
          <w:tab w:val="left" w:pos="1634"/>
        </w:tabs>
        <w:spacing w:before="162" w:line="259" w:lineRule="auto"/>
        <w:ind w:right="43" w:firstLine="708"/>
      </w:pPr>
      <w:r>
        <w:t>Pacientes</w:t>
      </w:r>
      <w:r>
        <w:rPr>
          <w:spacing w:val="80"/>
        </w:rPr>
        <w:t xml:space="preserve"> </w:t>
      </w:r>
      <w:r>
        <w:t>con</w:t>
      </w:r>
      <w:r>
        <w:rPr>
          <w:spacing w:val="80"/>
        </w:rPr>
        <w:t xml:space="preserve"> </w:t>
      </w:r>
      <w:r>
        <w:t>alto</w:t>
      </w:r>
      <w:r>
        <w:rPr>
          <w:spacing w:val="80"/>
        </w:rPr>
        <w:t xml:space="preserve"> </w:t>
      </w:r>
      <w:r>
        <w:t xml:space="preserve">riesgo </w:t>
      </w:r>
      <w:r>
        <w:rPr>
          <w:spacing w:val="-2"/>
        </w:rPr>
        <w:t>tromboembólico</w:t>
      </w:r>
    </w:p>
    <w:p w14:paraId="48DE0226" w14:textId="77777777" w:rsidR="00A66A81" w:rsidRDefault="00000000">
      <w:pPr>
        <w:pStyle w:val="Textoindependiente"/>
        <w:spacing w:before="103" w:line="259" w:lineRule="auto"/>
        <w:ind w:right="618"/>
      </w:pPr>
      <w:r>
        <w:br w:type="column"/>
      </w:r>
      <w:r>
        <w:rPr>
          <w:u w:val="single"/>
        </w:rPr>
        <w:t>Previo a la intervención quirúrgica:</w:t>
      </w:r>
      <w:r>
        <w:t xml:space="preserve"> Suspender TACO al menos 3 días antes de la cirugía en caso de Acenocumarol o 5 días antes de la intervención en caso de Warfarina. Iniciar tratamiento con Heparina de bajo peso molecular</w:t>
      </w:r>
      <w:r>
        <w:rPr>
          <w:spacing w:val="40"/>
        </w:rPr>
        <w:t xml:space="preserve"> </w:t>
      </w:r>
      <w:r>
        <w:t>(HBPM)</w:t>
      </w:r>
      <w:r>
        <w:rPr>
          <w:spacing w:val="-7"/>
        </w:rPr>
        <w:t xml:space="preserve"> </w:t>
      </w:r>
      <w:r>
        <w:t>en</w:t>
      </w:r>
      <w:r>
        <w:rPr>
          <w:spacing w:val="-5"/>
        </w:rPr>
        <w:t xml:space="preserve"> </w:t>
      </w:r>
      <w:r>
        <w:t>dosis</w:t>
      </w:r>
      <w:r>
        <w:rPr>
          <w:spacing w:val="-5"/>
        </w:rPr>
        <w:t xml:space="preserve"> </w:t>
      </w:r>
      <w:r>
        <w:t>terapéutica,</w:t>
      </w:r>
      <w:r>
        <w:rPr>
          <w:spacing w:val="-7"/>
        </w:rPr>
        <w:t xml:space="preserve"> </w:t>
      </w:r>
      <w:r>
        <w:t>la</w:t>
      </w:r>
      <w:r>
        <w:rPr>
          <w:spacing w:val="-5"/>
        </w:rPr>
        <w:t xml:space="preserve"> </w:t>
      </w:r>
      <w:r>
        <w:t>cual</w:t>
      </w:r>
      <w:r>
        <w:rPr>
          <w:spacing w:val="-7"/>
        </w:rPr>
        <w:t xml:space="preserve"> </w:t>
      </w:r>
      <w:r>
        <w:t>será suspendida 12 horas previo al procedimiento. Previamente se comprobará que la Protrombinemia se encuentre &gt;70% previo a la cirugía o el INR sea &lt; 1.2. Esta situación deberá ser consensuada de manera especial para las intervenciones de alto riesgo de sangrado post operatorio.</w:t>
      </w:r>
    </w:p>
    <w:p w14:paraId="08054B44" w14:textId="77777777" w:rsidR="00A66A81" w:rsidRDefault="00000000">
      <w:pPr>
        <w:pStyle w:val="Textoindependiente"/>
        <w:spacing w:before="159" w:line="259" w:lineRule="auto"/>
        <w:ind w:right="617"/>
      </w:pPr>
      <w:r>
        <w:rPr>
          <w:u w:val="single"/>
        </w:rPr>
        <w:t>Post intervención quirúrgica:</w:t>
      </w:r>
      <w:r>
        <w:t xml:space="preserve"> Primer día post-intervención el paciente no recibirá TACO</w:t>
      </w:r>
      <w:r>
        <w:rPr>
          <w:spacing w:val="-5"/>
        </w:rPr>
        <w:t xml:space="preserve"> </w:t>
      </w:r>
      <w:r>
        <w:t>ni</w:t>
      </w:r>
      <w:r>
        <w:rPr>
          <w:spacing w:val="-6"/>
        </w:rPr>
        <w:t xml:space="preserve"> </w:t>
      </w:r>
      <w:r>
        <w:t>heparina</w:t>
      </w:r>
      <w:r>
        <w:rPr>
          <w:spacing w:val="-4"/>
        </w:rPr>
        <w:t xml:space="preserve"> </w:t>
      </w:r>
      <w:r>
        <w:t>y</w:t>
      </w:r>
      <w:r>
        <w:rPr>
          <w:spacing w:val="-4"/>
        </w:rPr>
        <w:t xml:space="preserve"> </w:t>
      </w:r>
      <w:r>
        <w:t>se</w:t>
      </w:r>
      <w:r>
        <w:rPr>
          <w:spacing w:val="-4"/>
        </w:rPr>
        <w:t xml:space="preserve"> </w:t>
      </w:r>
      <w:r>
        <w:t>registrará</w:t>
      </w:r>
      <w:r>
        <w:rPr>
          <w:spacing w:val="-4"/>
        </w:rPr>
        <w:t xml:space="preserve"> </w:t>
      </w:r>
      <w:r>
        <w:t>valor</w:t>
      </w:r>
      <w:r>
        <w:rPr>
          <w:spacing w:val="-7"/>
        </w:rPr>
        <w:t xml:space="preserve"> </w:t>
      </w:r>
      <w:r>
        <w:t>de INR medido. Si paciente tiene Bajo Riesgo de sangrado se sugiere reiniciar anticoagulante oral a las 24 horas en esquema TACO habitual, previa revisión de exámenes. Si paciente tiene Alto Riesgo de sangrado se sugiere reiniciar HBPM en dosis terapéutica, una vez estabilizado, asociar HBPM a TACO realizándose traslape entre ambos fármacos hasta lograr un INR en rango terapéutico óptimo.</w:t>
      </w:r>
    </w:p>
    <w:p w14:paraId="4E2532EA" w14:textId="77777777" w:rsidR="00A66A81" w:rsidRDefault="00000000">
      <w:pPr>
        <w:pStyle w:val="Prrafodelista"/>
        <w:numPr>
          <w:ilvl w:val="0"/>
          <w:numId w:val="1"/>
        </w:numPr>
        <w:tabs>
          <w:tab w:val="left" w:pos="1696"/>
          <w:tab w:val="left" w:pos="2899"/>
          <w:tab w:val="left" w:pos="3379"/>
          <w:tab w:val="left" w:pos="4026"/>
        </w:tabs>
        <w:spacing w:before="160" w:line="259" w:lineRule="auto"/>
        <w:ind w:right="620" w:firstLine="708"/>
      </w:pPr>
      <w:r>
        <w:rPr>
          <w:spacing w:val="-2"/>
        </w:rPr>
        <w:t>Pacientes</w:t>
      </w:r>
      <w:r>
        <w:tab/>
      </w:r>
      <w:r>
        <w:rPr>
          <w:spacing w:val="-6"/>
        </w:rPr>
        <w:t>de</w:t>
      </w:r>
      <w:r>
        <w:tab/>
      </w:r>
      <w:r>
        <w:rPr>
          <w:spacing w:val="-4"/>
        </w:rPr>
        <w:t>bajo</w:t>
      </w:r>
      <w:r>
        <w:tab/>
      </w:r>
      <w:r>
        <w:rPr>
          <w:spacing w:val="-2"/>
        </w:rPr>
        <w:t>riesgo tromboembólico</w:t>
      </w:r>
    </w:p>
    <w:p w14:paraId="041F123A" w14:textId="77777777" w:rsidR="00A66A81" w:rsidRDefault="00000000">
      <w:pPr>
        <w:pStyle w:val="Textoindependiente"/>
        <w:spacing w:before="158" w:line="259" w:lineRule="auto"/>
        <w:ind w:right="618"/>
      </w:pPr>
      <w:r>
        <w:rPr>
          <w:u w:val="single"/>
        </w:rPr>
        <w:t>Previo a la intervención quirúrgica:</w:t>
      </w:r>
      <w:r>
        <w:t xml:space="preserve"> Proceder de la misma forma expresada para pacientes con alto riesgo </w:t>
      </w:r>
      <w:r>
        <w:rPr>
          <w:spacing w:val="-2"/>
        </w:rPr>
        <w:t>tromboembólico.</w:t>
      </w:r>
    </w:p>
    <w:p w14:paraId="370AFF08" w14:textId="77777777" w:rsidR="00A66A81" w:rsidRDefault="00000000">
      <w:pPr>
        <w:pStyle w:val="Textoindependiente"/>
        <w:spacing w:before="159" w:line="259" w:lineRule="auto"/>
        <w:ind w:right="617"/>
      </w:pPr>
      <w:r>
        <w:rPr>
          <w:u w:val="single"/>
        </w:rPr>
        <w:t>Post intervención quirúrgica:</w:t>
      </w:r>
      <w:r>
        <w:t xml:space="preserve"> Si paciente tiene Bajo Riesgo de sangrado se</w:t>
      </w:r>
      <w:r>
        <w:rPr>
          <w:spacing w:val="40"/>
        </w:rPr>
        <w:t xml:space="preserve"> </w:t>
      </w:r>
      <w:r>
        <w:t>sugiere</w:t>
      </w:r>
      <w:r>
        <w:rPr>
          <w:spacing w:val="8"/>
        </w:rPr>
        <w:t xml:space="preserve"> </w:t>
      </w:r>
      <w:r>
        <w:t>reiniciar</w:t>
      </w:r>
      <w:r>
        <w:rPr>
          <w:spacing w:val="8"/>
        </w:rPr>
        <w:t xml:space="preserve"> </w:t>
      </w:r>
      <w:r>
        <w:t>anticoagulante</w:t>
      </w:r>
      <w:r>
        <w:rPr>
          <w:spacing w:val="10"/>
        </w:rPr>
        <w:t xml:space="preserve"> </w:t>
      </w:r>
      <w:r>
        <w:t>oral</w:t>
      </w:r>
      <w:r>
        <w:rPr>
          <w:spacing w:val="8"/>
        </w:rPr>
        <w:t xml:space="preserve"> </w:t>
      </w:r>
      <w:r>
        <w:t>a</w:t>
      </w:r>
      <w:r>
        <w:rPr>
          <w:spacing w:val="11"/>
        </w:rPr>
        <w:t xml:space="preserve"> </w:t>
      </w:r>
      <w:r>
        <w:rPr>
          <w:spacing w:val="-5"/>
        </w:rPr>
        <w:t>las</w:t>
      </w:r>
    </w:p>
    <w:p w14:paraId="3BE6A615" w14:textId="77777777" w:rsidR="00A66A81" w:rsidRDefault="00000000">
      <w:pPr>
        <w:pStyle w:val="Textoindependiente"/>
        <w:spacing w:before="1" w:line="259" w:lineRule="auto"/>
        <w:ind w:right="619"/>
      </w:pPr>
      <w:r>
        <w:t>24 horas en esquema TACO habitual, previa revisión de exámenes. Si paciente tiene</w:t>
      </w:r>
      <w:r>
        <w:rPr>
          <w:spacing w:val="5"/>
        </w:rPr>
        <w:t xml:space="preserve"> </w:t>
      </w:r>
      <w:r>
        <w:t>Alto</w:t>
      </w:r>
      <w:r>
        <w:rPr>
          <w:spacing w:val="5"/>
        </w:rPr>
        <w:t xml:space="preserve"> </w:t>
      </w:r>
      <w:r>
        <w:t>Riesgo</w:t>
      </w:r>
      <w:r>
        <w:rPr>
          <w:spacing w:val="5"/>
        </w:rPr>
        <w:t xml:space="preserve"> </w:t>
      </w:r>
      <w:r>
        <w:t>de</w:t>
      </w:r>
      <w:r>
        <w:rPr>
          <w:spacing w:val="5"/>
        </w:rPr>
        <w:t xml:space="preserve"> </w:t>
      </w:r>
      <w:r>
        <w:t>sangrado</w:t>
      </w:r>
      <w:r>
        <w:rPr>
          <w:spacing w:val="2"/>
        </w:rPr>
        <w:t xml:space="preserve"> </w:t>
      </w:r>
      <w:r>
        <w:t>se</w:t>
      </w:r>
      <w:r>
        <w:rPr>
          <w:spacing w:val="1"/>
        </w:rPr>
        <w:t xml:space="preserve"> </w:t>
      </w:r>
      <w:r>
        <w:rPr>
          <w:spacing w:val="-2"/>
        </w:rPr>
        <w:t>sugiere</w:t>
      </w:r>
    </w:p>
    <w:p w14:paraId="1A7E34BF" w14:textId="77777777" w:rsidR="00A66A81" w:rsidRDefault="00A66A81">
      <w:pPr>
        <w:spacing w:line="259" w:lineRule="auto"/>
        <w:sectPr w:rsidR="00A66A81">
          <w:type w:val="continuous"/>
          <w:pgSz w:w="12240" w:h="15840"/>
          <w:pgMar w:top="1420" w:right="1080" w:bottom="1680" w:left="1140" w:header="708" w:footer="1490" w:gutter="0"/>
          <w:cols w:num="2" w:space="720" w:equalWidth="0">
            <w:col w:w="4671" w:space="103"/>
            <w:col w:w="5246"/>
          </w:cols>
        </w:sectPr>
      </w:pPr>
    </w:p>
    <w:p w14:paraId="76BA30F1" w14:textId="77777777" w:rsidR="00A66A81" w:rsidRDefault="00A66A81">
      <w:pPr>
        <w:pStyle w:val="Textoindependiente"/>
        <w:spacing w:before="2"/>
        <w:ind w:left="0"/>
        <w:jc w:val="left"/>
        <w:rPr>
          <w:sz w:val="10"/>
        </w:rPr>
      </w:pPr>
    </w:p>
    <w:p w14:paraId="5FF4782C" w14:textId="77777777" w:rsidR="00A66A81" w:rsidRDefault="00A66A81">
      <w:pPr>
        <w:rPr>
          <w:sz w:val="10"/>
        </w:rPr>
        <w:sectPr w:rsidR="00A66A81">
          <w:pgSz w:w="12240" w:h="15840"/>
          <w:pgMar w:top="1920" w:right="1080" w:bottom="1680" w:left="1140" w:header="708" w:footer="1490" w:gutter="0"/>
          <w:cols w:space="720"/>
        </w:sectPr>
      </w:pPr>
    </w:p>
    <w:p w14:paraId="40B31C1B" w14:textId="77777777" w:rsidR="00A66A81" w:rsidRDefault="00000000">
      <w:pPr>
        <w:pStyle w:val="Textoindependiente"/>
        <w:spacing w:before="93"/>
      </w:pPr>
      <w:r>
        <w:t>reiniciar</w:t>
      </w:r>
      <w:r>
        <w:rPr>
          <w:spacing w:val="7"/>
        </w:rPr>
        <w:t xml:space="preserve"> </w:t>
      </w:r>
      <w:r>
        <w:t>HBPM</w:t>
      </w:r>
      <w:r>
        <w:rPr>
          <w:spacing w:val="10"/>
        </w:rPr>
        <w:t xml:space="preserve"> </w:t>
      </w:r>
      <w:r>
        <w:t>en</w:t>
      </w:r>
      <w:r>
        <w:rPr>
          <w:spacing w:val="10"/>
        </w:rPr>
        <w:t xml:space="preserve"> </w:t>
      </w:r>
      <w:r>
        <w:t>dosis</w:t>
      </w:r>
      <w:r>
        <w:rPr>
          <w:spacing w:val="11"/>
        </w:rPr>
        <w:t xml:space="preserve"> </w:t>
      </w:r>
      <w:r>
        <w:t>profiláctica</w:t>
      </w:r>
      <w:r>
        <w:rPr>
          <w:spacing w:val="10"/>
        </w:rPr>
        <w:t xml:space="preserve"> </w:t>
      </w:r>
      <w:r>
        <w:t>a</w:t>
      </w:r>
      <w:r>
        <w:rPr>
          <w:spacing w:val="11"/>
        </w:rPr>
        <w:t xml:space="preserve"> </w:t>
      </w:r>
      <w:r>
        <w:rPr>
          <w:spacing w:val="-5"/>
        </w:rPr>
        <w:t>las</w:t>
      </w:r>
    </w:p>
    <w:p w14:paraId="324A15C5" w14:textId="77777777" w:rsidR="00A66A81" w:rsidRDefault="00000000">
      <w:pPr>
        <w:pStyle w:val="Textoindependiente"/>
        <w:spacing w:before="23" w:line="259" w:lineRule="auto"/>
        <w:ind w:right="39"/>
      </w:pPr>
      <w:r>
        <w:t>24 horas, una vez estabilizado, asociar HBPM a TACO realizándose traslape entre ambos fármacos hasta lograr un INR en rango terapéutico óptimo.</w:t>
      </w:r>
    </w:p>
    <w:p w14:paraId="5F31F7DD" w14:textId="77777777" w:rsidR="00A66A81" w:rsidRDefault="00A66A81">
      <w:pPr>
        <w:pStyle w:val="Textoindependiente"/>
        <w:ind w:left="0"/>
        <w:jc w:val="left"/>
      </w:pPr>
    </w:p>
    <w:p w14:paraId="1AFEB633" w14:textId="77777777" w:rsidR="00A66A81" w:rsidRDefault="00A66A81">
      <w:pPr>
        <w:pStyle w:val="Textoindependiente"/>
        <w:spacing w:before="84"/>
        <w:ind w:left="0"/>
        <w:jc w:val="left"/>
      </w:pPr>
    </w:p>
    <w:p w14:paraId="38A07EFF" w14:textId="77777777" w:rsidR="00A66A81" w:rsidRDefault="00000000">
      <w:pPr>
        <w:pStyle w:val="Ttulo1"/>
        <w:jc w:val="left"/>
      </w:pPr>
      <w:r>
        <w:rPr>
          <w:spacing w:val="-2"/>
        </w:rPr>
        <w:t>Conclusión</w:t>
      </w:r>
    </w:p>
    <w:p w14:paraId="0034C685" w14:textId="77777777" w:rsidR="00A66A81" w:rsidRDefault="00000000">
      <w:pPr>
        <w:pStyle w:val="Textoindependiente"/>
        <w:spacing w:before="183" w:line="259" w:lineRule="auto"/>
        <w:ind w:right="39"/>
      </w:pPr>
      <w:r>
        <w:t>Como pudimos ver el uso de los anticoagulantes más que saber administrarlo, hay que saber cómo manejarlo, ya que su uso correcto necesita de una vigilancia constante de los factores de coagulación, del estado del paciente y del periodo en que se encuentra de su hospitalización. Ya que esto determinará si su postoperatorio cursa sin incidentes, o se transforma en una larga y traumática hospitalización.</w:t>
      </w:r>
    </w:p>
    <w:p w14:paraId="03B0938B" w14:textId="77777777" w:rsidR="00A66A81" w:rsidRDefault="00A66A81">
      <w:pPr>
        <w:pStyle w:val="Textoindependiente"/>
        <w:ind w:left="0"/>
        <w:jc w:val="left"/>
      </w:pPr>
    </w:p>
    <w:p w14:paraId="2818E9F4" w14:textId="77777777" w:rsidR="00A66A81" w:rsidRDefault="00A66A81">
      <w:pPr>
        <w:pStyle w:val="Textoindependiente"/>
        <w:spacing w:before="88"/>
        <w:ind w:left="0"/>
        <w:jc w:val="left"/>
      </w:pPr>
    </w:p>
    <w:p w14:paraId="5ED40F2A" w14:textId="77777777" w:rsidR="00A66A81" w:rsidRDefault="00000000">
      <w:pPr>
        <w:pStyle w:val="Ttulo1"/>
        <w:jc w:val="left"/>
      </w:pPr>
      <w:r>
        <w:rPr>
          <w:spacing w:val="-2"/>
        </w:rPr>
        <w:t>Bibliografía</w:t>
      </w:r>
    </w:p>
    <w:p w14:paraId="0856A9E5" w14:textId="77777777" w:rsidR="00A66A81" w:rsidRDefault="00000000">
      <w:pPr>
        <w:pStyle w:val="Prrafodelista"/>
        <w:numPr>
          <w:ilvl w:val="0"/>
          <w:numId w:val="2"/>
        </w:numPr>
        <w:tabs>
          <w:tab w:val="left" w:pos="1050"/>
          <w:tab w:val="left" w:pos="3051"/>
        </w:tabs>
        <w:spacing w:before="182" w:line="259" w:lineRule="auto"/>
        <w:ind w:right="39" w:firstLine="60"/>
        <w:jc w:val="both"/>
      </w:pPr>
      <w:r>
        <w:t xml:space="preserve">Bellanides, A.; Galetovic, Beatriz; Pilquinao, Ana; Juineo, Jimena; </w:t>
      </w:r>
      <w:r>
        <w:rPr>
          <w:spacing w:val="-2"/>
        </w:rPr>
        <w:t>“PROTOCOLO</w:t>
      </w:r>
      <w:r>
        <w:tab/>
      </w:r>
      <w:r>
        <w:rPr>
          <w:spacing w:val="-2"/>
        </w:rPr>
        <w:t xml:space="preserve">TRATAMIENTO </w:t>
      </w:r>
      <w:r>
        <w:t>ANTICOAGULANTE</w:t>
      </w:r>
      <w:r>
        <w:rPr>
          <w:spacing w:val="75"/>
        </w:rPr>
        <w:t xml:space="preserve">   </w:t>
      </w:r>
      <w:r>
        <w:t>ORAL”,</w:t>
      </w:r>
      <w:r>
        <w:rPr>
          <w:spacing w:val="74"/>
        </w:rPr>
        <w:t xml:space="preserve">   </w:t>
      </w:r>
      <w:r>
        <w:rPr>
          <w:spacing w:val="-4"/>
        </w:rPr>
        <w:t>Guía</w:t>
      </w:r>
    </w:p>
    <w:p w14:paraId="7FC07A13" w14:textId="77777777" w:rsidR="00A66A81" w:rsidRDefault="00000000">
      <w:pPr>
        <w:pStyle w:val="Textoindependiente"/>
        <w:tabs>
          <w:tab w:val="left" w:pos="1555"/>
          <w:tab w:val="left" w:pos="1595"/>
          <w:tab w:val="left" w:pos="2134"/>
          <w:tab w:val="left" w:pos="2390"/>
          <w:tab w:val="left" w:pos="2596"/>
          <w:tab w:val="left" w:pos="3318"/>
          <w:tab w:val="left" w:pos="3493"/>
          <w:tab w:val="left" w:pos="4061"/>
          <w:tab w:val="left" w:pos="4319"/>
          <w:tab w:val="left" w:pos="4381"/>
        </w:tabs>
        <w:spacing w:line="259" w:lineRule="auto"/>
        <w:ind w:right="38"/>
        <w:jc w:val="left"/>
      </w:pPr>
      <w:r>
        <w:rPr>
          <w:spacing w:val="-2"/>
        </w:rPr>
        <w:t>Clínica</w:t>
      </w:r>
      <w:r>
        <w:tab/>
      </w:r>
      <w:r>
        <w:rPr>
          <w:spacing w:val="-2"/>
        </w:rPr>
        <w:t>local,</w:t>
      </w:r>
      <w:r>
        <w:tab/>
      </w:r>
      <w:r>
        <w:tab/>
      </w:r>
      <w:r>
        <w:rPr>
          <w:spacing w:val="-2"/>
        </w:rPr>
        <w:t>Servicio</w:t>
      </w:r>
      <w:r>
        <w:tab/>
      </w:r>
      <w:r>
        <w:tab/>
      </w:r>
      <w:r>
        <w:rPr>
          <w:spacing w:val="-6"/>
        </w:rPr>
        <w:t>de</w:t>
      </w:r>
      <w:r>
        <w:tab/>
      </w:r>
      <w:r>
        <w:rPr>
          <w:spacing w:val="-4"/>
        </w:rPr>
        <w:t xml:space="preserve">Salud </w:t>
      </w:r>
      <w:r>
        <w:rPr>
          <w:spacing w:val="-2"/>
        </w:rPr>
        <w:t>Magallanes,</w:t>
      </w:r>
      <w:r>
        <w:tab/>
      </w:r>
      <w:r>
        <w:rPr>
          <w:spacing w:val="-2"/>
        </w:rPr>
        <w:t>Hospital</w:t>
      </w:r>
      <w:r>
        <w:tab/>
      </w:r>
      <w:r>
        <w:rPr>
          <w:spacing w:val="-2"/>
        </w:rPr>
        <w:t>Clínico</w:t>
      </w:r>
      <w:r>
        <w:tab/>
      </w:r>
      <w:r>
        <w:tab/>
      </w:r>
      <w:r>
        <w:tab/>
      </w:r>
      <w:r>
        <w:rPr>
          <w:spacing w:val="-6"/>
        </w:rPr>
        <w:t xml:space="preserve">de </w:t>
      </w:r>
      <w:r>
        <w:t>Magallanes,</w:t>
      </w:r>
      <w:r>
        <w:rPr>
          <w:spacing w:val="40"/>
        </w:rPr>
        <w:t xml:space="preserve"> </w:t>
      </w:r>
      <w:r>
        <w:t>Enero</w:t>
      </w:r>
      <w:r>
        <w:rPr>
          <w:spacing w:val="40"/>
        </w:rPr>
        <w:t xml:space="preserve"> </w:t>
      </w:r>
      <w:r>
        <w:t>2018,</w:t>
      </w:r>
      <w:r>
        <w:rPr>
          <w:spacing w:val="40"/>
        </w:rPr>
        <w:t xml:space="preserve"> </w:t>
      </w:r>
      <w:r>
        <w:t>[citado</w:t>
      </w:r>
      <w:r>
        <w:rPr>
          <w:spacing w:val="40"/>
        </w:rPr>
        <w:t xml:space="preserve"> </w:t>
      </w:r>
      <w:r>
        <w:t xml:space="preserve">2020 </w:t>
      </w:r>
      <w:r>
        <w:rPr>
          <w:spacing w:val="-4"/>
        </w:rPr>
        <w:t>Abr</w:t>
      </w:r>
      <w:r>
        <w:tab/>
      </w:r>
      <w:r>
        <w:tab/>
      </w:r>
      <w:r>
        <w:rPr>
          <w:spacing w:val="-4"/>
        </w:rPr>
        <w:t>24]</w:t>
      </w:r>
      <w:r>
        <w:tab/>
      </w:r>
      <w:r>
        <w:tab/>
      </w:r>
      <w:r>
        <w:tab/>
      </w:r>
      <w:r>
        <w:rPr>
          <w:spacing w:val="-2"/>
        </w:rPr>
        <w:t>Disponible</w:t>
      </w:r>
      <w:r>
        <w:tab/>
      </w:r>
      <w:r>
        <w:tab/>
      </w:r>
      <w:r>
        <w:rPr>
          <w:spacing w:val="-4"/>
        </w:rPr>
        <w:t xml:space="preserve">en: </w:t>
      </w:r>
      <w:hyperlink r:id="rId18">
        <w:r>
          <w:rPr>
            <w:color w:val="0462C1"/>
            <w:spacing w:val="-2"/>
            <w:u w:val="single" w:color="0462C1"/>
          </w:rPr>
          <w:t>http://hospitalclinicomagallanes.cl/downlo</w:t>
        </w:r>
      </w:hyperlink>
      <w:r>
        <w:rPr>
          <w:color w:val="0462C1"/>
          <w:spacing w:val="-2"/>
        </w:rPr>
        <w:t xml:space="preserve"> </w:t>
      </w:r>
      <w:hyperlink r:id="rId19">
        <w:r>
          <w:rPr>
            <w:color w:val="0462C1"/>
            <w:spacing w:val="-2"/>
            <w:u w:val="single" w:color="0462C1"/>
          </w:rPr>
          <w:t>ad/protocolo-tratamiento-anticoagulante-</w:t>
        </w:r>
      </w:hyperlink>
      <w:r>
        <w:rPr>
          <w:color w:val="0462C1"/>
          <w:spacing w:val="-2"/>
        </w:rPr>
        <w:t xml:space="preserve"> </w:t>
      </w:r>
      <w:hyperlink r:id="rId20">
        <w:r>
          <w:rPr>
            <w:color w:val="0462C1"/>
            <w:spacing w:val="-2"/>
            <w:u w:val="single" w:color="0462C1"/>
          </w:rPr>
          <w:t>oral/</w:t>
        </w:r>
      </w:hyperlink>
    </w:p>
    <w:p w14:paraId="16181A79" w14:textId="77777777" w:rsidR="00A66A81" w:rsidRDefault="00000000">
      <w:pPr>
        <w:pStyle w:val="Prrafodelista"/>
        <w:numPr>
          <w:ilvl w:val="0"/>
          <w:numId w:val="2"/>
        </w:numPr>
        <w:tabs>
          <w:tab w:val="left" w:pos="1102"/>
        </w:tabs>
        <w:spacing w:before="160" w:line="259" w:lineRule="auto"/>
        <w:ind w:right="38" w:firstLine="0"/>
        <w:jc w:val="both"/>
      </w:pPr>
      <w:r>
        <w:t>Trejo, Carlos. “Anticoagulantes: Farmacología, mecanismos de acción y usos clínicos”. Servicio de Medicina Interna, Hospital Base de Osorno. Artículo de Actualización. Cuad. Cir. 2004;</w:t>
      </w:r>
      <w:r>
        <w:rPr>
          <w:spacing w:val="77"/>
        </w:rPr>
        <w:t xml:space="preserve"> </w:t>
      </w:r>
      <w:r>
        <w:t>18:</w:t>
      </w:r>
      <w:r>
        <w:rPr>
          <w:spacing w:val="73"/>
        </w:rPr>
        <w:t xml:space="preserve"> </w:t>
      </w:r>
      <w:r>
        <w:t>83-90</w:t>
      </w:r>
      <w:r>
        <w:rPr>
          <w:spacing w:val="50"/>
          <w:w w:val="150"/>
        </w:rPr>
        <w:t xml:space="preserve"> </w:t>
      </w:r>
      <w:r>
        <w:t>[citado</w:t>
      </w:r>
      <w:r>
        <w:rPr>
          <w:spacing w:val="50"/>
          <w:w w:val="150"/>
        </w:rPr>
        <w:t xml:space="preserve"> </w:t>
      </w:r>
      <w:r>
        <w:t>2020</w:t>
      </w:r>
      <w:r>
        <w:rPr>
          <w:spacing w:val="76"/>
        </w:rPr>
        <w:t xml:space="preserve"> </w:t>
      </w:r>
      <w:r>
        <w:t>Abr</w:t>
      </w:r>
      <w:r>
        <w:rPr>
          <w:spacing w:val="74"/>
        </w:rPr>
        <w:t xml:space="preserve"> </w:t>
      </w:r>
      <w:r>
        <w:rPr>
          <w:spacing w:val="-5"/>
        </w:rPr>
        <w:t>29]</w:t>
      </w:r>
    </w:p>
    <w:p w14:paraId="35BC5944" w14:textId="77777777" w:rsidR="00A66A81" w:rsidRDefault="00000000">
      <w:pPr>
        <w:pStyle w:val="Textoindependiente"/>
        <w:spacing w:line="261" w:lineRule="auto"/>
        <w:jc w:val="left"/>
      </w:pPr>
      <w:hyperlink r:id="rId21">
        <w:r>
          <w:rPr>
            <w:color w:val="0462C1"/>
            <w:spacing w:val="-2"/>
            <w:u w:val="single" w:color="0462C1"/>
          </w:rPr>
          <w:t>http://mingaonline.uach.cl/pdf/cuadcir/v18</w:t>
        </w:r>
      </w:hyperlink>
      <w:r>
        <w:rPr>
          <w:color w:val="0462C1"/>
          <w:spacing w:val="-2"/>
        </w:rPr>
        <w:t xml:space="preserve"> </w:t>
      </w:r>
      <w:hyperlink r:id="rId22">
        <w:r>
          <w:rPr>
            <w:color w:val="0462C1"/>
            <w:spacing w:val="-2"/>
            <w:u w:val="single" w:color="0462C1"/>
          </w:rPr>
          <w:t>n1/art14.pdf</w:t>
        </w:r>
      </w:hyperlink>
    </w:p>
    <w:p w14:paraId="15B96038" w14:textId="77777777" w:rsidR="00A66A81" w:rsidRDefault="00000000">
      <w:pPr>
        <w:pStyle w:val="Prrafodelista"/>
        <w:numPr>
          <w:ilvl w:val="0"/>
          <w:numId w:val="2"/>
        </w:numPr>
        <w:tabs>
          <w:tab w:val="left" w:pos="1077"/>
          <w:tab w:val="left" w:pos="1535"/>
          <w:tab w:val="left" w:pos="1619"/>
          <w:tab w:val="left" w:pos="1927"/>
          <w:tab w:val="left" w:pos="2163"/>
          <w:tab w:val="left" w:pos="2786"/>
          <w:tab w:val="left" w:pos="2998"/>
          <w:tab w:val="left" w:pos="3082"/>
          <w:tab w:val="left" w:pos="3521"/>
          <w:tab w:val="left" w:pos="3610"/>
          <w:tab w:val="left" w:pos="3837"/>
          <w:tab w:val="left" w:pos="3981"/>
          <w:tab w:val="left" w:pos="4381"/>
        </w:tabs>
        <w:spacing w:before="93" w:line="259" w:lineRule="auto"/>
        <w:ind w:right="616" w:firstLine="0"/>
      </w:pPr>
      <w:r>
        <w:br w:type="column"/>
      </w:r>
      <w:r>
        <w:rPr>
          <w:spacing w:val="-2"/>
        </w:rPr>
        <w:t>Durán</w:t>
      </w:r>
      <w:r>
        <w:tab/>
      </w:r>
      <w:r>
        <w:rPr>
          <w:spacing w:val="-2"/>
        </w:rPr>
        <w:t>Parrondo</w:t>
      </w:r>
      <w:r>
        <w:tab/>
      </w:r>
      <w:r>
        <w:tab/>
      </w:r>
      <w:r>
        <w:rPr>
          <w:spacing w:val="-4"/>
        </w:rPr>
        <w:t>C.,</w:t>
      </w:r>
      <w:r>
        <w:tab/>
      </w:r>
      <w:r>
        <w:tab/>
      </w:r>
      <w:r>
        <w:rPr>
          <w:spacing w:val="-2"/>
        </w:rPr>
        <w:t xml:space="preserve">Rodríguez </w:t>
      </w:r>
      <w:r>
        <w:t>Moreno</w:t>
      </w:r>
      <w:r>
        <w:rPr>
          <w:spacing w:val="80"/>
        </w:rPr>
        <w:t xml:space="preserve"> </w:t>
      </w:r>
      <w:r>
        <w:t>C.,</w:t>
      </w:r>
      <w:r>
        <w:rPr>
          <w:spacing w:val="80"/>
        </w:rPr>
        <w:t xml:space="preserve"> </w:t>
      </w:r>
      <w:r>
        <w:t>Tato</w:t>
      </w:r>
      <w:r>
        <w:rPr>
          <w:spacing w:val="80"/>
        </w:rPr>
        <w:t xml:space="preserve"> </w:t>
      </w:r>
      <w:r>
        <w:t>Herrero</w:t>
      </w:r>
      <w:r>
        <w:rPr>
          <w:spacing w:val="80"/>
        </w:rPr>
        <w:t xml:space="preserve"> </w:t>
      </w:r>
      <w:r>
        <w:t>F.,</w:t>
      </w:r>
      <w:r>
        <w:rPr>
          <w:spacing w:val="80"/>
        </w:rPr>
        <w:t xml:space="preserve"> </w:t>
      </w:r>
      <w:r>
        <w:t xml:space="preserve">Alonso </w:t>
      </w:r>
      <w:r>
        <w:rPr>
          <w:spacing w:val="-2"/>
        </w:rPr>
        <w:t>Vence</w:t>
      </w:r>
      <w:r>
        <w:tab/>
      </w:r>
      <w:r>
        <w:rPr>
          <w:spacing w:val="-4"/>
        </w:rPr>
        <w:t>N.,</w:t>
      </w:r>
      <w:r>
        <w:tab/>
      </w:r>
      <w:r>
        <w:tab/>
      </w:r>
      <w:r>
        <w:rPr>
          <w:spacing w:val="-4"/>
        </w:rPr>
        <w:t>Lado</w:t>
      </w:r>
      <w:r>
        <w:tab/>
      </w:r>
      <w:r>
        <w:tab/>
      </w:r>
      <w:r>
        <w:rPr>
          <w:spacing w:val="-4"/>
        </w:rPr>
        <w:t>Lado</w:t>
      </w:r>
      <w:r>
        <w:tab/>
      </w:r>
      <w:r>
        <w:tab/>
      </w:r>
      <w:r>
        <w:tab/>
      </w:r>
      <w:r>
        <w:rPr>
          <w:spacing w:val="-6"/>
        </w:rPr>
        <w:t>F.</w:t>
      </w:r>
      <w:r>
        <w:tab/>
      </w:r>
      <w:r>
        <w:rPr>
          <w:spacing w:val="-4"/>
        </w:rPr>
        <w:t xml:space="preserve">L.. </w:t>
      </w:r>
      <w:r>
        <w:t>Anticoagulación</w:t>
      </w:r>
      <w:r>
        <w:rPr>
          <w:spacing w:val="40"/>
        </w:rPr>
        <w:t xml:space="preserve"> </w:t>
      </w:r>
      <w:r>
        <w:t>oral.</w:t>
      </w:r>
      <w:r>
        <w:rPr>
          <w:spacing w:val="40"/>
        </w:rPr>
        <w:t xml:space="preserve"> </w:t>
      </w:r>
      <w:r>
        <w:t>An.</w:t>
      </w:r>
      <w:r>
        <w:rPr>
          <w:spacing w:val="40"/>
        </w:rPr>
        <w:t xml:space="preserve"> </w:t>
      </w:r>
      <w:r>
        <w:t>Med.</w:t>
      </w:r>
      <w:r>
        <w:rPr>
          <w:spacing w:val="40"/>
        </w:rPr>
        <w:t xml:space="preserve"> </w:t>
      </w:r>
      <w:r>
        <w:t xml:space="preserve">Interna </w:t>
      </w:r>
      <w:r>
        <w:rPr>
          <w:spacing w:val="-2"/>
        </w:rPr>
        <w:t>(Madrid)</w:t>
      </w:r>
      <w:r>
        <w:tab/>
      </w:r>
      <w:r>
        <w:tab/>
      </w:r>
      <w:r>
        <w:rPr>
          <w:spacing w:val="-2"/>
        </w:rPr>
        <w:t>[Internet].</w:t>
      </w:r>
      <w:r>
        <w:tab/>
      </w:r>
      <w:r>
        <w:rPr>
          <w:spacing w:val="-4"/>
        </w:rPr>
        <w:t>2003</w:t>
      </w:r>
      <w:r>
        <w:tab/>
      </w:r>
      <w:r>
        <w:rPr>
          <w:spacing w:val="-4"/>
        </w:rPr>
        <w:t>jul</w:t>
      </w:r>
      <w:r>
        <w:tab/>
      </w:r>
      <w:r>
        <w:tab/>
      </w:r>
      <w:r>
        <w:rPr>
          <w:spacing w:val="-2"/>
        </w:rPr>
        <w:t xml:space="preserve">[citado </w:t>
      </w:r>
      <w:r>
        <w:t>2020</w:t>
      </w:r>
      <w:r>
        <w:rPr>
          <w:spacing w:val="-2"/>
        </w:rPr>
        <w:t xml:space="preserve"> </w:t>
      </w:r>
      <w:r>
        <w:t>Abr</w:t>
      </w:r>
      <w:r>
        <w:rPr>
          <w:spacing w:val="-6"/>
        </w:rPr>
        <w:t xml:space="preserve"> </w:t>
      </w:r>
      <w:r>
        <w:t>29];</w:t>
      </w:r>
      <w:r>
        <w:rPr>
          <w:spacing w:val="80"/>
        </w:rPr>
        <w:t xml:space="preserve"> </w:t>
      </w:r>
      <w:r>
        <w:t>20(7):</w:t>
      </w:r>
      <w:r>
        <w:rPr>
          <w:spacing w:val="80"/>
        </w:rPr>
        <w:t xml:space="preserve"> </w:t>
      </w:r>
      <w:r>
        <w:t>49-56.</w:t>
      </w:r>
      <w:r>
        <w:rPr>
          <w:spacing w:val="80"/>
        </w:rPr>
        <w:t xml:space="preserve"> </w:t>
      </w:r>
      <w:r>
        <w:t xml:space="preserve">Disponible </w:t>
      </w:r>
      <w:r>
        <w:rPr>
          <w:spacing w:val="-4"/>
        </w:rPr>
        <w:t xml:space="preserve">en: </w:t>
      </w:r>
      <w:hyperlink r:id="rId23">
        <w:r>
          <w:rPr>
            <w:color w:val="0462C1"/>
            <w:spacing w:val="-2"/>
            <w:u w:val="single" w:color="0462C1"/>
          </w:rPr>
          <w:t>http://scielo.isciii.es/scielo.php?script=sci</w:t>
        </w:r>
      </w:hyperlink>
    </w:p>
    <w:p w14:paraId="03AD0802" w14:textId="77777777" w:rsidR="00A66A81" w:rsidRDefault="00000000">
      <w:pPr>
        <w:pStyle w:val="Textoindependiente"/>
        <w:spacing w:line="261" w:lineRule="auto"/>
        <w:jc w:val="left"/>
      </w:pPr>
      <w:hyperlink r:id="rId24">
        <w:r>
          <w:rPr>
            <w:color w:val="0462C1"/>
            <w:spacing w:val="-2"/>
            <w:u w:val="single" w:color="0462C1"/>
          </w:rPr>
          <w:t>_arttext&amp;pid=S0212-</w:t>
        </w:r>
      </w:hyperlink>
      <w:r>
        <w:rPr>
          <w:color w:val="0462C1"/>
          <w:spacing w:val="-2"/>
        </w:rPr>
        <w:t xml:space="preserve"> </w:t>
      </w:r>
      <w:hyperlink r:id="rId25">
        <w:r>
          <w:rPr>
            <w:color w:val="0462C1"/>
            <w:spacing w:val="-2"/>
            <w:u w:val="single" w:color="0462C1"/>
          </w:rPr>
          <w:t>71992003000700010&amp;lng=es</w:t>
        </w:r>
      </w:hyperlink>
      <w:r>
        <w:rPr>
          <w:spacing w:val="-2"/>
        </w:rPr>
        <w:t>.</w:t>
      </w:r>
    </w:p>
    <w:p w14:paraId="2018E907" w14:textId="77777777" w:rsidR="00A66A81" w:rsidRDefault="00000000">
      <w:pPr>
        <w:pStyle w:val="Prrafodelista"/>
        <w:numPr>
          <w:ilvl w:val="0"/>
          <w:numId w:val="2"/>
        </w:numPr>
        <w:tabs>
          <w:tab w:val="left" w:pos="926"/>
        </w:tabs>
        <w:spacing w:before="156" w:line="259" w:lineRule="auto"/>
        <w:ind w:right="613" w:firstLine="0"/>
        <w:jc w:val="both"/>
      </w:pPr>
      <w:r>
        <w:t>Berkovits Alejandro, Aizman Andrés, Zúñiga Pamela, Pereira Jaime, Mezzano Diego. Nuevos anticoagulantes orales. Rev.</w:t>
      </w:r>
      <w:r>
        <w:rPr>
          <w:spacing w:val="40"/>
        </w:rPr>
        <w:t xml:space="preserve"> </w:t>
      </w:r>
      <w:r>
        <w:t>méd.</w:t>
      </w:r>
      <w:r>
        <w:rPr>
          <w:spacing w:val="40"/>
        </w:rPr>
        <w:t xml:space="preserve"> </w:t>
      </w:r>
      <w:r>
        <w:t>Chile</w:t>
      </w:r>
      <w:r>
        <w:rPr>
          <w:spacing w:val="-1"/>
        </w:rPr>
        <w:t xml:space="preserve"> </w:t>
      </w:r>
      <w:r>
        <w:t>[Internet].</w:t>
      </w:r>
      <w:r>
        <w:rPr>
          <w:spacing w:val="40"/>
        </w:rPr>
        <w:t xml:space="preserve"> </w:t>
      </w:r>
      <w:r>
        <w:t>2011</w:t>
      </w:r>
      <w:r>
        <w:rPr>
          <w:spacing w:val="-5"/>
        </w:rPr>
        <w:t xml:space="preserve"> </w:t>
      </w:r>
      <w:r>
        <w:t>oct [citado</w:t>
      </w:r>
      <w:r>
        <w:rPr>
          <w:spacing w:val="-1"/>
        </w:rPr>
        <w:t xml:space="preserve"> </w:t>
      </w:r>
      <w:r>
        <w:t>2020</w:t>
      </w:r>
      <w:r>
        <w:rPr>
          <w:spacing w:val="-2"/>
        </w:rPr>
        <w:t xml:space="preserve"> </w:t>
      </w:r>
      <w:r>
        <w:t>Abr</w:t>
      </w:r>
      <w:r>
        <w:rPr>
          <w:spacing w:val="-4"/>
        </w:rPr>
        <w:t xml:space="preserve"> </w:t>
      </w:r>
      <w:r>
        <w:t>29];</w:t>
      </w:r>
      <w:r>
        <w:rPr>
          <w:spacing w:val="65"/>
          <w:w w:val="150"/>
        </w:rPr>
        <w:t xml:space="preserve">  </w:t>
      </w:r>
      <w:r>
        <w:t>139(10):</w:t>
      </w:r>
      <w:r>
        <w:rPr>
          <w:spacing w:val="65"/>
          <w:w w:val="150"/>
        </w:rPr>
        <w:t xml:space="preserve">  </w:t>
      </w:r>
      <w:r>
        <w:rPr>
          <w:spacing w:val="-2"/>
        </w:rPr>
        <w:t>1347-</w:t>
      </w:r>
    </w:p>
    <w:p w14:paraId="76B08323" w14:textId="77777777" w:rsidR="00A66A81" w:rsidRDefault="00000000">
      <w:pPr>
        <w:pStyle w:val="Textoindependiente"/>
        <w:tabs>
          <w:tab w:val="left" w:pos="2200"/>
          <w:tab w:val="left" w:pos="4319"/>
        </w:tabs>
        <w:spacing w:line="259" w:lineRule="auto"/>
        <w:ind w:right="616"/>
        <w:jc w:val="left"/>
      </w:pPr>
      <w:r>
        <w:rPr>
          <w:spacing w:val="-2"/>
        </w:rPr>
        <w:t>1355.</w:t>
      </w:r>
      <w:r>
        <w:tab/>
      </w:r>
      <w:r>
        <w:rPr>
          <w:spacing w:val="-2"/>
        </w:rPr>
        <w:t>Disponible</w:t>
      </w:r>
      <w:r>
        <w:tab/>
      </w:r>
      <w:r>
        <w:rPr>
          <w:spacing w:val="-4"/>
        </w:rPr>
        <w:t xml:space="preserve">en: </w:t>
      </w:r>
      <w:r>
        <w:rPr>
          <w:spacing w:val="-2"/>
        </w:rPr>
        <w:t>https://scielo.conicyt.cl/scielo.php?script= sci_arttext&amp;pid=S0034- 98872011001000016&amp;lng=es.</w:t>
      </w:r>
    </w:p>
    <w:p w14:paraId="6CA3CE7F" w14:textId="77777777" w:rsidR="00A66A81" w:rsidRDefault="00000000">
      <w:pPr>
        <w:pStyle w:val="Textoindependiente"/>
        <w:spacing w:line="259" w:lineRule="auto"/>
        <w:jc w:val="left"/>
      </w:pPr>
      <w:hyperlink r:id="rId26">
        <w:r>
          <w:rPr>
            <w:color w:val="0462C1"/>
            <w:spacing w:val="-2"/>
            <w:u w:val="single" w:color="0462C1"/>
          </w:rPr>
          <w:t>http://dx.doi.org/10.4067/S0034-</w:t>
        </w:r>
      </w:hyperlink>
      <w:r>
        <w:rPr>
          <w:color w:val="0462C1"/>
          <w:spacing w:val="-2"/>
        </w:rPr>
        <w:t xml:space="preserve"> </w:t>
      </w:r>
      <w:hyperlink r:id="rId27">
        <w:r>
          <w:rPr>
            <w:color w:val="0462C1"/>
            <w:spacing w:val="-2"/>
            <w:u w:val="single" w:color="0462C1"/>
          </w:rPr>
          <w:t>98872011001000016</w:t>
        </w:r>
      </w:hyperlink>
      <w:r>
        <w:rPr>
          <w:spacing w:val="-2"/>
        </w:rPr>
        <w:t>.</w:t>
      </w:r>
    </w:p>
    <w:p w14:paraId="6335D6D8" w14:textId="77777777" w:rsidR="00A66A81" w:rsidRDefault="00000000">
      <w:pPr>
        <w:pStyle w:val="Prrafodelista"/>
        <w:numPr>
          <w:ilvl w:val="0"/>
          <w:numId w:val="2"/>
        </w:numPr>
        <w:tabs>
          <w:tab w:val="left" w:pos="974"/>
          <w:tab w:val="left" w:pos="2476"/>
        </w:tabs>
        <w:spacing w:before="159" w:line="259" w:lineRule="auto"/>
        <w:ind w:right="613" w:firstLine="0"/>
        <w:jc w:val="both"/>
      </w:pPr>
      <w:r>
        <w:t>Valenzuela A., Aizman A., (2020). Reversión de los anticoagulantes orales de acción directa.</w:t>
      </w:r>
      <w:r>
        <w:rPr>
          <w:spacing w:val="-3"/>
        </w:rPr>
        <w:t xml:space="preserve"> </w:t>
      </w:r>
      <w:r>
        <w:rPr>
          <w:rFonts w:ascii="Arial" w:hAnsi="Arial"/>
          <w:i/>
        </w:rPr>
        <w:t>Revista Chilena de Medicina Intensiva, 34(2)</w:t>
      </w:r>
      <w:r>
        <w:t>. Recuperado</w:t>
      </w:r>
      <w:r>
        <w:rPr>
          <w:spacing w:val="80"/>
        </w:rPr>
        <w:t xml:space="preserve"> </w:t>
      </w:r>
      <w:r>
        <w:rPr>
          <w:spacing w:val="-6"/>
        </w:rPr>
        <w:t>de</w:t>
      </w:r>
      <w:r>
        <w:tab/>
      </w:r>
      <w:hyperlink r:id="rId28">
        <w:r>
          <w:rPr>
            <w:color w:val="0462C1"/>
          </w:rPr>
          <w:tab/>
        </w:r>
        <w:r>
          <w:rPr>
            <w:color w:val="0462C1"/>
            <w:spacing w:val="-2"/>
            <w:u w:val="single" w:color="0462C1"/>
          </w:rPr>
          <w:t>https://www.medicina-</w:t>
        </w:r>
      </w:hyperlink>
      <w:r>
        <w:rPr>
          <w:color w:val="0462C1"/>
          <w:spacing w:val="-2"/>
        </w:rPr>
        <w:t xml:space="preserve"> </w:t>
      </w:r>
      <w:hyperlink r:id="rId29">
        <w:r>
          <w:rPr>
            <w:color w:val="0462C1"/>
            <w:spacing w:val="-2"/>
            <w:u w:val="single" w:color="0462C1"/>
          </w:rPr>
          <w:t>intensiva.cl/revista/articulo.php?id=10</w:t>
        </w:r>
      </w:hyperlink>
    </w:p>
    <w:p w14:paraId="23800E49" w14:textId="77777777" w:rsidR="00A66A81" w:rsidRDefault="00000000">
      <w:pPr>
        <w:pStyle w:val="Prrafodelista"/>
        <w:numPr>
          <w:ilvl w:val="0"/>
          <w:numId w:val="2"/>
        </w:numPr>
        <w:tabs>
          <w:tab w:val="left" w:pos="1151"/>
          <w:tab w:val="left" w:pos="1979"/>
          <w:tab w:val="left" w:pos="2610"/>
          <w:tab w:val="left" w:pos="3146"/>
        </w:tabs>
        <w:spacing w:before="157" w:line="259" w:lineRule="auto"/>
        <w:ind w:right="616" w:firstLine="0"/>
      </w:pPr>
      <w:r>
        <w:rPr>
          <w:spacing w:val="-4"/>
        </w:rPr>
        <w:t>Pino,</w:t>
      </w:r>
      <w:r>
        <w:tab/>
      </w:r>
      <w:r>
        <w:rPr>
          <w:spacing w:val="-2"/>
        </w:rPr>
        <w:t>Roberto,</w:t>
      </w:r>
      <w:r>
        <w:tab/>
      </w:r>
      <w:r>
        <w:rPr>
          <w:spacing w:val="-2"/>
        </w:rPr>
        <w:t>“PROTOCOLO TRATAMIENTO</w:t>
      </w:r>
      <w:r>
        <w:tab/>
      </w:r>
      <w:r>
        <w:rPr>
          <w:spacing w:val="-2"/>
        </w:rPr>
        <w:t>ANTICOAGULANTE</w:t>
      </w:r>
    </w:p>
    <w:p w14:paraId="02B0DCFE" w14:textId="77777777" w:rsidR="00A66A81" w:rsidRDefault="00000000">
      <w:pPr>
        <w:pStyle w:val="Textoindependiente"/>
        <w:tabs>
          <w:tab w:val="left" w:pos="1637"/>
          <w:tab w:val="left" w:pos="2218"/>
          <w:tab w:val="left" w:pos="2617"/>
          <w:tab w:val="left" w:pos="2726"/>
          <w:tab w:val="left" w:pos="3737"/>
          <w:tab w:val="left" w:pos="4078"/>
          <w:tab w:val="left" w:pos="4124"/>
          <w:tab w:val="left" w:pos="4319"/>
        </w:tabs>
        <w:spacing w:before="1" w:line="259" w:lineRule="auto"/>
        <w:ind w:right="615"/>
        <w:jc w:val="left"/>
      </w:pPr>
      <w:r>
        <w:t>ORAL</w:t>
      </w:r>
      <w:r>
        <w:rPr>
          <w:spacing w:val="40"/>
        </w:rPr>
        <w:t xml:space="preserve"> </w:t>
      </w:r>
      <w:r>
        <w:t>EN</w:t>
      </w:r>
      <w:r>
        <w:rPr>
          <w:spacing w:val="40"/>
        </w:rPr>
        <w:t xml:space="preserve"> </w:t>
      </w:r>
      <w:r>
        <w:t>HRLBO”,</w:t>
      </w:r>
      <w:r>
        <w:rPr>
          <w:spacing w:val="40"/>
        </w:rPr>
        <w:t xml:space="preserve"> </w:t>
      </w:r>
      <w:r>
        <w:t>Guía</w:t>
      </w:r>
      <w:r>
        <w:rPr>
          <w:spacing w:val="40"/>
        </w:rPr>
        <w:t xml:space="preserve"> </w:t>
      </w:r>
      <w:r>
        <w:t>Clínica</w:t>
      </w:r>
      <w:r>
        <w:rPr>
          <w:spacing w:val="40"/>
        </w:rPr>
        <w:t xml:space="preserve"> </w:t>
      </w:r>
      <w:r>
        <w:t xml:space="preserve">local, </w:t>
      </w:r>
      <w:r>
        <w:rPr>
          <w:spacing w:val="-2"/>
        </w:rPr>
        <w:t>Departamento</w:t>
      </w:r>
      <w:r>
        <w:tab/>
      </w:r>
      <w:r>
        <w:rPr>
          <w:spacing w:val="-6"/>
        </w:rPr>
        <w:t>de</w:t>
      </w:r>
      <w:r>
        <w:tab/>
      </w:r>
      <w:r>
        <w:tab/>
      </w:r>
      <w:r>
        <w:rPr>
          <w:spacing w:val="-2"/>
        </w:rPr>
        <w:t>Calidad</w:t>
      </w:r>
      <w:r>
        <w:tab/>
      </w:r>
      <w:r>
        <w:rPr>
          <w:spacing w:val="-10"/>
        </w:rPr>
        <w:t>e</w:t>
      </w:r>
      <w:r>
        <w:tab/>
      </w:r>
      <w:r>
        <w:tab/>
      </w:r>
      <w:r>
        <w:rPr>
          <w:spacing w:val="-4"/>
        </w:rPr>
        <w:t xml:space="preserve">IAAS </w:t>
      </w:r>
      <w:r>
        <w:t>Hospital</w:t>
      </w:r>
      <w:r>
        <w:rPr>
          <w:spacing w:val="80"/>
        </w:rPr>
        <w:t xml:space="preserve"> </w:t>
      </w:r>
      <w:r>
        <w:t>Regional</w:t>
      </w:r>
      <w:r>
        <w:rPr>
          <w:spacing w:val="80"/>
        </w:rPr>
        <w:t xml:space="preserve"> </w:t>
      </w:r>
      <w:r>
        <w:t>Libertador</w:t>
      </w:r>
      <w:r>
        <w:rPr>
          <w:spacing w:val="80"/>
        </w:rPr>
        <w:t xml:space="preserve"> </w:t>
      </w:r>
      <w:r>
        <w:t>Bernardo O´Higgins,</w:t>
      </w:r>
      <w:r>
        <w:rPr>
          <w:spacing w:val="40"/>
        </w:rPr>
        <w:t xml:space="preserve"> </w:t>
      </w:r>
      <w:r>
        <w:t>Enero</w:t>
      </w:r>
      <w:r>
        <w:rPr>
          <w:spacing w:val="80"/>
        </w:rPr>
        <w:t xml:space="preserve"> </w:t>
      </w:r>
      <w:r>
        <w:t>2018,</w:t>
      </w:r>
      <w:r>
        <w:rPr>
          <w:spacing w:val="80"/>
        </w:rPr>
        <w:t xml:space="preserve"> </w:t>
      </w:r>
      <w:r>
        <w:t>[citado</w:t>
      </w:r>
      <w:r>
        <w:tab/>
      </w:r>
      <w:r>
        <w:rPr>
          <w:spacing w:val="-4"/>
        </w:rPr>
        <w:t>2020 Abr</w:t>
      </w:r>
      <w:r>
        <w:tab/>
      </w:r>
      <w:r>
        <w:rPr>
          <w:spacing w:val="-4"/>
        </w:rPr>
        <w:t>24]</w:t>
      </w:r>
      <w:r>
        <w:tab/>
      </w:r>
      <w:r>
        <w:tab/>
      </w:r>
      <w:r>
        <w:rPr>
          <w:spacing w:val="-2"/>
        </w:rPr>
        <w:t>Disponible</w:t>
      </w:r>
      <w:r>
        <w:tab/>
      </w:r>
      <w:r>
        <w:tab/>
      </w:r>
      <w:r>
        <w:tab/>
      </w:r>
      <w:r>
        <w:tab/>
      </w:r>
      <w:r>
        <w:rPr>
          <w:spacing w:val="-4"/>
        </w:rPr>
        <w:t xml:space="preserve">en: </w:t>
      </w:r>
      <w:hyperlink r:id="rId30">
        <w:r>
          <w:rPr>
            <w:color w:val="0462C1"/>
            <w:spacing w:val="-2"/>
            <w:u w:val="single" w:color="0462C1"/>
          </w:rPr>
          <w:t>file:///C:/Users/tiern/Downloads/GCL%20</w:t>
        </w:r>
      </w:hyperlink>
      <w:r>
        <w:rPr>
          <w:color w:val="0462C1"/>
          <w:spacing w:val="-2"/>
        </w:rPr>
        <w:t xml:space="preserve"> </w:t>
      </w:r>
      <w:hyperlink r:id="rId31">
        <w:r>
          <w:rPr>
            <w:color w:val="0462C1"/>
            <w:spacing w:val="-2"/>
            <w:u w:val="single" w:color="0462C1"/>
          </w:rPr>
          <w:t>1.13%20-</w:t>
        </w:r>
      </w:hyperlink>
    </w:p>
    <w:p w14:paraId="561AA0EA" w14:textId="77777777" w:rsidR="00A66A81" w:rsidRDefault="00000000">
      <w:pPr>
        <w:pStyle w:val="Textoindependiente"/>
        <w:spacing w:line="249" w:lineRule="exact"/>
        <w:jc w:val="left"/>
      </w:pPr>
      <w:hyperlink r:id="rId32">
        <w:r>
          <w:rPr>
            <w:color w:val="0462C1"/>
            <w:spacing w:val="-2"/>
            <w:u w:val="single" w:color="0462C1"/>
          </w:rPr>
          <w:t>%20Protocolo%20TACO%202018%20V1</w:t>
        </w:r>
      </w:hyperlink>
    </w:p>
    <w:p w14:paraId="569C0408" w14:textId="77777777" w:rsidR="00A66A81" w:rsidRDefault="00000000">
      <w:pPr>
        <w:pStyle w:val="Textoindependiente"/>
        <w:spacing w:before="23"/>
        <w:jc w:val="left"/>
      </w:pPr>
      <w:hyperlink r:id="rId33">
        <w:r>
          <w:rPr>
            <w:color w:val="0462C1"/>
            <w:spacing w:val="-4"/>
            <w:u w:val="single" w:color="0462C1"/>
          </w:rPr>
          <w:t>.pdf</w:t>
        </w:r>
      </w:hyperlink>
    </w:p>
    <w:p w14:paraId="3A537B47" w14:textId="77777777" w:rsidR="00A66A81" w:rsidRDefault="00000000">
      <w:pPr>
        <w:pStyle w:val="Prrafodelista"/>
        <w:numPr>
          <w:ilvl w:val="0"/>
          <w:numId w:val="2"/>
        </w:numPr>
        <w:tabs>
          <w:tab w:val="left" w:pos="893"/>
        </w:tabs>
        <w:spacing w:before="180" w:line="259" w:lineRule="auto"/>
        <w:ind w:right="618" w:firstLine="0"/>
        <w:jc w:val="both"/>
      </w:pPr>
      <w:r>
        <w:t>Salinas P Hugo, Naranjo D Benjamín, Retamales M Beatriz, Adauy E Arlette, Lara</w:t>
      </w:r>
      <w:r>
        <w:rPr>
          <w:spacing w:val="18"/>
        </w:rPr>
        <w:t xml:space="preserve"> </w:t>
      </w:r>
      <w:r>
        <w:t>F</w:t>
      </w:r>
      <w:r>
        <w:rPr>
          <w:spacing w:val="14"/>
        </w:rPr>
        <w:t xml:space="preserve"> </w:t>
      </w:r>
      <w:r>
        <w:t>Carolina.</w:t>
      </w:r>
      <w:r>
        <w:rPr>
          <w:spacing w:val="16"/>
        </w:rPr>
        <w:t xml:space="preserve"> </w:t>
      </w:r>
      <w:r>
        <w:t>ANTICOAGULACIÓN</w:t>
      </w:r>
      <w:r>
        <w:rPr>
          <w:spacing w:val="14"/>
        </w:rPr>
        <w:t xml:space="preserve"> </w:t>
      </w:r>
      <w:r>
        <w:rPr>
          <w:spacing w:val="-10"/>
        </w:rPr>
        <w:t>Y</w:t>
      </w:r>
    </w:p>
    <w:p w14:paraId="2FAD1A80" w14:textId="77777777" w:rsidR="00A66A81" w:rsidRDefault="00A66A81">
      <w:pPr>
        <w:spacing w:line="259" w:lineRule="auto"/>
        <w:jc w:val="both"/>
        <w:sectPr w:rsidR="00A66A81">
          <w:type w:val="continuous"/>
          <w:pgSz w:w="12240" w:h="15840"/>
          <w:pgMar w:top="1420" w:right="1080" w:bottom="1680" w:left="1140" w:header="708" w:footer="1490" w:gutter="0"/>
          <w:cols w:num="2" w:space="720" w:equalWidth="0">
            <w:col w:w="4670" w:space="104"/>
            <w:col w:w="5246"/>
          </w:cols>
        </w:sectPr>
      </w:pPr>
    </w:p>
    <w:p w14:paraId="1EDE73D3" w14:textId="77777777" w:rsidR="00A66A81" w:rsidRDefault="00A66A81">
      <w:pPr>
        <w:pStyle w:val="Textoindependiente"/>
        <w:spacing w:before="2"/>
        <w:ind w:left="0"/>
        <w:jc w:val="left"/>
        <w:rPr>
          <w:sz w:val="10"/>
        </w:rPr>
      </w:pPr>
    </w:p>
    <w:p w14:paraId="570E1887" w14:textId="77777777" w:rsidR="00A66A81" w:rsidRDefault="00A66A81">
      <w:pPr>
        <w:rPr>
          <w:sz w:val="10"/>
        </w:rPr>
        <w:sectPr w:rsidR="00A66A81">
          <w:pgSz w:w="12240" w:h="15840"/>
          <w:pgMar w:top="1920" w:right="1080" w:bottom="1680" w:left="1140" w:header="708" w:footer="1490" w:gutter="0"/>
          <w:cols w:space="720"/>
        </w:sectPr>
      </w:pPr>
    </w:p>
    <w:p w14:paraId="52CFD9B2" w14:textId="77777777" w:rsidR="00A66A81" w:rsidRDefault="00000000">
      <w:pPr>
        <w:pStyle w:val="Textoindependiente"/>
        <w:spacing w:before="93" w:line="261" w:lineRule="auto"/>
        <w:ind w:right="42"/>
        <w:jc w:val="left"/>
      </w:pPr>
      <w:r>
        <w:t>EMBARAZO.</w:t>
      </w:r>
      <w:r>
        <w:rPr>
          <w:spacing w:val="40"/>
        </w:rPr>
        <w:t xml:space="preserve"> </w:t>
      </w:r>
      <w:r>
        <w:t>Rev.</w:t>
      </w:r>
      <w:r>
        <w:rPr>
          <w:spacing w:val="40"/>
        </w:rPr>
        <w:t xml:space="preserve"> </w:t>
      </w:r>
      <w:r>
        <w:t>chil.</w:t>
      </w:r>
      <w:r>
        <w:rPr>
          <w:spacing w:val="40"/>
        </w:rPr>
        <w:t xml:space="preserve"> </w:t>
      </w:r>
      <w:r>
        <w:t>obstet.</w:t>
      </w:r>
      <w:r>
        <w:rPr>
          <w:spacing w:val="40"/>
        </w:rPr>
        <w:t xml:space="preserve"> </w:t>
      </w:r>
      <w:r>
        <w:t>ginecol. [Internet].</w:t>
      </w:r>
      <w:r>
        <w:rPr>
          <w:spacing w:val="73"/>
          <w:w w:val="150"/>
        </w:rPr>
        <w:t xml:space="preserve"> </w:t>
      </w:r>
      <w:r>
        <w:t>2006</w:t>
      </w:r>
      <w:r>
        <w:rPr>
          <w:spacing w:val="77"/>
          <w:w w:val="150"/>
        </w:rPr>
        <w:t xml:space="preserve"> </w:t>
      </w:r>
      <w:r>
        <w:t>[citado</w:t>
      </w:r>
      <w:r>
        <w:rPr>
          <w:spacing w:val="73"/>
          <w:w w:val="150"/>
        </w:rPr>
        <w:t xml:space="preserve"> </w:t>
      </w:r>
      <w:r>
        <w:t>2020</w:t>
      </w:r>
      <w:r>
        <w:rPr>
          <w:spacing w:val="76"/>
          <w:w w:val="150"/>
        </w:rPr>
        <w:t xml:space="preserve"> </w:t>
      </w:r>
      <w:r>
        <w:t>Abr</w:t>
      </w:r>
      <w:r>
        <w:rPr>
          <w:spacing w:val="74"/>
          <w:w w:val="150"/>
        </w:rPr>
        <w:t xml:space="preserve"> </w:t>
      </w:r>
      <w:r>
        <w:rPr>
          <w:spacing w:val="-5"/>
        </w:rPr>
        <w:t>24]</w:t>
      </w:r>
    </w:p>
    <w:p w14:paraId="0ADF55AA" w14:textId="77777777" w:rsidR="00A66A81" w:rsidRDefault="00000000">
      <w:pPr>
        <w:pStyle w:val="Textoindependiente"/>
        <w:tabs>
          <w:tab w:val="left" w:pos="1563"/>
          <w:tab w:val="left" w:pos="2864"/>
          <w:tab w:val="left" w:pos="4318"/>
        </w:tabs>
        <w:spacing w:line="259" w:lineRule="auto"/>
        <w:ind w:right="43"/>
        <w:jc w:val="left"/>
      </w:pPr>
      <w:r>
        <w:rPr>
          <w:spacing w:val="-2"/>
        </w:rPr>
        <w:t>71(6):</w:t>
      </w:r>
      <w:r>
        <w:tab/>
      </w:r>
      <w:r>
        <w:rPr>
          <w:spacing w:val="-2"/>
        </w:rPr>
        <w:t>432-436.</w:t>
      </w:r>
      <w:r>
        <w:tab/>
      </w:r>
      <w:r>
        <w:rPr>
          <w:spacing w:val="-2"/>
        </w:rPr>
        <w:t>Disponible</w:t>
      </w:r>
      <w:r>
        <w:tab/>
      </w:r>
      <w:r>
        <w:rPr>
          <w:spacing w:val="-4"/>
        </w:rPr>
        <w:t xml:space="preserve">en: </w:t>
      </w:r>
      <w:r>
        <w:rPr>
          <w:spacing w:val="-2"/>
        </w:rPr>
        <w:t>https://scielo.conicyt.cl/scielo.php?script= sci_arttext&amp;pid=S0717- 75262006000600011&amp;lng=es.</w:t>
      </w:r>
    </w:p>
    <w:p w14:paraId="34E5FFA0" w14:textId="77777777" w:rsidR="00A66A81" w:rsidRDefault="00000000">
      <w:pPr>
        <w:pStyle w:val="Textoindependiente"/>
        <w:spacing w:line="259" w:lineRule="auto"/>
        <w:ind w:right="42"/>
        <w:jc w:val="left"/>
      </w:pPr>
      <w:hyperlink r:id="rId34">
        <w:r>
          <w:rPr>
            <w:color w:val="0462C1"/>
            <w:spacing w:val="-2"/>
            <w:u w:val="single" w:color="0462C1"/>
          </w:rPr>
          <w:t>http://dx.doi.org/10.4067/S0717-</w:t>
        </w:r>
      </w:hyperlink>
      <w:r>
        <w:rPr>
          <w:color w:val="0462C1"/>
          <w:spacing w:val="-2"/>
        </w:rPr>
        <w:t xml:space="preserve"> </w:t>
      </w:r>
      <w:hyperlink r:id="rId35">
        <w:r>
          <w:rPr>
            <w:color w:val="0462C1"/>
            <w:spacing w:val="-2"/>
            <w:u w:val="single" w:color="0462C1"/>
          </w:rPr>
          <w:t>75262006000600011</w:t>
        </w:r>
      </w:hyperlink>
      <w:r>
        <w:rPr>
          <w:spacing w:val="-2"/>
        </w:rPr>
        <w:t>.</w:t>
      </w:r>
    </w:p>
    <w:p w14:paraId="768C5EAF" w14:textId="77777777" w:rsidR="00A66A81" w:rsidRDefault="00000000">
      <w:pPr>
        <w:pStyle w:val="Prrafodelista"/>
        <w:numPr>
          <w:ilvl w:val="0"/>
          <w:numId w:val="2"/>
        </w:numPr>
        <w:tabs>
          <w:tab w:val="left" w:pos="1241"/>
        </w:tabs>
        <w:spacing w:before="154" w:line="259" w:lineRule="auto"/>
        <w:ind w:right="44" w:firstLine="0"/>
        <w:jc w:val="both"/>
      </w:pPr>
      <w:r>
        <w:t>Pharma Investi, “Cavamed, anticoagulante oral” Pharma Investi, [Internet].</w:t>
      </w:r>
      <w:r>
        <w:rPr>
          <w:spacing w:val="40"/>
        </w:rPr>
        <w:t xml:space="preserve"> </w:t>
      </w:r>
      <w:r>
        <w:t>2020</w:t>
      </w:r>
      <w:r>
        <w:rPr>
          <w:spacing w:val="80"/>
        </w:rPr>
        <w:t xml:space="preserve"> </w:t>
      </w:r>
      <w:r>
        <w:t>Oct</w:t>
      </w:r>
      <w:r>
        <w:rPr>
          <w:spacing w:val="40"/>
        </w:rPr>
        <w:t xml:space="preserve"> </w:t>
      </w:r>
      <w:r>
        <w:t>[citado</w:t>
      </w:r>
      <w:r>
        <w:rPr>
          <w:spacing w:val="80"/>
        </w:rPr>
        <w:t xml:space="preserve"> </w:t>
      </w:r>
      <w:r>
        <w:t>2020</w:t>
      </w:r>
      <w:r>
        <w:rPr>
          <w:spacing w:val="80"/>
        </w:rPr>
        <w:t xml:space="preserve"> </w:t>
      </w:r>
      <w:r>
        <w:t>Abr</w:t>
      </w:r>
    </w:p>
    <w:p w14:paraId="02195D4F" w14:textId="77777777" w:rsidR="00A66A81" w:rsidRDefault="00000000">
      <w:pPr>
        <w:pStyle w:val="Textoindependiente"/>
        <w:tabs>
          <w:tab w:val="left" w:pos="2080"/>
          <w:tab w:val="left" w:pos="4319"/>
        </w:tabs>
        <w:spacing w:before="1" w:line="259" w:lineRule="auto"/>
        <w:ind w:right="42"/>
        <w:jc w:val="left"/>
      </w:pPr>
      <w:r>
        <w:rPr>
          <w:spacing w:val="-4"/>
        </w:rPr>
        <w:t>29]</w:t>
      </w:r>
      <w:r>
        <w:tab/>
      </w:r>
      <w:r>
        <w:rPr>
          <w:spacing w:val="-2"/>
        </w:rPr>
        <w:t>Disponible</w:t>
      </w:r>
      <w:r>
        <w:tab/>
      </w:r>
      <w:r>
        <w:rPr>
          <w:spacing w:val="-4"/>
        </w:rPr>
        <w:t xml:space="preserve">en: </w:t>
      </w:r>
      <w:hyperlink r:id="rId36">
        <w:r>
          <w:rPr>
            <w:color w:val="0462C1"/>
            <w:spacing w:val="-2"/>
            <w:u w:val="single" w:color="0462C1"/>
          </w:rPr>
          <w:t>https://www.pharmainvestichile.cl/PHA_I</w:t>
        </w:r>
      </w:hyperlink>
      <w:r>
        <w:rPr>
          <w:color w:val="0462C1"/>
          <w:spacing w:val="-2"/>
        </w:rPr>
        <w:t xml:space="preserve"> </w:t>
      </w:r>
      <w:hyperlink r:id="rId37">
        <w:r>
          <w:rPr>
            <w:color w:val="0462C1"/>
            <w:spacing w:val="-2"/>
            <w:u w:val="single" w:color="0462C1"/>
          </w:rPr>
          <w:t>NVESTI/producto/pharma-</w:t>
        </w:r>
      </w:hyperlink>
      <w:r>
        <w:rPr>
          <w:color w:val="0462C1"/>
          <w:spacing w:val="-2"/>
        </w:rPr>
        <w:t xml:space="preserve"> </w:t>
      </w:r>
      <w:hyperlink r:id="rId38">
        <w:r>
          <w:rPr>
            <w:color w:val="0462C1"/>
            <w:spacing w:val="-2"/>
            <w:u w:val="single" w:color="0462C1"/>
          </w:rPr>
          <w:t>investi/cardiovascular/cavamed/</w:t>
        </w:r>
      </w:hyperlink>
    </w:p>
    <w:p w14:paraId="221D4B62" w14:textId="77777777" w:rsidR="00A66A81" w:rsidRDefault="00000000">
      <w:pPr>
        <w:pStyle w:val="Prrafodelista"/>
        <w:numPr>
          <w:ilvl w:val="0"/>
          <w:numId w:val="2"/>
        </w:numPr>
        <w:tabs>
          <w:tab w:val="left" w:pos="962"/>
          <w:tab w:val="left" w:pos="4319"/>
        </w:tabs>
        <w:spacing w:before="158" w:line="259" w:lineRule="auto"/>
        <w:ind w:right="39" w:firstLine="0"/>
        <w:jc w:val="both"/>
      </w:pPr>
      <w:r>
        <w:t>Fernández-Armenta, Juan; Brugada Josep. “Farmacología de dabigatrán y su manejo clínico” Revista española de Cardiología,</w:t>
      </w:r>
      <w:r>
        <w:rPr>
          <w:spacing w:val="-4"/>
        </w:rPr>
        <w:t xml:space="preserve"> </w:t>
      </w:r>
      <w:r>
        <w:t>Vol.</w:t>
      </w:r>
      <w:r>
        <w:rPr>
          <w:spacing w:val="-6"/>
        </w:rPr>
        <w:t xml:space="preserve"> </w:t>
      </w:r>
      <w:r>
        <w:t>12.</w:t>
      </w:r>
      <w:r>
        <w:rPr>
          <w:spacing w:val="-6"/>
        </w:rPr>
        <w:t xml:space="preserve"> </w:t>
      </w:r>
      <w:r>
        <w:t>Núm.</w:t>
      </w:r>
      <w:r>
        <w:rPr>
          <w:spacing w:val="-6"/>
        </w:rPr>
        <w:t xml:space="preserve"> </w:t>
      </w:r>
      <w:r>
        <w:t>B.</w:t>
      </w:r>
      <w:r>
        <w:rPr>
          <w:spacing w:val="-4"/>
        </w:rPr>
        <w:t xml:space="preserve"> </w:t>
      </w:r>
      <w:r>
        <w:t>páginas</w:t>
      </w:r>
      <w:r>
        <w:rPr>
          <w:spacing w:val="-3"/>
        </w:rPr>
        <w:t xml:space="preserve"> </w:t>
      </w:r>
      <w:r>
        <w:t>18- 24</w:t>
      </w:r>
      <w:r>
        <w:rPr>
          <w:spacing w:val="-2"/>
        </w:rPr>
        <w:t xml:space="preserve"> </w:t>
      </w:r>
      <w:r>
        <w:t>(Mayo</w:t>
      </w:r>
      <w:r>
        <w:rPr>
          <w:spacing w:val="40"/>
        </w:rPr>
        <w:t xml:space="preserve"> </w:t>
      </w:r>
      <w:r>
        <w:t>2012).</w:t>
      </w:r>
      <w:r>
        <w:rPr>
          <w:spacing w:val="40"/>
        </w:rPr>
        <w:t xml:space="preserve"> </w:t>
      </w:r>
      <w:r>
        <w:t>[citado</w:t>
      </w:r>
      <w:r>
        <w:rPr>
          <w:spacing w:val="-1"/>
        </w:rPr>
        <w:t xml:space="preserve"> </w:t>
      </w:r>
      <w:r>
        <w:t>2020</w:t>
      </w:r>
      <w:r>
        <w:rPr>
          <w:spacing w:val="-2"/>
        </w:rPr>
        <w:t xml:space="preserve"> </w:t>
      </w:r>
      <w:r>
        <w:t>Abr</w:t>
      </w:r>
      <w:r>
        <w:rPr>
          <w:spacing w:val="-4"/>
        </w:rPr>
        <w:t xml:space="preserve"> </w:t>
      </w:r>
      <w:r>
        <w:t xml:space="preserve">29]. </w:t>
      </w:r>
      <w:r>
        <w:rPr>
          <w:spacing w:val="-2"/>
        </w:rPr>
        <w:t>Disponible</w:t>
      </w:r>
      <w:r>
        <w:tab/>
      </w:r>
      <w:r>
        <w:rPr>
          <w:spacing w:val="-5"/>
        </w:rPr>
        <w:t>en:</w:t>
      </w:r>
    </w:p>
    <w:p w14:paraId="58E1C478" w14:textId="77777777" w:rsidR="00A66A81" w:rsidRDefault="00000000">
      <w:pPr>
        <w:pStyle w:val="Textoindependiente"/>
        <w:spacing w:before="2" w:line="259" w:lineRule="auto"/>
        <w:ind w:right="513"/>
        <w:jc w:val="left"/>
      </w:pPr>
      <w:hyperlink r:id="rId39">
        <w:r>
          <w:rPr>
            <w:color w:val="0462C1"/>
            <w:spacing w:val="-2"/>
            <w:u w:val="single" w:color="0462C1"/>
          </w:rPr>
          <w:t>https://www.revespcardiol.org/es-</w:t>
        </w:r>
      </w:hyperlink>
      <w:r>
        <w:rPr>
          <w:color w:val="0462C1"/>
          <w:spacing w:val="-2"/>
        </w:rPr>
        <w:t xml:space="preserve"> </w:t>
      </w:r>
      <w:hyperlink r:id="rId40">
        <w:r>
          <w:rPr>
            <w:color w:val="0462C1"/>
            <w:spacing w:val="-2"/>
            <w:u w:val="single" w:color="0462C1"/>
          </w:rPr>
          <w:t>farmacologia-dabigatran-su-manejo-</w:t>
        </w:r>
      </w:hyperlink>
      <w:r>
        <w:rPr>
          <w:color w:val="0462C1"/>
          <w:spacing w:val="-2"/>
        </w:rPr>
        <w:t xml:space="preserve"> </w:t>
      </w:r>
      <w:hyperlink r:id="rId41">
        <w:r>
          <w:rPr>
            <w:color w:val="0462C1"/>
            <w:spacing w:val="-2"/>
            <w:u w:val="single" w:color="0462C1"/>
          </w:rPr>
          <w:t>clinico-articulo-S113135871270047X</w:t>
        </w:r>
      </w:hyperlink>
    </w:p>
    <w:p w14:paraId="683B2694" w14:textId="77777777" w:rsidR="00A66A81" w:rsidRDefault="00000000">
      <w:pPr>
        <w:pStyle w:val="Prrafodelista"/>
        <w:numPr>
          <w:ilvl w:val="0"/>
          <w:numId w:val="2"/>
        </w:numPr>
        <w:tabs>
          <w:tab w:val="left" w:pos="1447"/>
          <w:tab w:val="left" w:pos="3475"/>
        </w:tabs>
        <w:spacing w:before="157"/>
        <w:ind w:left="1447" w:hanging="887"/>
      </w:pPr>
      <w:r>
        <w:rPr>
          <w:spacing w:val="-2"/>
        </w:rPr>
        <w:t>Vademecum.es</w:t>
      </w:r>
      <w:r>
        <w:tab/>
      </w:r>
      <w:r>
        <w:rPr>
          <w:spacing w:val="-2"/>
        </w:rPr>
        <w:t>“Dabigatrán</w:t>
      </w:r>
    </w:p>
    <w:p w14:paraId="4043E6B0" w14:textId="77777777" w:rsidR="00A66A81" w:rsidRDefault="00000000">
      <w:pPr>
        <w:pStyle w:val="Textoindependiente"/>
        <w:tabs>
          <w:tab w:val="left" w:pos="1756"/>
          <w:tab w:val="left" w:pos="2765"/>
          <w:tab w:val="left" w:pos="3617"/>
          <w:tab w:val="left" w:pos="4319"/>
        </w:tabs>
        <w:spacing w:before="23" w:line="259" w:lineRule="auto"/>
        <w:ind w:right="38"/>
        <w:jc w:val="left"/>
      </w:pPr>
      <w:r>
        <w:rPr>
          <w:spacing w:val="-2"/>
        </w:rPr>
        <w:t>etexilato”</w:t>
      </w:r>
      <w:r>
        <w:tab/>
      </w:r>
      <w:r>
        <w:rPr>
          <w:spacing w:val="-2"/>
        </w:rPr>
        <w:t>[citado</w:t>
      </w:r>
      <w:r>
        <w:tab/>
      </w:r>
      <w:r>
        <w:rPr>
          <w:spacing w:val="-4"/>
        </w:rPr>
        <w:t>2020</w:t>
      </w:r>
      <w:r>
        <w:tab/>
      </w:r>
      <w:r>
        <w:rPr>
          <w:spacing w:val="-4"/>
        </w:rPr>
        <w:t>Abr</w:t>
      </w:r>
      <w:r>
        <w:tab/>
      </w:r>
      <w:r>
        <w:rPr>
          <w:spacing w:val="-60"/>
        </w:rPr>
        <w:t xml:space="preserve"> </w:t>
      </w:r>
      <w:r>
        <w:rPr>
          <w:spacing w:val="-4"/>
        </w:rPr>
        <w:t xml:space="preserve">29] </w:t>
      </w:r>
      <w:r>
        <w:rPr>
          <w:spacing w:val="-2"/>
        </w:rPr>
        <w:t>Disponible</w:t>
      </w:r>
      <w:r>
        <w:tab/>
      </w:r>
      <w:r>
        <w:tab/>
      </w:r>
      <w:r>
        <w:tab/>
      </w:r>
      <w:r>
        <w:tab/>
      </w:r>
      <w:r>
        <w:rPr>
          <w:spacing w:val="-5"/>
        </w:rPr>
        <w:t>en:</w:t>
      </w:r>
    </w:p>
    <w:p w14:paraId="07F5CF7F" w14:textId="77777777" w:rsidR="00A66A81" w:rsidRDefault="00000000">
      <w:pPr>
        <w:pStyle w:val="Textoindependiente"/>
        <w:spacing w:line="259" w:lineRule="auto"/>
        <w:ind w:right="351"/>
        <w:jc w:val="left"/>
      </w:pPr>
      <w:hyperlink r:id="rId42">
        <w:r>
          <w:rPr>
            <w:color w:val="0462C1"/>
            <w:spacing w:val="-2"/>
            <w:u w:val="single" w:color="0462C1"/>
          </w:rPr>
          <w:t>https://www.vademecum.es/principios-</w:t>
        </w:r>
      </w:hyperlink>
      <w:r>
        <w:rPr>
          <w:color w:val="0462C1"/>
          <w:spacing w:val="-2"/>
        </w:rPr>
        <w:t xml:space="preserve"> </w:t>
      </w:r>
      <w:hyperlink r:id="rId43">
        <w:r>
          <w:rPr>
            <w:color w:val="0462C1"/>
            <w:spacing w:val="-2"/>
            <w:u w:val="single" w:color="0462C1"/>
          </w:rPr>
          <w:t>activos-dabigatran+etexilato-B01AE07</w:t>
        </w:r>
      </w:hyperlink>
    </w:p>
    <w:p w14:paraId="7C2601A4" w14:textId="77777777" w:rsidR="00A66A81" w:rsidRDefault="00000000">
      <w:pPr>
        <w:pStyle w:val="Prrafodelista"/>
        <w:numPr>
          <w:ilvl w:val="0"/>
          <w:numId w:val="2"/>
        </w:numPr>
        <w:tabs>
          <w:tab w:val="left" w:pos="1331"/>
          <w:tab w:val="left" w:pos="3241"/>
        </w:tabs>
        <w:spacing w:before="159"/>
        <w:ind w:left="1331" w:hanging="771"/>
      </w:pPr>
      <w:r>
        <w:rPr>
          <w:spacing w:val="-2"/>
        </w:rPr>
        <w:t>Vademecum.es</w:t>
      </w:r>
      <w:r>
        <w:tab/>
      </w:r>
      <w:r>
        <w:rPr>
          <w:spacing w:val="-2"/>
        </w:rPr>
        <w:t>“Rivaroxabán”</w:t>
      </w:r>
    </w:p>
    <w:p w14:paraId="5919EDDB" w14:textId="77777777" w:rsidR="00A66A81" w:rsidRDefault="00000000">
      <w:pPr>
        <w:pStyle w:val="Textoindependiente"/>
        <w:tabs>
          <w:tab w:val="left" w:pos="2913"/>
          <w:tab w:val="left" w:pos="4319"/>
        </w:tabs>
        <w:spacing w:before="19" w:line="259" w:lineRule="auto"/>
        <w:ind w:right="42"/>
        <w:jc w:val="left"/>
      </w:pPr>
      <w:r>
        <w:t>[citado 2020 Abr 29]</w:t>
      </w:r>
      <w:r>
        <w:tab/>
      </w:r>
      <w:r>
        <w:rPr>
          <w:spacing w:val="-2"/>
        </w:rPr>
        <w:t>Disponible</w:t>
      </w:r>
      <w:r>
        <w:tab/>
      </w:r>
      <w:r>
        <w:rPr>
          <w:spacing w:val="-4"/>
        </w:rPr>
        <w:t xml:space="preserve">en: </w:t>
      </w:r>
      <w:hyperlink r:id="rId44">
        <w:r>
          <w:rPr>
            <w:color w:val="0462C1"/>
            <w:spacing w:val="-2"/>
            <w:u w:val="single" w:color="0462C1"/>
          </w:rPr>
          <w:t>https://www.vademecum.es/principios-</w:t>
        </w:r>
      </w:hyperlink>
      <w:r>
        <w:rPr>
          <w:color w:val="0462C1"/>
          <w:spacing w:val="-2"/>
        </w:rPr>
        <w:t xml:space="preserve"> </w:t>
      </w:r>
      <w:hyperlink r:id="rId45">
        <w:r>
          <w:rPr>
            <w:color w:val="0462C1"/>
            <w:spacing w:val="-2"/>
            <w:u w:val="single" w:color="0462C1"/>
          </w:rPr>
          <w:t>activos-rivaroxaban-B01AF01</w:t>
        </w:r>
      </w:hyperlink>
    </w:p>
    <w:p w14:paraId="52C6DF5F" w14:textId="77777777" w:rsidR="00A66A81" w:rsidRDefault="00000000">
      <w:pPr>
        <w:pStyle w:val="Prrafodelista"/>
        <w:numPr>
          <w:ilvl w:val="0"/>
          <w:numId w:val="2"/>
        </w:numPr>
        <w:tabs>
          <w:tab w:val="left" w:pos="1491"/>
          <w:tab w:val="left" w:pos="3561"/>
        </w:tabs>
        <w:spacing w:before="161"/>
        <w:ind w:left="1491" w:hanging="931"/>
      </w:pPr>
      <w:r>
        <w:rPr>
          <w:spacing w:val="-2"/>
        </w:rPr>
        <w:t>Vademecum.es</w:t>
      </w:r>
      <w:r>
        <w:tab/>
      </w:r>
      <w:r>
        <w:rPr>
          <w:spacing w:val="-2"/>
        </w:rPr>
        <w:t>“Apixaban”</w:t>
      </w:r>
    </w:p>
    <w:p w14:paraId="3274202C" w14:textId="77777777" w:rsidR="00A66A81" w:rsidRDefault="00000000">
      <w:pPr>
        <w:pStyle w:val="Textoindependiente"/>
        <w:tabs>
          <w:tab w:val="left" w:pos="2913"/>
          <w:tab w:val="left" w:pos="4319"/>
        </w:tabs>
        <w:spacing w:before="19" w:line="259" w:lineRule="auto"/>
        <w:ind w:right="42"/>
        <w:jc w:val="left"/>
      </w:pPr>
      <w:r>
        <w:t>[citado 2020 Abr 29]</w:t>
      </w:r>
      <w:r>
        <w:tab/>
      </w:r>
      <w:r>
        <w:rPr>
          <w:spacing w:val="-2"/>
        </w:rPr>
        <w:t>Disponible</w:t>
      </w:r>
      <w:r>
        <w:tab/>
      </w:r>
      <w:r>
        <w:rPr>
          <w:spacing w:val="-4"/>
        </w:rPr>
        <w:t xml:space="preserve">en: </w:t>
      </w:r>
      <w:hyperlink r:id="rId46">
        <w:r>
          <w:rPr>
            <w:color w:val="0462C1"/>
            <w:spacing w:val="-2"/>
            <w:u w:val="single" w:color="0462C1"/>
          </w:rPr>
          <w:t>https://www.vademecum.es/principios-</w:t>
        </w:r>
      </w:hyperlink>
      <w:r>
        <w:rPr>
          <w:color w:val="0462C1"/>
          <w:spacing w:val="-2"/>
        </w:rPr>
        <w:t xml:space="preserve"> </w:t>
      </w:r>
      <w:hyperlink r:id="rId47">
        <w:r>
          <w:rPr>
            <w:color w:val="0462C1"/>
            <w:spacing w:val="-2"/>
            <w:u w:val="single" w:color="0462C1"/>
          </w:rPr>
          <w:t>activos-apixaban-B01AF02</w:t>
        </w:r>
      </w:hyperlink>
    </w:p>
    <w:p w14:paraId="2C02F79A" w14:textId="77777777" w:rsidR="00A66A81" w:rsidRDefault="00000000">
      <w:pPr>
        <w:pStyle w:val="Prrafodelista"/>
        <w:numPr>
          <w:ilvl w:val="0"/>
          <w:numId w:val="2"/>
        </w:numPr>
        <w:tabs>
          <w:tab w:val="left" w:pos="1276"/>
        </w:tabs>
        <w:spacing w:before="161" w:line="256" w:lineRule="auto"/>
        <w:ind w:right="43" w:firstLine="0"/>
        <w:jc w:val="both"/>
      </w:pPr>
      <w:r>
        <w:t>Zamora, Maximiliano; Nazar, Claudio; Lema, Guillermo. “Nuevos anticoagulantes</w:t>
      </w:r>
      <w:r>
        <w:rPr>
          <w:spacing w:val="55"/>
        </w:rPr>
        <w:t xml:space="preserve"> </w:t>
      </w:r>
      <w:r>
        <w:t>orales</w:t>
      </w:r>
      <w:r>
        <w:rPr>
          <w:spacing w:val="53"/>
        </w:rPr>
        <w:t xml:space="preserve"> </w:t>
      </w:r>
      <w:r>
        <w:t>y</w:t>
      </w:r>
      <w:r>
        <w:rPr>
          <w:spacing w:val="56"/>
        </w:rPr>
        <w:t xml:space="preserve"> </w:t>
      </w:r>
      <w:r>
        <w:rPr>
          <w:spacing w:val="-2"/>
        </w:rPr>
        <w:t>antiagregantes</w:t>
      </w:r>
    </w:p>
    <w:p w14:paraId="08E18A98" w14:textId="77777777" w:rsidR="00A66A81" w:rsidRDefault="00000000">
      <w:pPr>
        <w:pStyle w:val="Textoindependiente"/>
        <w:spacing w:before="93" w:line="259" w:lineRule="auto"/>
        <w:ind w:right="613"/>
      </w:pPr>
      <w:r>
        <w:br w:type="column"/>
      </w:r>
      <w:r>
        <w:t>plaquetarios, en el período perioperatorio de cirugía no cardíaca. Parte 1: Nuevos anticoagulantes directos”. Revista</w:t>
      </w:r>
      <w:r>
        <w:rPr>
          <w:spacing w:val="40"/>
        </w:rPr>
        <w:t xml:space="preserve"> </w:t>
      </w:r>
      <w:r>
        <w:t>Chilena de Anestesia. Año 2018,</w:t>
      </w:r>
      <w:r>
        <w:rPr>
          <w:spacing w:val="-7"/>
        </w:rPr>
        <w:t xml:space="preserve"> </w:t>
      </w:r>
      <w:r>
        <w:t>Artículo de</w:t>
      </w:r>
      <w:r>
        <w:rPr>
          <w:spacing w:val="45"/>
        </w:rPr>
        <w:t xml:space="preserve">  </w:t>
      </w:r>
      <w:r>
        <w:t>Revisión,</w:t>
      </w:r>
      <w:r>
        <w:rPr>
          <w:spacing w:val="-2"/>
        </w:rPr>
        <w:t xml:space="preserve"> </w:t>
      </w:r>
      <w:r>
        <w:t>Número</w:t>
      </w:r>
      <w:r>
        <w:rPr>
          <w:spacing w:val="45"/>
        </w:rPr>
        <w:t xml:space="preserve">  </w:t>
      </w:r>
      <w:r>
        <w:t>4,</w:t>
      </w:r>
      <w:r>
        <w:rPr>
          <w:spacing w:val="-1"/>
        </w:rPr>
        <w:t xml:space="preserve"> </w:t>
      </w:r>
      <w:r>
        <w:t>Volumen</w:t>
      </w:r>
      <w:r>
        <w:rPr>
          <w:spacing w:val="45"/>
        </w:rPr>
        <w:t xml:space="preserve">  </w:t>
      </w:r>
      <w:r>
        <w:rPr>
          <w:spacing w:val="-5"/>
        </w:rPr>
        <w:t>47.</w:t>
      </w:r>
    </w:p>
    <w:p w14:paraId="4F8E8CCF" w14:textId="77777777" w:rsidR="00A66A81" w:rsidRDefault="00000000">
      <w:pPr>
        <w:pStyle w:val="Textoindependiente"/>
        <w:tabs>
          <w:tab w:val="left" w:pos="1424"/>
          <w:tab w:val="left" w:pos="2129"/>
          <w:tab w:val="left" w:pos="2685"/>
        </w:tabs>
        <w:spacing w:before="2" w:line="259" w:lineRule="auto"/>
        <w:ind w:right="615"/>
        <w:jc w:val="left"/>
      </w:pPr>
      <w:r>
        <w:rPr>
          <w:spacing w:val="-2"/>
        </w:rPr>
        <w:t>[citado</w:t>
      </w:r>
      <w:r>
        <w:tab/>
      </w:r>
      <w:r>
        <w:rPr>
          <w:spacing w:val="-4"/>
        </w:rPr>
        <w:t>2020</w:t>
      </w:r>
      <w:r>
        <w:tab/>
      </w:r>
      <w:r>
        <w:rPr>
          <w:spacing w:val="-4"/>
        </w:rPr>
        <w:t>Abr</w:t>
      </w:r>
      <w:r>
        <w:tab/>
        <w:t>29]</w:t>
      </w:r>
      <w:r>
        <w:rPr>
          <w:spacing w:val="40"/>
        </w:rPr>
        <w:t xml:space="preserve"> </w:t>
      </w:r>
      <w:r>
        <w:t>Disponible</w:t>
      </w:r>
      <w:r>
        <w:rPr>
          <w:spacing w:val="40"/>
        </w:rPr>
        <w:t xml:space="preserve"> </w:t>
      </w:r>
      <w:r>
        <w:t xml:space="preserve">en: </w:t>
      </w:r>
      <w:hyperlink r:id="rId48">
        <w:r>
          <w:rPr>
            <w:color w:val="0462C1"/>
            <w:spacing w:val="-2"/>
            <w:u w:val="single" w:color="0462C1"/>
          </w:rPr>
          <w:t>https://revistachilenadeanestesia.cl/nuev</w:t>
        </w:r>
      </w:hyperlink>
      <w:r>
        <w:rPr>
          <w:color w:val="0462C1"/>
          <w:spacing w:val="-2"/>
        </w:rPr>
        <w:t xml:space="preserve"> </w:t>
      </w:r>
      <w:hyperlink r:id="rId49">
        <w:r>
          <w:rPr>
            <w:color w:val="0462C1"/>
            <w:spacing w:val="-2"/>
            <w:u w:val="single" w:color="0462C1"/>
          </w:rPr>
          <w:t>os-anticoagulantes-orales-y-</w:t>
        </w:r>
      </w:hyperlink>
      <w:r>
        <w:rPr>
          <w:color w:val="0462C1"/>
          <w:spacing w:val="-2"/>
        </w:rPr>
        <w:t xml:space="preserve"> </w:t>
      </w:r>
      <w:hyperlink r:id="rId50">
        <w:r>
          <w:rPr>
            <w:color w:val="0462C1"/>
            <w:spacing w:val="-2"/>
            <w:u w:val="single" w:color="0462C1"/>
          </w:rPr>
          <w:t>antiagregantes-plaquetarios-en-el-</w:t>
        </w:r>
      </w:hyperlink>
      <w:r>
        <w:rPr>
          <w:color w:val="0462C1"/>
          <w:spacing w:val="-2"/>
        </w:rPr>
        <w:t xml:space="preserve"> </w:t>
      </w:r>
      <w:hyperlink r:id="rId51">
        <w:r>
          <w:rPr>
            <w:color w:val="0462C1"/>
            <w:spacing w:val="-2"/>
            <w:u w:val="single" w:color="0462C1"/>
          </w:rPr>
          <w:t>periodo-perioperatorio-de-cirugia-no-</w:t>
        </w:r>
      </w:hyperlink>
      <w:r>
        <w:rPr>
          <w:color w:val="0462C1"/>
          <w:spacing w:val="-2"/>
        </w:rPr>
        <w:t xml:space="preserve"> </w:t>
      </w:r>
      <w:hyperlink r:id="rId52">
        <w:r>
          <w:rPr>
            <w:color w:val="0462C1"/>
            <w:spacing w:val="-2"/>
            <w:u w:val="single" w:color="0462C1"/>
          </w:rPr>
          <w:t>cardiaca-parte-1-nuevos-</w:t>
        </w:r>
      </w:hyperlink>
    </w:p>
    <w:p w14:paraId="2ABCC5C1" w14:textId="77777777" w:rsidR="00A66A81" w:rsidRDefault="00000000">
      <w:pPr>
        <w:pStyle w:val="Textoindependiente"/>
        <w:spacing w:line="250" w:lineRule="exact"/>
        <w:jc w:val="left"/>
      </w:pPr>
      <w:hyperlink r:id="rId53">
        <w:r>
          <w:rPr>
            <w:color w:val="0462C1"/>
            <w:spacing w:val="-2"/>
            <w:u w:val="single" w:color="0462C1"/>
          </w:rPr>
          <w:t>anticoagulantes-directos/</w:t>
        </w:r>
      </w:hyperlink>
    </w:p>
    <w:p w14:paraId="26FB4DD0" w14:textId="77777777" w:rsidR="00A66A81" w:rsidRDefault="00000000">
      <w:pPr>
        <w:pStyle w:val="Prrafodelista"/>
        <w:numPr>
          <w:ilvl w:val="0"/>
          <w:numId w:val="2"/>
        </w:numPr>
        <w:tabs>
          <w:tab w:val="left" w:pos="1105"/>
          <w:tab w:val="left" w:pos="1424"/>
          <w:tab w:val="left" w:pos="2129"/>
          <w:tab w:val="left" w:pos="2685"/>
        </w:tabs>
        <w:spacing w:before="179" w:line="259" w:lineRule="auto"/>
        <w:ind w:right="614" w:firstLine="0"/>
      </w:pPr>
      <w:r>
        <w:t>Vademecum.es</w:t>
      </w:r>
      <w:r>
        <w:rPr>
          <w:spacing w:val="80"/>
        </w:rPr>
        <w:t xml:space="preserve"> </w:t>
      </w:r>
      <w:r>
        <w:t>“Heparina</w:t>
      </w:r>
      <w:r>
        <w:rPr>
          <w:spacing w:val="40"/>
        </w:rPr>
        <w:t xml:space="preserve"> </w:t>
      </w:r>
      <w:r>
        <w:t xml:space="preserve">sódica” </w:t>
      </w:r>
      <w:r>
        <w:rPr>
          <w:spacing w:val="-2"/>
        </w:rPr>
        <w:t>[citado</w:t>
      </w:r>
      <w:r>
        <w:tab/>
      </w:r>
      <w:r>
        <w:rPr>
          <w:spacing w:val="-4"/>
        </w:rPr>
        <w:t>2020</w:t>
      </w:r>
      <w:r>
        <w:tab/>
      </w:r>
      <w:r>
        <w:rPr>
          <w:spacing w:val="-4"/>
        </w:rPr>
        <w:t>Abr</w:t>
      </w:r>
      <w:r>
        <w:tab/>
        <w:t>29]</w:t>
      </w:r>
      <w:r>
        <w:rPr>
          <w:spacing w:val="40"/>
        </w:rPr>
        <w:t xml:space="preserve"> </w:t>
      </w:r>
      <w:r>
        <w:t>Disponible</w:t>
      </w:r>
      <w:r>
        <w:rPr>
          <w:spacing w:val="40"/>
        </w:rPr>
        <w:t xml:space="preserve"> </w:t>
      </w:r>
      <w:r>
        <w:t xml:space="preserve">en: </w:t>
      </w:r>
      <w:hyperlink r:id="rId54">
        <w:r>
          <w:rPr>
            <w:color w:val="0462C1"/>
            <w:spacing w:val="-2"/>
            <w:u w:val="single" w:color="0462C1"/>
          </w:rPr>
          <w:t>https://www.vademecum.es/principios-</w:t>
        </w:r>
      </w:hyperlink>
      <w:r>
        <w:rPr>
          <w:color w:val="0462C1"/>
          <w:spacing w:val="-2"/>
        </w:rPr>
        <w:t xml:space="preserve"> </w:t>
      </w:r>
      <w:hyperlink r:id="rId55">
        <w:r>
          <w:rPr>
            <w:color w:val="0462C1"/>
            <w:spacing w:val="-2"/>
            <w:u w:val="single" w:color="0462C1"/>
          </w:rPr>
          <w:t>activos-heparina+sodica-B01AB01+M2</w:t>
        </w:r>
      </w:hyperlink>
    </w:p>
    <w:p w14:paraId="11E4F018" w14:textId="77777777" w:rsidR="00A66A81" w:rsidRDefault="00000000">
      <w:pPr>
        <w:pStyle w:val="Prrafodelista"/>
        <w:numPr>
          <w:ilvl w:val="0"/>
          <w:numId w:val="2"/>
        </w:numPr>
        <w:tabs>
          <w:tab w:val="left" w:pos="1331"/>
          <w:tab w:val="left" w:pos="3241"/>
        </w:tabs>
        <w:spacing w:before="159"/>
        <w:ind w:left="1331" w:hanging="771"/>
      </w:pPr>
      <w:r>
        <w:rPr>
          <w:spacing w:val="-2"/>
        </w:rPr>
        <w:t>Vademecum.es</w:t>
      </w:r>
      <w:r>
        <w:tab/>
      </w:r>
      <w:r>
        <w:rPr>
          <w:spacing w:val="-2"/>
        </w:rPr>
        <w:t>“Enoxaparina”</w:t>
      </w:r>
    </w:p>
    <w:p w14:paraId="16DB7FCB" w14:textId="77777777" w:rsidR="00A66A81" w:rsidRDefault="00000000">
      <w:pPr>
        <w:pStyle w:val="Textoindependiente"/>
        <w:tabs>
          <w:tab w:val="left" w:pos="2913"/>
          <w:tab w:val="left" w:pos="4319"/>
        </w:tabs>
        <w:spacing w:before="24" w:line="259" w:lineRule="auto"/>
        <w:ind w:right="615"/>
        <w:jc w:val="left"/>
      </w:pPr>
      <w:r>
        <w:t>[citado 2020 Abr 29]</w:t>
      </w:r>
      <w:r>
        <w:tab/>
      </w:r>
      <w:r>
        <w:rPr>
          <w:spacing w:val="-2"/>
        </w:rPr>
        <w:t>Disponible</w:t>
      </w:r>
      <w:r>
        <w:tab/>
      </w:r>
      <w:r>
        <w:rPr>
          <w:spacing w:val="-4"/>
        </w:rPr>
        <w:t xml:space="preserve">en: </w:t>
      </w:r>
      <w:hyperlink r:id="rId56">
        <w:r>
          <w:rPr>
            <w:color w:val="0462C1"/>
            <w:spacing w:val="-2"/>
            <w:u w:val="single" w:color="0462C1"/>
          </w:rPr>
          <w:t>https://www.vademecum.es/principios-</w:t>
        </w:r>
      </w:hyperlink>
      <w:r>
        <w:rPr>
          <w:color w:val="0462C1"/>
          <w:spacing w:val="-2"/>
        </w:rPr>
        <w:t xml:space="preserve"> </w:t>
      </w:r>
      <w:hyperlink r:id="rId57">
        <w:r>
          <w:rPr>
            <w:color w:val="0462C1"/>
            <w:spacing w:val="-2"/>
            <w:u w:val="single" w:color="0462C1"/>
          </w:rPr>
          <w:t>activos-enoxaparina-B01AB05</w:t>
        </w:r>
      </w:hyperlink>
    </w:p>
    <w:sectPr w:rsidR="00A66A81">
      <w:type w:val="continuous"/>
      <w:pgSz w:w="12240" w:h="15840"/>
      <w:pgMar w:top="1420" w:right="1080" w:bottom="1680" w:left="1140" w:header="708" w:footer="1490" w:gutter="0"/>
      <w:cols w:num="2" w:space="720" w:equalWidth="0">
        <w:col w:w="4673" w:space="100"/>
        <w:col w:w="52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B5346" w14:textId="77777777" w:rsidR="00A329D9" w:rsidRDefault="00A329D9">
      <w:r>
        <w:separator/>
      </w:r>
    </w:p>
  </w:endnote>
  <w:endnote w:type="continuationSeparator" w:id="0">
    <w:p w14:paraId="259C46FC" w14:textId="77777777" w:rsidR="00A329D9" w:rsidRDefault="00A3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1D09E" w14:textId="77777777" w:rsidR="002D624B" w:rsidRDefault="002D62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AB9E8" w14:textId="77777777" w:rsidR="00A66A81" w:rsidRDefault="00000000">
    <w:pPr>
      <w:pStyle w:val="Textoindependiente"/>
      <w:spacing w:line="14" w:lineRule="auto"/>
      <w:ind w:left="0"/>
      <w:jc w:val="left"/>
      <w:rPr>
        <w:sz w:val="20"/>
      </w:rPr>
    </w:pPr>
    <w:r>
      <w:rPr>
        <w:noProof/>
      </w:rPr>
      <mc:AlternateContent>
        <mc:Choice Requires="wps">
          <w:drawing>
            <wp:anchor distT="0" distB="0" distL="0" distR="0" simplePos="0" relativeHeight="487425024" behindDoc="1" locked="0" layoutInCell="1" allowOverlap="1" wp14:anchorId="47157FFB" wp14:editId="1EDBA5B7">
              <wp:simplePos x="0" y="0"/>
              <wp:positionH relativeFrom="page">
                <wp:posOffset>2886455</wp:posOffset>
              </wp:positionH>
              <wp:positionV relativeFrom="page">
                <wp:posOffset>8972867</wp:posOffset>
              </wp:positionV>
              <wp:extent cx="1998980" cy="6502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8980" cy="650240"/>
                      </a:xfrm>
                      <a:prstGeom prst="rect">
                        <a:avLst/>
                      </a:prstGeom>
                    </wps:spPr>
                    <wps:txbx>
                      <w:txbxContent>
                        <w:p w14:paraId="0DD7B4CF" w14:textId="6C8BAACB" w:rsidR="00A66A81" w:rsidRDefault="00A66A81" w:rsidP="002D624B">
                          <w:pPr>
                            <w:pStyle w:val="Textoindependiente"/>
                            <w:spacing w:line="243" w:lineRule="exact"/>
                            <w:ind w:left="0" w:right="9"/>
                            <w:rPr>
                              <w:rFonts w:ascii="Calibri"/>
                            </w:rPr>
                          </w:pPr>
                        </w:p>
                        <w:p w14:paraId="274020B9" w14:textId="2633D929" w:rsidR="00A66A81" w:rsidRDefault="00000000">
                          <w:pPr>
                            <w:pStyle w:val="Textoindependiente"/>
                            <w:spacing w:line="242" w:lineRule="auto"/>
                            <w:ind w:left="11" w:right="9"/>
                            <w:jc w:val="center"/>
                          </w:pPr>
                          <w:r>
                            <w:t>Anticoagulantes</w:t>
                          </w:r>
                          <w:r>
                            <w:rPr>
                              <w:spacing w:val="-16"/>
                            </w:rPr>
                            <w:t xml:space="preserve"> </w:t>
                          </w:r>
                          <w:r>
                            <w:t>en</w:t>
                          </w:r>
                          <w:r>
                            <w:rPr>
                              <w:spacing w:val="-15"/>
                            </w:rPr>
                            <w:t xml:space="preserve"> </w:t>
                          </w:r>
                          <w:r>
                            <w:t xml:space="preserve">Ginecología </w:t>
                          </w:r>
                        </w:p>
                        <w:p w14:paraId="62342389" w14:textId="13F303D8" w:rsidR="00A66A81" w:rsidRDefault="00000000">
                          <w:pPr>
                            <w:pStyle w:val="Textoindependiente"/>
                            <w:spacing w:line="250" w:lineRule="exact"/>
                            <w:ind w:left="11" w:right="9"/>
                            <w:jc w:val="center"/>
                          </w:pPr>
                          <w:r>
                            <w:t>Año</w:t>
                          </w:r>
                          <w:r>
                            <w:rPr>
                              <w:spacing w:val="2"/>
                            </w:rPr>
                            <w:t xml:space="preserve"> </w:t>
                          </w:r>
                          <w:r>
                            <w:rPr>
                              <w:spacing w:val="-4"/>
                            </w:rPr>
                            <w:t>202</w:t>
                          </w:r>
                          <w:r w:rsidR="002D624B">
                            <w:rPr>
                              <w:spacing w:val="-4"/>
                            </w:rPr>
                            <w:t>4</w:t>
                          </w:r>
                        </w:p>
                      </w:txbxContent>
                    </wps:txbx>
                    <wps:bodyPr wrap="square" lIns="0" tIns="0" rIns="0" bIns="0" rtlCol="0">
                      <a:noAutofit/>
                    </wps:bodyPr>
                  </wps:wsp>
                </a:graphicData>
              </a:graphic>
            </wp:anchor>
          </w:drawing>
        </mc:Choice>
        <mc:Fallback>
          <w:pict>
            <v:shapetype w14:anchorId="47157FFB" id="_x0000_t202" coordsize="21600,21600" o:spt="202" path="m,l,21600r21600,l21600,xe">
              <v:stroke joinstyle="miter"/>
              <v:path gradientshapeok="t" o:connecttype="rect"/>
            </v:shapetype>
            <v:shape id="Textbox 1" o:spid="_x0000_s1027" type="#_x0000_t202" style="position:absolute;margin-left:227.3pt;margin-top:706.5pt;width:157.4pt;height:51.2pt;z-index:-1589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" filled="f" stroked="f">
              <v:textbox inset="0,0,0,0">
                <w:txbxContent>
                  <w:p w14:paraId="0DD7B4CF" w14:textId="6C8BAACB" w:rsidR="00A66A81" w:rsidRDefault="00A66A81" w:rsidP="002D624B">
                    <w:pPr>
                      <w:pStyle w:val="Textoindependiente"/>
                      <w:spacing w:line="243" w:lineRule="exact"/>
                      <w:ind w:left="0" w:right="9"/>
                      <w:rPr>
                        <w:rFonts w:ascii="Calibri"/>
                      </w:rPr>
                    </w:pPr>
                  </w:p>
                  <w:p w14:paraId="274020B9" w14:textId="2633D929" w:rsidR="00A66A81" w:rsidRDefault="00000000">
                    <w:pPr>
                      <w:pStyle w:val="Textoindependiente"/>
                      <w:spacing w:line="242" w:lineRule="auto"/>
                      <w:ind w:left="11" w:right="9"/>
                      <w:jc w:val="center"/>
                    </w:pPr>
                    <w:r>
                      <w:t>Anticoagulantes</w:t>
                    </w:r>
                    <w:r>
                      <w:rPr>
                        <w:spacing w:val="-16"/>
                      </w:rPr>
                      <w:t xml:space="preserve"> </w:t>
                    </w:r>
                    <w:r>
                      <w:t>en</w:t>
                    </w:r>
                    <w:r>
                      <w:rPr>
                        <w:spacing w:val="-15"/>
                      </w:rPr>
                      <w:t xml:space="preserve"> </w:t>
                    </w:r>
                    <w:r>
                      <w:t xml:space="preserve">Ginecología </w:t>
                    </w:r>
                  </w:p>
                  <w:p w14:paraId="62342389" w14:textId="13F303D8" w:rsidR="00A66A81" w:rsidRDefault="00000000">
                    <w:pPr>
                      <w:pStyle w:val="Textoindependiente"/>
                      <w:spacing w:line="250" w:lineRule="exact"/>
                      <w:ind w:left="11" w:right="9"/>
                      <w:jc w:val="center"/>
                    </w:pPr>
                    <w:r>
                      <w:t>Año</w:t>
                    </w:r>
                    <w:r>
                      <w:rPr>
                        <w:spacing w:val="2"/>
                      </w:rPr>
                      <w:t xml:space="preserve"> </w:t>
                    </w:r>
                    <w:r>
                      <w:rPr>
                        <w:spacing w:val="-4"/>
                      </w:rPr>
                      <w:t>202</w:t>
                    </w:r>
                    <w:r w:rsidR="002D624B">
                      <w:rPr>
                        <w:spacing w:val="-4"/>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376C" w14:textId="77777777" w:rsidR="002D624B" w:rsidRDefault="002D624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61243" w14:textId="77777777" w:rsidR="00A66A81" w:rsidRDefault="00000000">
    <w:pPr>
      <w:pStyle w:val="Textoindependiente"/>
      <w:spacing w:line="14" w:lineRule="auto"/>
      <w:ind w:left="0"/>
      <w:jc w:val="left"/>
      <w:rPr>
        <w:sz w:val="20"/>
      </w:rPr>
    </w:pPr>
    <w:r>
      <w:rPr>
        <w:noProof/>
      </w:rPr>
      <mc:AlternateContent>
        <mc:Choice Requires="wps">
          <w:drawing>
            <wp:anchor distT="0" distB="0" distL="0" distR="0" simplePos="0" relativeHeight="487426048" behindDoc="1" locked="0" layoutInCell="1" allowOverlap="1" wp14:anchorId="3E3ECD6D" wp14:editId="0A5B951C">
              <wp:simplePos x="0" y="0"/>
              <wp:positionH relativeFrom="page">
                <wp:posOffset>2886455</wp:posOffset>
              </wp:positionH>
              <wp:positionV relativeFrom="page">
                <wp:posOffset>8972867</wp:posOffset>
              </wp:positionV>
              <wp:extent cx="1998980" cy="6502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8980" cy="650240"/>
                      </a:xfrm>
                      <a:prstGeom prst="rect">
                        <a:avLst/>
                      </a:prstGeom>
                    </wps:spPr>
                    <wps:txbx>
                      <w:txbxContent>
                        <w:p w14:paraId="0142C0DE" w14:textId="37917264" w:rsidR="00A66A81" w:rsidRDefault="00000000">
                          <w:pPr>
                            <w:pStyle w:val="Textoindependiente"/>
                            <w:spacing w:line="242" w:lineRule="auto"/>
                            <w:ind w:left="11" w:right="9"/>
                            <w:jc w:val="center"/>
                          </w:pPr>
                          <w:r>
                            <w:t>Anticoagulantes</w:t>
                          </w:r>
                          <w:r>
                            <w:rPr>
                              <w:spacing w:val="-16"/>
                            </w:rPr>
                            <w:t xml:space="preserve"> </w:t>
                          </w:r>
                          <w:r>
                            <w:t>en</w:t>
                          </w:r>
                          <w:r>
                            <w:rPr>
                              <w:spacing w:val="-15"/>
                            </w:rPr>
                            <w:t xml:space="preserve"> </w:t>
                          </w:r>
                          <w:r>
                            <w:t xml:space="preserve">Ginecología </w:t>
                          </w:r>
                        </w:p>
                        <w:p w14:paraId="78EDAA1C" w14:textId="2268304D" w:rsidR="00A66A81" w:rsidRDefault="00000000">
                          <w:pPr>
                            <w:pStyle w:val="Textoindependiente"/>
                            <w:spacing w:line="250" w:lineRule="exact"/>
                            <w:ind w:left="11" w:right="9"/>
                            <w:jc w:val="center"/>
                          </w:pPr>
                          <w:r>
                            <w:t>Año</w:t>
                          </w:r>
                          <w:r>
                            <w:rPr>
                              <w:spacing w:val="2"/>
                            </w:rPr>
                            <w:t xml:space="preserve"> </w:t>
                          </w:r>
                          <w:r>
                            <w:rPr>
                              <w:spacing w:val="-4"/>
                            </w:rPr>
                            <w:t>202</w:t>
                          </w:r>
                          <w:r w:rsidR="0037395C">
                            <w:rPr>
                              <w:spacing w:val="-4"/>
                            </w:rPr>
                            <w:t>4</w:t>
                          </w:r>
                        </w:p>
                      </w:txbxContent>
                    </wps:txbx>
                    <wps:bodyPr wrap="square" lIns="0" tIns="0" rIns="0" bIns="0" rtlCol="0">
                      <a:noAutofit/>
                    </wps:bodyPr>
                  </wps:wsp>
                </a:graphicData>
              </a:graphic>
            </wp:anchor>
          </w:drawing>
        </mc:Choice>
        <mc:Fallback>
          <w:pict>
            <v:shapetype w14:anchorId="3E3ECD6D" id="_x0000_t202" coordsize="21600,21600" o:spt="202" path="m,l,21600r21600,l21600,xe">
              <v:stroke joinstyle="miter"/>
              <v:path gradientshapeok="t" o:connecttype="rect"/>
            </v:shapetype>
            <v:shape id="Textbox 5" o:spid="_x0000_s1028" type="#_x0000_t202" style="position:absolute;margin-left:227.3pt;margin-top:706.5pt;width:157.4pt;height:51.2pt;z-index:-1589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" filled="f" stroked="f">
              <v:textbox inset="0,0,0,0">
                <w:txbxContent>
                  <w:p w14:paraId="0142C0DE" w14:textId="37917264" w:rsidR="00A66A81" w:rsidRDefault="00000000">
                    <w:pPr>
                      <w:pStyle w:val="Textoindependiente"/>
                      <w:spacing w:line="242" w:lineRule="auto"/>
                      <w:ind w:left="11" w:right="9"/>
                      <w:jc w:val="center"/>
                    </w:pPr>
                    <w:r>
                      <w:t>Anticoagulantes</w:t>
                    </w:r>
                    <w:r>
                      <w:rPr>
                        <w:spacing w:val="-16"/>
                      </w:rPr>
                      <w:t xml:space="preserve"> </w:t>
                    </w:r>
                    <w:r>
                      <w:t>en</w:t>
                    </w:r>
                    <w:r>
                      <w:rPr>
                        <w:spacing w:val="-15"/>
                      </w:rPr>
                      <w:t xml:space="preserve"> </w:t>
                    </w:r>
                    <w:r>
                      <w:t xml:space="preserve">Ginecología </w:t>
                    </w:r>
                  </w:p>
                  <w:p w14:paraId="78EDAA1C" w14:textId="2268304D" w:rsidR="00A66A81" w:rsidRDefault="00000000">
                    <w:pPr>
                      <w:pStyle w:val="Textoindependiente"/>
                      <w:spacing w:line="250" w:lineRule="exact"/>
                      <w:ind w:left="11" w:right="9"/>
                      <w:jc w:val="center"/>
                    </w:pPr>
                    <w:r>
                      <w:t>Año</w:t>
                    </w:r>
                    <w:r>
                      <w:rPr>
                        <w:spacing w:val="2"/>
                      </w:rPr>
                      <w:t xml:space="preserve"> </w:t>
                    </w:r>
                    <w:r>
                      <w:rPr>
                        <w:spacing w:val="-4"/>
                      </w:rPr>
                      <w:t>202</w:t>
                    </w:r>
                    <w:r w:rsidR="0037395C">
                      <w:rPr>
                        <w:spacing w:val="-4"/>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9875B" w14:textId="77777777" w:rsidR="00A329D9" w:rsidRDefault="00A329D9">
      <w:r>
        <w:separator/>
      </w:r>
    </w:p>
  </w:footnote>
  <w:footnote w:type="continuationSeparator" w:id="0">
    <w:p w14:paraId="1DB2A70E" w14:textId="77777777" w:rsidR="00A329D9" w:rsidRDefault="00A32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EEE8E" w14:textId="77777777" w:rsidR="002D624B" w:rsidRDefault="002D62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50772" w14:textId="77777777" w:rsidR="002D624B" w:rsidRDefault="002D624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1BCA9" w14:textId="77777777" w:rsidR="002D624B" w:rsidRDefault="002D624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105F9" w14:textId="77777777" w:rsidR="00A66A81" w:rsidRDefault="00000000">
    <w:pPr>
      <w:pStyle w:val="Textoindependiente"/>
      <w:spacing w:line="14" w:lineRule="auto"/>
      <w:ind w:left="0"/>
      <w:jc w:val="left"/>
      <w:rPr>
        <w:sz w:val="20"/>
      </w:rPr>
    </w:pPr>
    <w:r>
      <w:rPr>
        <w:noProof/>
      </w:rPr>
      <w:drawing>
        <wp:anchor distT="0" distB="0" distL="0" distR="0" simplePos="0" relativeHeight="487425536" behindDoc="1" locked="0" layoutInCell="1" allowOverlap="1" wp14:anchorId="6B7115AD" wp14:editId="6C597087">
          <wp:simplePos x="0" y="0"/>
          <wp:positionH relativeFrom="page">
            <wp:posOffset>1080135</wp:posOffset>
          </wp:positionH>
          <wp:positionV relativeFrom="page">
            <wp:posOffset>449580</wp:posOffset>
          </wp:positionV>
          <wp:extent cx="1952116" cy="77215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1952116" cy="7721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B52D0"/>
    <w:multiLevelType w:val="hybridMultilevel"/>
    <w:tmpl w:val="8286B5E8"/>
    <w:lvl w:ilvl="0" w:tplc="185E1E26">
      <w:numFmt w:val="bullet"/>
      <w:lvlText w:val=""/>
      <w:lvlJc w:val="left"/>
      <w:pPr>
        <w:ind w:left="1281" w:hanging="361"/>
      </w:pPr>
      <w:rPr>
        <w:rFonts w:ascii="Symbol" w:eastAsia="Symbol" w:hAnsi="Symbol" w:cs="Symbol" w:hint="default"/>
        <w:b w:val="0"/>
        <w:bCs w:val="0"/>
        <w:i w:val="0"/>
        <w:iCs w:val="0"/>
        <w:spacing w:val="0"/>
        <w:w w:val="100"/>
        <w:sz w:val="22"/>
        <w:szCs w:val="22"/>
        <w:lang w:val="es-ES" w:eastAsia="en-US" w:bidi="ar-SA"/>
      </w:rPr>
    </w:lvl>
    <w:lvl w:ilvl="1" w:tplc="DFDA3D42">
      <w:numFmt w:val="bullet"/>
      <w:lvlText w:val="•"/>
      <w:lvlJc w:val="left"/>
      <w:pPr>
        <w:ind w:left="1618" w:hanging="361"/>
      </w:pPr>
      <w:rPr>
        <w:rFonts w:hint="default"/>
        <w:lang w:val="es-ES" w:eastAsia="en-US" w:bidi="ar-SA"/>
      </w:rPr>
    </w:lvl>
    <w:lvl w:ilvl="2" w:tplc="7CA411D8">
      <w:numFmt w:val="bullet"/>
      <w:lvlText w:val="•"/>
      <w:lvlJc w:val="left"/>
      <w:pPr>
        <w:ind w:left="1957" w:hanging="361"/>
      </w:pPr>
      <w:rPr>
        <w:rFonts w:hint="default"/>
        <w:lang w:val="es-ES" w:eastAsia="en-US" w:bidi="ar-SA"/>
      </w:rPr>
    </w:lvl>
    <w:lvl w:ilvl="3" w:tplc="F194787E">
      <w:numFmt w:val="bullet"/>
      <w:lvlText w:val="•"/>
      <w:lvlJc w:val="left"/>
      <w:pPr>
        <w:ind w:left="2296" w:hanging="361"/>
      </w:pPr>
      <w:rPr>
        <w:rFonts w:hint="default"/>
        <w:lang w:val="es-ES" w:eastAsia="en-US" w:bidi="ar-SA"/>
      </w:rPr>
    </w:lvl>
    <w:lvl w:ilvl="4" w:tplc="DBA60356">
      <w:numFmt w:val="bullet"/>
      <w:lvlText w:val="•"/>
      <w:lvlJc w:val="left"/>
      <w:pPr>
        <w:ind w:left="2635" w:hanging="361"/>
      </w:pPr>
      <w:rPr>
        <w:rFonts w:hint="default"/>
        <w:lang w:val="es-ES" w:eastAsia="en-US" w:bidi="ar-SA"/>
      </w:rPr>
    </w:lvl>
    <w:lvl w:ilvl="5" w:tplc="69BA9ED8">
      <w:numFmt w:val="bullet"/>
      <w:lvlText w:val="•"/>
      <w:lvlJc w:val="left"/>
      <w:pPr>
        <w:ind w:left="2974" w:hanging="361"/>
      </w:pPr>
      <w:rPr>
        <w:rFonts w:hint="default"/>
        <w:lang w:val="es-ES" w:eastAsia="en-US" w:bidi="ar-SA"/>
      </w:rPr>
    </w:lvl>
    <w:lvl w:ilvl="6" w:tplc="67CC65BC">
      <w:numFmt w:val="bullet"/>
      <w:lvlText w:val="•"/>
      <w:lvlJc w:val="left"/>
      <w:pPr>
        <w:ind w:left="3313" w:hanging="361"/>
      </w:pPr>
      <w:rPr>
        <w:rFonts w:hint="default"/>
        <w:lang w:val="es-ES" w:eastAsia="en-US" w:bidi="ar-SA"/>
      </w:rPr>
    </w:lvl>
    <w:lvl w:ilvl="7" w:tplc="7048D782">
      <w:numFmt w:val="bullet"/>
      <w:lvlText w:val="•"/>
      <w:lvlJc w:val="left"/>
      <w:pPr>
        <w:ind w:left="3651" w:hanging="361"/>
      </w:pPr>
      <w:rPr>
        <w:rFonts w:hint="default"/>
        <w:lang w:val="es-ES" w:eastAsia="en-US" w:bidi="ar-SA"/>
      </w:rPr>
    </w:lvl>
    <w:lvl w:ilvl="8" w:tplc="18C8F95C">
      <w:numFmt w:val="bullet"/>
      <w:lvlText w:val="•"/>
      <w:lvlJc w:val="left"/>
      <w:pPr>
        <w:ind w:left="3990" w:hanging="361"/>
      </w:pPr>
      <w:rPr>
        <w:rFonts w:hint="default"/>
        <w:lang w:val="es-ES" w:eastAsia="en-US" w:bidi="ar-SA"/>
      </w:rPr>
    </w:lvl>
  </w:abstractNum>
  <w:abstractNum w:abstractNumId="1" w15:restartNumberingAfterBreak="0">
    <w:nsid w:val="3A917F40"/>
    <w:multiLevelType w:val="hybridMultilevel"/>
    <w:tmpl w:val="12FCB908"/>
    <w:lvl w:ilvl="0" w:tplc="E230E956">
      <w:start w:val="1"/>
      <w:numFmt w:val="decimal"/>
      <w:lvlText w:val="(%1)"/>
      <w:lvlJc w:val="left"/>
      <w:pPr>
        <w:ind w:left="560" w:hanging="432"/>
        <w:jc w:val="left"/>
      </w:pPr>
      <w:rPr>
        <w:rFonts w:ascii="Arial MT" w:eastAsia="Arial MT" w:hAnsi="Arial MT" w:cs="Arial MT" w:hint="default"/>
        <w:b w:val="0"/>
        <w:bCs w:val="0"/>
        <w:i w:val="0"/>
        <w:iCs w:val="0"/>
        <w:spacing w:val="-2"/>
        <w:w w:val="99"/>
        <w:sz w:val="22"/>
        <w:szCs w:val="22"/>
        <w:lang w:val="es-ES" w:eastAsia="en-US" w:bidi="ar-SA"/>
      </w:rPr>
    </w:lvl>
    <w:lvl w:ilvl="1" w:tplc="15EEC064">
      <w:numFmt w:val="bullet"/>
      <w:lvlText w:val="•"/>
      <w:lvlJc w:val="left"/>
      <w:pPr>
        <w:ind w:left="970" w:hanging="432"/>
      </w:pPr>
      <w:rPr>
        <w:rFonts w:hint="default"/>
        <w:lang w:val="es-ES" w:eastAsia="en-US" w:bidi="ar-SA"/>
      </w:rPr>
    </w:lvl>
    <w:lvl w:ilvl="2" w:tplc="576897BE">
      <w:numFmt w:val="bullet"/>
      <w:lvlText w:val="•"/>
      <w:lvlJc w:val="left"/>
      <w:pPr>
        <w:ind w:left="1381" w:hanging="432"/>
      </w:pPr>
      <w:rPr>
        <w:rFonts w:hint="default"/>
        <w:lang w:val="es-ES" w:eastAsia="en-US" w:bidi="ar-SA"/>
      </w:rPr>
    </w:lvl>
    <w:lvl w:ilvl="3" w:tplc="F5764B80">
      <w:numFmt w:val="bullet"/>
      <w:lvlText w:val="•"/>
      <w:lvlJc w:val="left"/>
      <w:pPr>
        <w:ind w:left="1792" w:hanging="432"/>
      </w:pPr>
      <w:rPr>
        <w:rFonts w:hint="default"/>
        <w:lang w:val="es-ES" w:eastAsia="en-US" w:bidi="ar-SA"/>
      </w:rPr>
    </w:lvl>
    <w:lvl w:ilvl="4" w:tplc="F0A200F8">
      <w:numFmt w:val="bullet"/>
      <w:lvlText w:val="•"/>
      <w:lvlJc w:val="left"/>
      <w:pPr>
        <w:ind w:left="2203" w:hanging="432"/>
      </w:pPr>
      <w:rPr>
        <w:rFonts w:hint="default"/>
        <w:lang w:val="es-ES" w:eastAsia="en-US" w:bidi="ar-SA"/>
      </w:rPr>
    </w:lvl>
    <w:lvl w:ilvl="5" w:tplc="6C64D6BE">
      <w:numFmt w:val="bullet"/>
      <w:lvlText w:val="•"/>
      <w:lvlJc w:val="left"/>
      <w:pPr>
        <w:ind w:left="2614" w:hanging="432"/>
      </w:pPr>
      <w:rPr>
        <w:rFonts w:hint="default"/>
        <w:lang w:val="es-ES" w:eastAsia="en-US" w:bidi="ar-SA"/>
      </w:rPr>
    </w:lvl>
    <w:lvl w:ilvl="6" w:tplc="DF3CBB52">
      <w:numFmt w:val="bullet"/>
      <w:lvlText w:val="•"/>
      <w:lvlJc w:val="left"/>
      <w:pPr>
        <w:ind w:left="3025" w:hanging="432"/>
      </w:pPr>
      <w:rPr>
        <w:rFonts w:hint="default"/>
        <w:lang w:val="es-ES" w:eastAsia="en-US" w:bidi="ar-SA"/>
      </w:rPr>
    </w:lvl>
    <w:lvl w:ilvl="7" w:tplc="B1C6A12C">
      <w:numFmt w:val="bullet"/>
      <w:lvlText w:val="•"/>
      <w:lvlJc w:val="left"/>
      <w:pPr>
        <w:ind w:left="3436" w:hanging="432"/>
      </w:pPr>
      <w:rPr>
        <w:rFonts w:hint="default"/>
        <w:lang w:val="es-ES" w:eastAsia="en-US" w:bidi="ar-SA"/>
      </w:rPr>
    </w:lvl>
    <w:lvl w:ilvl="8" w:tplc="AEC2B496">
      <w:numFmt w:val="bullet"/>
      <w:lvlText w:val="•"/>
      <w:lvlJc w:val="left"/>
      <w:pPr>
        <w:ind w:left="3847" w:hanging="432"/>
      </w:pPr>
      <w:rPr>
        <w:rFonts w:hint="default"/>
        <w:lang w:val="es-ES" w:eastAsia="en-US" w:bidi="ar-SA"/>
      </w:rPr>
    </w:lvl>
  </w:abstractNum>
  <w:abstractNum w:abstractNumId="2" w15:restartNumberingAfterBreak="0">
    <w:nsid w:val="48384DED"/>
    <w:multiLevelType w:val="hybridMultilevel"/>
    <w:tmpl w:val="919EBD0C"/>
    <w:lvl w:ilvl="0" w:tplc="15DE52E6">
      <w:numFmt w:val="bullet"/>
      <w:lvlText w:val=""/>
      <w:lvlJc w:val="left"/>
      <w:pPr>
        <w:ind w:left="920" w:hanging="360"/>
      </w:pPr>
      <w:rPr>
        <w:rFonts w:ascii="Symbol" w:eastAsia="Symbol" w:hAnsi="Symbol" w:cs="Symbol" w:hint="default"/>
        <w:b w:val="0"/>
        <w:bCs w:val="0"/>
        <w:i w:val="0"/>
        <w:iCs w:val="0"/>
        <w:spacing w:val="0"/>
        <w:w w:val="100"/>
        <w:sz w:val="22"/>
        <w:szCs w:val="22"/>
        <w:lang w:val="es-ES" w:eastAsia="en-US" w:bidi="ar-SA"/>
      </w:rPr>
    </w:lvl>
    <w:lvl w:ilvl="1" w:tplc="A314A2D6">
      <w:numFmt w:val="bullet"/>
      <w:lvlText w:val="•"/>
      <w:lvlJc w:val="left"/>
      <w:pPr>
        <w:ind w:left="1295" w:hanging="360"/>
      </w:pPr>
      <w:rPr>
        <w:rFonts w:hint="default"/>
        <w:lang w:val="es-ES" w:eastAsia="en-US" w:bidi="ar-SA"/>
      </w:rPr>
    </w:lvl>
    <w:lvl w:ilvl="2" w:tplc="85FEFE98">
      <w:numFmt w:val="bullet"/>
      <w:lvlText w:val="•"/>
      <w:lvlJc w:val="left"/>
      <w:pPr>
        <w:ind w:left="1670" w:hanging="360"/>
      </w:pPr>
      <w:rPr>
        <w:rFonts w:hint="default"/>
        <w:lang w:val="es-ES" w:eastAsia="en-US" w:bidi="ar-SA"/>
      </w:rPr>
    </w:lvl>
    <w:lvl w:ilvl="3" w:tplc="B6EADB0A">
      <w:numFmt w:val="bullet"/>
      <w:lvlText w:val="•"/>
      <w:lvlJc w:val="left"/>
      <w:pPr>
        <w:ind w:left="2045" w:hanging="360"/>
      </w:pPr>
      <w:rPr>
        <w:rFonts w:hint="default"/>
        <w:lang w:val="es-ES" w:eastAsia="en-US" w:bidi="ar-SA"/>
      </w:rPr>
    </w:lvl>
    <w:lvl w:ilvl="4" w:tplc="C20CC114">
      <w:numFmt w:val="bullet"/>
      <w:lvlText w:val="•"/>
      <w:lvlJc w:val="left"/>
      <w:pPr>
        <w:ind w:left="2420" w:hanging="360"/>
      </w:pPr>
      <w:rPr>
        <w:rFonts w:hint="default"/>
        <w:lang w:val="es-ES" w:eastAsia="en-US" w:bidi="ar-SA"/>
      </w:rPr>
    </w:lvl>
    <w:lvl w:ilvl="5" w:tplc="D71286E0">
      <w:numFmt w:val="bullet"/>
      <w:lvlText w:val="•"/>
      <w:lvlJc w:val="left"/>
      <w:pPr>
        <w:ind w:left="2795" w:hanging="360"/>
      </w:pPr>
      <w:rPr>
        <w:rFonts w:hint="default"/>
        <w:lang w:val="es-ES" w:eastAsia="en-US" w:bidi="ar-SA"/>
      </w:rPr>
    </w:lvl>
    <w:lvl w:ilvl="6" w:tplc="C46E24CA">
      <w:numFmt w:val="bullet"/>
      <w:lvlText w:val="•"/>
      <w:lvlJc w:val="left"/>
      <w:pPr>
        <w:ind w:left="3170" w:hanging="360"/>
      </w:pPr>
      <w:rPr>
        <w:rFonts w:hint="default"/>
        <w:lang w:val="es-ES" w:eastAsia="en-US" w:bidi="ar-SA"/>
      </w:rPr>
    </w:lvl>
    <w:lvl w:ilvl="7" w:tplc="DF80C176">
      <w:numFmt w:val="bullet"/>
      <w:lvlText w:val="•"/>
      <w:lvlJc w:val="left"/>
      <w:pPr>
        <w:ind w:left="3545" w:hanging="360"/>
      </w:pPr>
      <w:rPr>
        <w:rFonts w:hint="default"/>
        <w:lang w:val="es-ES" w:eastAsia="en-US" w:bidi="ar-SA"/>
      </w:rPr>
    </w:lvl>
    <w:lvl w:ilvl="8" w:tplc="710083BC">
      <w:numFmt w:val="bullet"/>
      <w:lvlText w:val="•"/>
      <w:lvlJc w:val="left"/>
      <w:pPr>
        <w:ind w:left="3920" w:hanging="360"/>
      </w:pPr>
      <w:rPr>
        <w:rFonts w:hint="default"/>
        <w:lang w:val="es-ES" w:eastAsia="en-US" w:bidi="ar-SA"/>
      </w:rPr>
    </w:lvl>
  </w:abstractNum>
  <w:abstractNum w:abstractNumId="3" w15:restartNumberingAfterBreak="0">
    <w:nsid w:val="7FDA2D9D"/>
    <w:multiLevelType w:val="hybridMultilevel"/>
    <w:tmpl w:val="501EE908"/>
    <w:lvl w:ilvl="0" w:tplc="67A0CF80">
      <w:start w:val="1"/>
      <w:numFmt w:val="lowerLetter"/>
      <w:lvlText w:val="%1)"/>
      <w:lvlJc w:val="left"/>
      <w:pPr>
        <w:ind w:left="560" w:hanging="368"/>
        <w:jc w:val="left"/>
      </w:pPr>
      <w:rPr>
        <w:rFonts w:hint="default"/>
        <w:spacing w:val="0"/>
        <w:w w:val="100"/>
        <w:lang w:val="es-ES" w:eastAsia="en-US" w:bidi="ar-SA"/>
      </w:rPr>
    </w:lvl>
    <w:lvl w:ilvl="1" w:tplc="E7C28DB6">
      <w:numFmt w:val="bullet"/>
      <w:lvlText w:val="•"/>
      <w:lvlJc w:val="left"/>
      <w:pPr>
        <w:ind w:left="971" w:hanging="368"/>
      </w:pPr>
      <w:rPr>
        <w:rFonts w:hint="default"/>
        <w:lang w:val="es-ES" w:eastAsia="en-US" w:bidi="ar-SA"/>
      </w:rPr>
    </w:lvl>
    <w:lvl w:ilvl="2" w:tplc="28280704">
      <w:numFmt w:val="bullet"/>
      <w:lvlText w:val="•"/>
      <w:lvlJc w:val="left"/>
      <w:pPr>
        <w:ind w:left="1382" w:hanging="368"/>
      </w:pPr>
      <w:rPr>
        <w:rFonts w:hint="default"/>
        <w:lang w:val="es-ES" w:eastAsia="en-US" w:bidi="ar-SA"/>
      </w:rPr>
    </w:lvl>
    <w:lvl w:ilvl="3" w:tplc="75220446">
      <w:numFmt w:val="bullet"/>
      <w:lvlText w:val="•"/>
      <w:lvlJc w:val="left"/>
      <w:pPr>
        <w:ind w:left="1793" w:hanging="368"/>
      </w:pPr>
      <w:rPr>
        <w:rFonts w:hint="default"/>
        <w:lang w:val="es-ES" w:eastAsia="en-US" w:bidi="ar-SA"/>
      </w:rPr>
    </w:lvl>
    <w:lvl w:ilvl="4" w:tplc="54AE0838">
      <w:numFmt w:val="bullet"/>
      <w:lvlText w:val="•"/>
      <w:lvlJc w:val="left"/>
      <w:pPr>
        <w:ind w:left="2204" w:hanging="368"/>
      </w:pPr>
      <w:rPr>
        <w:rFonts w:hint="default"/>
        <w:lang w:val="es-ES" w:eastAsia="en-US" w:bidi="ar-SA"/>
      </w:rPr>
    </w:lvl>
    <w:lvl w:ilvl="5" w:tplc="A9A0F0A2">
      <w:numFmt w:val="bullet"/>
      <w:lvlText w:val="•"/>
      <w:lvlJc w:val="left"/>
      <w:pPr>
        <w:ind w:left="2615" w:hanging="368"/>
      </w:pPr>
      <w:rPr>
        <w:rFonts w:hint="default"/>
        <w:lang w:val="es-ES" w:eastAsia="en-US" w:bidi="ar-SA"/>
      </w:rPr>
    </w:lvl>
    <w:lvl w:ilvl="6" w:tplc="3832392A">
      <w:numFmt w:val="bullet"/>
      <w:lvlText w:val="•"/>
      <w:lvlJc w:val="left"/>
      <w:pPr>
        <w:ind w:left="3026" w:hanging="368"/>
      </w:pPr>
      <w:rPr>
        <w:rFonts w:hint="default"/>
        <w:lang w:val="es-ES" w:eastAsia="en-US" w:bidi="ar-SA"/>
      </w:rPr>
    </w:lvl>
    <w:lvl w:ilvl="7" w:tplc="87EC109A">
      <w:numFmt w:val="bullet"/>
      <w:lvlText w:val="•"/>
      <w:lvlJc w:val="left"/>
      <w:pPr>
        <w:ind w:left="3437" w:hanging="368"/>
      </w:pPr>
      <w:rPr>
        <w:rFonts w:hint="default"/>
        <w:lang w:val="es-ES" w:eastAsia="en-US" w:bidi="ar-SA"/>
      </w:rPr>
    </w:lvl>
    <w:lvl w:ilvl="8" w:tplc="301AD258">
      <w:numFmt w:val="bullet"/>
      <w:lvlText w:val="•"/>
      <w:lvlJc w:val="left"/>
      <w:pPr>
        <w:ind w:left="3848" w:hanging="368"/>
      </w:pPr>
      <w:rPr>
        <w:rFonts w:hint="default"/>
        <w:lang w:val="es-ES" w:eastAsia="en-US" w:bidi="ar-SA"/>
      </w:rPr>
    </w:lvl>
  </w:abstractNum>
  <w:num w:numId="1" w16cid:durableId="1711417522">
    <w:abstractNumId w:val="3"/>
  </w:num>
  <w:num w:numId="2" w16cid:durableId="134370521">
    <w:abstractNumId w:val="1"/>
  </w:num>
  <w:num w:numId="3" w16cid:durableId="1437628694">
    <w:abstractNumId w:val="2"/>
  </w:num>
  <w:num w:numId="4" w16cid:durableId="828403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81"/>
    <w:rsid w:val="002D624B"/>
    <w:rsid w:val="0037395C"/>
    <w:rsid w:val="005555B3"/>
    <w:rsid w:val="00A30FB7"/>
    <w:rsid w:val="00A329D9"/>
    <w:rsid w:val="00A66A81"/>
    <w:rsid w:val="00AD05DD"/>
    <w:rsid w:val="00C5260E"/>
    <w:rsid w:val="00FE34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14BE1"/>
  <w15:docId w15:val="{19205E2B-7EDD-4E99-A39E-EFD12C35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560"/>
      <w:jc w:val="both"/>
      <w:outlineLvl w:val="0"/>
    </w:pPr>
    <w:rPr>
      <w:sz w:val="26"/>
      <w:szCs w:val="26"/>
    </w:rPr>
  </w:style>
  <w:style w:type="paragraph" w:styleId="Ttulo2">
    <w:name w:val="heading 2"/>
    <w:basedOn w:val="Normal"/>
    <w:uiPriority w:val="9"/>
    <w:unhideWhenUsed/>
    <w:qFormat/>
    <w:pPr>
      <w:spacing w:before="157"/>
      <w:ind w:left="560"/>
      <w:outlineLvl w:val="1"/>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560"/>
      <w:jc w:val="both"/>
    </w:pPr>
  </w:style>
  <w:style w:type="paragraph" w:styleId="Ttulo">
    <w:name w:val="Title"/>
    <w:basedOn w:val="Normal"/>
    <w:uiPriority w:val="10"/>
    <w:qFormat/>
    <w:pPr>
      <w:spacing w:before="72"/>
      <w:ind w:left="1"/>
      <w:jc w:val="center"/>
    </w:pPr>
    <w:rPr>
      <w:sz w:val="32"/>
      <w:szCs w:val="32"/>
      <w:u w:val="single" w:color="000000"/>
    </w:rPr>
  </w:style>
  <w:style w:type="paragraph" w:styleId="Prrafodelista">
    <w:name w:val="List Paragraph"/>
    <w:basedOn w:val="Normal"/>
    <w:uiPriority w:val="1"/>
    <w:qFormat/>
    <w:pPr>
      <w:ind w:left="560"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D624B"/>
    <w:pPr>
      <w:tabs>
        <w:tab w:val="center" w:pos="4419"/>
        <w:tab w:val="right" w:pos="8838"/>
      </w:tabs>
    </w:pPr>
  </w:style>
  <w:style w:type="character" w:customStyle="1" w:styleId="EncabezadoCar">
    <w:name w:val="Encabezado Car"/>
    <w:basedOn w:val="Fuentedeprrafopredeter"/>
    <w:link w:val="Encabezado"/>
    <w:uiPriority w:val="99"/>
    <w:rsid w:val="002D624B"/>
    <w:rPr>
      <w:rFonts w:ascii="Arial MT" w:eastAsia="Arial MT" w:hAnsi="Arial MT" w:cs="Arial MT"/>
      <w:lang w:val="es-ES"/>
    </w:rPr>
  </w:style>
  <w:style w:type="paragraph" w:styleId="Piedepgina">
    <w:name w:val="footer"/>
    <w:basedOn w:val="Normal"/>
    <w:link w:val="PiedepginaCar"/>
    <w:uiPriority w:val="99"/>
    <w:unhideWhenUsed/>
    <w:rsid w:val="002D624B"/>
    <w:pPr>
      <w:tabs>
        <w:tab w:val="center" w:pos="4419"/>
        <w:tab w:val="right" w:pos="8838"/>
      </w:tabs>
    </w:pPr>
  </w:style>
  <w:style w:type="character" w:customStyle="1" w:styleId="PiedepginaCar">
    <w:name w:val="Pie de página Car"/>
    <w:basedOn w:val="Fuentedeprrafopredeter"/>
    <w:link w:val="Piedepgina"/>
    <w:uiPriority w:val="99"/>
    <w:rsid w:val="002D624B"/>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hospitalclinicomagallanes.cl/download/protocolo-tratamiento-anticoagulante-oral/" TargetMode="External"/><Relationship Id="rId26" Type="http://schemas.openxmlformats.org/officeDocument/2006/relationships/hyperlink" Target="http://dx.doi.org/10.4067/S0034-98872011001000016" TargetMode="External"/><Relationship Id="rId39" Type="http://schemas.openxmlformats.org/officeDocument/2006/relationships/hyperlink" Target="https://www.revespcardiol.org/es-farmacologia-dabigatran-su-manejo-clinico-articulo-S113135871270047X" TargetMode="External"/><Relationship Id="rId21" Type="http://schemas.openxmlformats.org/officeDocument/2006/relationships/hyperlink" Target="http://mingaonline.uach.cl/pdf/cuadcir/v18n1/art14.pdf" TargetMode="External"/><Relationship Id="rId34" Type="http://schemas.openxmlformats.org/officeDocument/2006/relationships/hyperlink" Target="http://dx.doi.org/10.4067/S0717-75262006000600011" TargetMode="External"/><Relationship Id="rId42" Type="http://schemas.openxmlformats.org/officeDocument/2006/relationships/hyperlink" Target="https://www.vademecum.es/principios-activos-dabigatran%2Betexilato-B01AE07" TargetMode="External"/><Relationship Id="rId47" Type="http://schemas.openxmlformats.org/officeDocument/2006/relationships/hyperlink" Target="https://www.vademecum.es/principios-activos-apixaban-B01AF02" TargetMode="External"/><Relationship Id="rId50" Type="http://schemas.openxmlformats.org/officeDocument/2006/relationships/hyperlink" Target="https://revistachilenadeanestesia.cl/nuevos-anticoagulantes-orales-y-antiagregantes-plaquetarios-en-el-periodo-perioperatorio-de-cirugia-no-cardiaca-parte-1-nuevos-anticoagulantes-directos/" TargetMode="External"/><Relationship Id="rId55" Type="http://schemas.openxmlformats.org/officeDocument/2006/relationships/hyperlink" Target="https://www.vademecum.es/principios-activos-heparina%2Bsodica-B01AB01%2BM2"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2.jpeg"/><Relationship Id="rId29" Type="http://schemas.openxmlformats.org/officeDocument/2006/relationships/hyperlink" Target="https://www.medicina-intensiva.cl/revista/articulo.php?id=10" TargetMode="External"/><Relationship Id="rId11" Type="http://schemas.openxmlformats.org/officeDocument/2006/relationships/footer" Target="footer2.xml"/><Relationship Id="rId24" Type="http://schemas.openxmlformats.org/officeDocument/2006/relationships/hyperlink" Target="http://scielo.isciii.es/scielo.php?script=sci_arttext&amp;pid=S0212-71992003000700010&amp;lng=es" TargetMode="External"/><Relationship Id="rId32" Type="http://schemas.openxmlformats.org/officeDocument/2006/relationships/hyperlink" Target="file://localhost/C:/Users/tiern/Downloads/GCL%201.13%20-%20Protocolo%20TACO%202018%20V1.pdf" TargetMode="External"/><Relationship Id="rId37" Type="http://schemas.openxmlformats.org/officeDocument/2006/relationships/hyperlink" Target="https://www.pharmainvestichile.cl/PHA_INVESTI/producto/pharma-investi/cardiovascular/cavamed/" TargetMode="External"/><Relationship Id="rId40" Type="http://schemas.openxmlformats.org/officeDocument/2006/relationships/hyperlink" Target="https://www.revespcardiol.org/es-farmacologia-dabigatran-su-manejo-clinico-articulo-S113135871270047X" TargetMode="External"/><Relationship Id="rId45" Type="http://schemas.openxmlformats.org/officeDocument/2006/relationships/hyperlink" Target="https://www.vademecum.es/principios-activos-rivaroxaban-B01AF01" TargetMode="External"/><Relationship Id="rId53" Type="http://schemas.openxmlformats.org/officeDocument/2006/relationships/hyperlink" Target="https://revistachilenadeanestesia.cl/nuevos-anticoagulantes-orales-y-antiagregantes-plaquetarios-en-el-periodo-perioperatorio-de-cirugia-no-cardiaca-parte-1-nuevos-anticoagulantes-directos/"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hospitalclinicomagallanes.cl/download/protocolo-tratamiento-anticoagulante-ora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mingaonline.uach.cl/pdf/cuadcir/v18n1/art14.pdf" TargetMode="External"/><Relationship Id="rId27" Type="http://schemas.openxmlformats.org/officeDocument/2006/relationships/hyperlink" Target="http://dx.doi.org/10.4067/S0034-98872011001000016" TargetMode="External"/><Relationship Id="rId30" Type="http://schemas.openxmlformats.org/officeDocument/2006/relationships/hyperlink" Target="file://localhost/C:/Users/tiern/Downloads/GCL%201.13%20-%20Protocolo%20TACO%202018%20V1.pdf" TargetMode="External"/><Relationship Id="rId35" Type="http://schemas.openxmlformats.org/officeDocument/2006/relationships/hyperlink" Target="http://dx.doi.org/10.4067/S0717-75262006000600011" TargetMode="External"/><Relationship Id="rId43" Type="http://schemas.openxmlformats.org/officeDocument/2006/relationships/hyperlink" Target="https://www.vademecum.es/principios-activos-dabigatran%2Betexilato-B01AE07" TargetMode="External"/><Relationship Id="rId48" Type="http://schemas.openxmlformats.org/officeDocument/2006/relationships/hyperlink" Target="https://revistachilenadeanestesia.cl/nuevos-anticoagulantes-orales-y-antiagregantes-plaquetarios-en-el-periodo-perioperatorio-de-cirugia-no-cardiaca-parte-1-nuevos-anticoagulantes-directos/" TargetMode="External"/><Relationship Id="rId56" Type="http://schemas.openxmlformats.org/officeDocument/2006/relationships/hyperlink" Target="https://www.vademecum.es/principios-activos-enoxaparina-B01AB05" TargetMode="External"/><Relationship Id="rId8" Type="http://schemas.openxmlformats.org/officeDocument/2006/relationships/header" Target="header1.xml"/><Relationship Id="rId51" Type="http://schemas.openxmlformats.org/officeDocument/2006/relationships/hyperlink" Target="https://revistachilenadeanestesia.cl/nuevos-anticoagulantes-orales-y-antiagregantes-plaquetarios-en-el-periodo-perioperatorio-de-cirugia-no-cardiaca-parte-1-nuevos-anticoagulantes-directos/"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3.jpeg"/><Relationship Id="rId25" Type="http://schemas.openxmlformats.org/officeDocument/2006/relationships/hyperlink" Target="http://scielo.isciii.es/scielo.php?script=sci_arttext&amp;pid=S0212-71992003000700010&amp;lng=es" TargetMode="External"/><Relationship Id="rId33" Type="http://schemas.openxmlformats.org/officeDocument/2006/relationships/hyperlink" Target="file://localhost/C:/Users/tiern/Downloads/GCL%201.13%20-%20Protocolo%20TACO%202018%20V1.pdf" TargetMode="External"/><Relationship Id="rId38" Type="http://schemas.openxmlformats.org/officeDocument/2006/relationships/hyperlink" Target="https://www.pharmainvestichile.cl/PHA_INVESTI/producto/pharma-investi/cardiovascular/cavamed/" TargetMode="External"/><Relationship Id="rId46" Type="http://schemas.openxmlformats.org/officeDocument/2006/relationships/hyperlink" Target="https://www.vademecum.es/principios-activos-apixaban-B01AF02" TargetMode="External"/><Relationship Id="rId59" Type="http://schemas.openxmlformats.org/officeDocument/2006/relationships/theme" Target="theme/theme1.xml"/><Relationship Id="rId20" Type="http://schemas.openxmlformats.org/officeDocument/2006/relationships/hyperlink" Target="http://hospitalclinicomagallanes.cl/download/protocolo-tratamiento-anticoagulante-oral/" TargetMode="External"/><Relationship Id="rId41" Type="http://schemas.openxmlformats.org/officeDocument/2006/relationships/hyperlink" Target="https://www.revespcardiol.org/es-farmacologia-dabigatran-su-manejo-clinico-articulo-S113135871270047X" TargetMode="External"/><Relationship Id="rId54" Type="http://schemas.openxmlformats.org/officeDocument/2006/relationships/hyperlink" Target="https://www.vademecum.es/principios-activos-heparina%2Bsodica-B01AB01%2BM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yperlink" Target="http://scielo.isciii.es/scielo.php?script=sci_arttext&amp;pid=S0212-71992003000700010&amp;lng=es" TargetMode="External"/><Relationship Id="rId28" Type="http://schemas.openxmlformats.org/officeDocument/2006/relationships/hyperlink" Target="https://www.medicina-intensiva.cl/revista/articulo.php?id=10" TargetMode="External"/><Relationship Id="rId36" Type="http://schemas.openxmlformats.org/officeDocument/2006/relationships/hyperlink" Target="https://www.pharmainvestichile.cl/PHA_INVESTI/producto/pharma-investi/cardiovascular/cavamed/" TargetMode="External"/><Relationship Id="rId49" Type="http://schemas.openxmlformats.org/officeDocument/2006/relationships/hyperlink" Target="https://revistachilenadeanestesia.cl/nuevos-anticoagulantes-orales-y-antiagregantes-plaquetarios-en-el-periodo-perioperatorio-de-cirugia-no-cardiaca-parte-1-nuevos-anticoagulantes-directos/" TargetMode="External"/><Relationship Id="rId57" Type="http://schemas.openxmlformats.org/officeDocument/2006/relationships/hyperlink" Target="https://www.vademecum.es/principios-activos-enoxaparina-B01AB05" TargetMode="External"/><Relationship Id="rId10" Type="http://schemas.openxmlformats.org/officeDocument/2006/relationships/footer" Target="footer1.xml"/><Relationship Id="rId31" Type="http://schemas.openxmlformats.org/officeDocument/2006/relationships/hyperlink" Target="file://localhost/C:/Users/tiern/Downloads/GCL%201.13%20-%20Protocolo%20TACO%202018%20V1.pdf" TargetMode="External"/><Relationship Id="rId44" Type="http://schemas.openxmlformats.org/officeDocument/2006/relationships/hyperlink" Target="https://www.vademecum.es/principios-activos-rivaroxaban-B01AF01" TargetMode="External"/><Relationship Id="rId52" Type="http://schemas.openxmlformats.org/officeDocument/2006/relationships/hyperlink" Target="https://revistachilenadeanestesia.cl/nuevos-anticoagulantes-orales-y-antiagregantes-plaquetarios-en-el-periodo-perioperatorio-de-cirugia-no-cardiaca-parte-1-nuevos-anticoagulantes-directos/"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4286</Words>
  <Characters>23575</Characters>
  <Application>Microsoft Office Word</Application>
  <DocSecurity>0</DocSecurity>
  <Lines>196</Lines>
  <Paragraphs>55</Paragraphs>
  <ScaleCrop>false</ScaleCrop>
  <Company/>
  <LinksUpToDate>false</LinksUpToDate>
  <CharactersWithSpaces>27806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Moreno Quiñones</dc:creator>
  <cp:lastModifiedBy>Katherine Patricia Tapia Jara (ktapia)</cp:lastModifiedBy>
  <cp:revision>5</cp:revision>
  <dcterms:created xsi:type="dcterms:W3CDTF">2024-08-16T13:37:00Z</dcterms:created>
  <dcterms:modified xsi:type="dcterms:W3CDTF">2024-08-22T20:14:00Z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para Microsoft 365</vt:lpwstr>
  </property>
  <property fmtid="{D5CDD505-2E9C-101B-9397-08002B2CF9AE}" pid="4" name="LastSaved">
    <vt:filetime>2024-08-16T00:00:00Z</vt:filetime>
  </property>
  <property fmtid="{D5CDD505-2E9C-101B-9397-08002B2CF9AE}" pid="5" name="Producer">
    <vt:lpwstr>Microsoft® Word para Microsoft 365</vt:lpwstr>
  </property>
</Properties>
</file>